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21.png" ContentType="image/png"/>
  <Override PartName="/word/media/rId2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efecto-zeeman-normal"/>
    <w:p>
      <w:pPr>
        <w:pStyle w:val="Heading1"/>
      </w:pPr>
      <w:r>
        <w:t xml:space="preserve">Efecto Zeeman normal</w:t>
      </w:r>
    </w:p>
    <w:bookmarkStart w:id="20" w:name="objetivos"/>
    <w:p>
      <w:pPr>
        <w:pStyle w:val="Heading2"/>
      </w:pPr>
      <w:r>
        <w:t xml:space="preserve">Objetivos</w:t>
      </w:r>
    </w:p>
    <w:p>
      <w:pPr>
        <w:pStyle w:val="FirstParagraph"/>
      </w:pPr>
      <w:r>
        <w:t xml:space="preserve">El efecto Zeeman consiste en el desdoblamiento de las lineas espectrales electromagnéticas de los átomos debido a la presencia de un campo magnético externo. El efecto más simple es denominado</w:t>
      </w:r>
      <w:r>
        <w:t xml:space="preserve"> </w:t>
      </w:r>
      <w:r>
        <w:t xml:space="preserve">“</w:t>
      </w:r>
      <w:r>
        <w:t xml:space="preserve">efecto Zeeman normal</w:t>
      </w:r>
      <w:r>
        <w:t xml:space="preserve">”</w:t>
      </w:r>
      <w:r>
        <w:t xml:space="preserve">, el cual tiene lugar cuando el momento angular del espín total del átomo es nulo, de tal modo que es desdoblamiento de una línea espectral da lugar a tantas líneas como estados degenerados del momento angular orbital haya para los electrones involucrados. En la presente práctica se estudia el efecto Zeeman normal utilizando una lámpara espectral de cadmio (Cd) sometida a diferentes densidades de flujo magnético. En particular, se investigará la división de la línea roja del cadmio (</w:t>
      </w:r>
      <m:oMath>
        <m:r>
          <m:t>643.8</m:t>
        </m:r>
        <m:r>
          <m:t> </m:t>
        </m:r>
        <m:r>
          <m:t>n</m:t>
        </m:r>
        <m:r>
          <m:t>m</m:t>
        </m:r>
      </m:oMath>
      <w:r>
        <w:t xml:space="preserve">) utilizando un interferómetro de Fabry-Perot. El objetivo último es obtener un valor bastante preciso del magnetón de Bohr.</w:t>
      </w:r>
    </w:p>
    <w:bookmarkEnd w:id="20"/>
    <w:bookmarkStart w:id="24" w:name="fundamentos-teóricos"/>
    <w:p>
      <w:pPr>
        <w:pStyle w:val="Heading2"/>
      </w:pPr>
      <w:r>
        <w:t xml:space="preserve">Fundamentos teóricos</w:t>
      </w:r>
    </w:p>
    <w:p>
      <w:pPr>
        <w:pStyle w:val="FirstParagraph"/>
      </w:pPr>
      <w:r>
        <w:t xml:space="preserve">Ya en 1862, Michael Faraday investigó sin mucho éxito si el espectro de las llamas de colores cambiaba debido al efecto de un campo magnético. No fue hasta 1885 que el belga Charles Fievez pudo observar un efecto, pero sus estudios cayeron en el olvido. Fueron redescubiertos once años después por el holandés Pieter Zeeman, quien lo estudió junto con Hendrik Antoon Lorentz. Este experimento, que fue de suma importancia para el desarrollo y asentamiento de la teoría de la capa atómica, se puede llevar a cabo con un electroimán, una fuente de átomos y un interferómetro.</w:t>
      </w:r>
    </w:p>
    <w:p>
      <w:pPr>
        <w:pStyle w:val="BodyText"/>
      </w:pPr>
      <w:r>
        <w:t xml:space="preserve">La división de la línea espectral roja del Cd en tres líneas, llamados tripletes de Lorentz, se produce porque el átomo de cadmio representa un sistema de singlete de espín total</w:t>
      </w:r>
      <w:r>
        <w:t xml:space="preserve"> </w:t>
      </w:r>
      <m:oMath>
        <m:r>
          <m:t>S</m:t>
        </m:r>
        <m:r>
          <m:rPr>
            <m:sty m:val="p"/>
          </m:rPr>
          <m:t>=</m:t>
        </m:r>
        <m:r>
          <m:t>0</m:t>
        </m:r>
      </m:oMath>
      <w:r>
        <w:t xml:space="preserve">. En ausencia de un campo magnético, solo hay una posible transición</w:t>
      </w:r>
      <w:r>
        <w:t xml:space="preserve"> </w:t>
      </w:r>
      <m:oMath>
        <m:sSup>
          <m:e>
            <m:r>
              <m:t>​</m:t>
            </m:r>
          </m:e>
          <m:sup>
            <m:r>
              <m:t>1</m:t>
            </m:r>
          </m:sup>
        </m:sSup>
        <m:sSub>
          <m:e>
            <m:r>
              <m:t>D</m:t>
            </m:r>
          </m:e>
          <m:sub>
            <m:r>
              <m:t>2</m:t>
            </m:r>
          </m:sub>
        </m:sSub>
        <m:r>
          <m:rPr>
            <m:sty m:val="p"/>
          </m:rPr>
          <m:t>→</m:t>
        </m:r>
        <m:sSup>
          <m:e>
            <m:r>
              <m:t>​</m:t>
            </m:r>
          </m:e>
          <m:sup>
            <m:r>
              <m:t>1</m:t>
            </m:r>
          </m:sup>
        </m:sSup>
        <m:sSub>
          <m:e>
            <m:r>
              <m:t>P</m:t>
            </m:r>
          </m:e>
          <m:sub>
            <m:r>
              <m:t>1</m:t>
            </m:r>
          </m:sub>
        </m:sSub>
      </m:oMath>
      <w:r>
        <w:t xml:space="preserve"> </w:t>
      </w:r>
      <w:r>
        <w:t xml:space="preserve">de</w:t>
      </w:r>
      <w:r>
        <w:t xml:space="preserve"> </w:t>
      </w:r>
      <m:oMath>
        <m:r>
          <m:t>643.8</m:t>
        </m:r>
        <m:r>
          <m:t> </m:t>
        </m:r>
        <m:r>
          <m:t>n</m:t>
        </m:r>
        <m:r>
          <m:t>m</m:t>
        </m:r>
      </m:oMath>
      <w:r>
        <w:t xml:space="preserve">, donde</w:t>
      </w:r>
      <w:r>
        <w:t xml:space="preserve"> </w:t>
      </w:r>
      <m:oMath>
        <m:sSup>
          <m:e>
            <m:r>
              <m:t>​</m:t>
            </m:r>
          </m:e>
          <m:sup>
            <m:r>
              <m:t>2</m:t>
            </m:r>
            <m:r>
              <m:t>s</m:t>
            </m:r>
            <m:r>
              <m:rPr>
                <m:sty m:val="p"/>
              </m:rPr>
              <m:t>+</m:t>
            </m:r>
            <m:r>
              <m:t>1</m:t>
            </m:r>
          </m:sup>
        </m:sSup>
        <m:sSub>
          <m:e>
            <m:r>
              <m:t>X</m:t>
            </m:r>
          </m:e>
          <m:sub>
            <m:r>
              <m:t>j</m:t>
            </m:r>
          </m:sub>
        </m:sSub>
      </m:oMath>
      <w:r>
        <w:t xml:space="preserve"> </w:t>
      </w:r>
      <w:r>
        <w:t xml:space="preserve">indica el nivel electrónico del átomo, con</w:t>
      </w:r>
      <w:r>
        <w:t xml:space="preserve"> </w:t>
      </w:r>
      <m:oMath>
        <m:r>
          <m:t>s</m:t>
        </m:r>
      </m:oMath>
      <w:r>
        <w:t xml:space="preserve"> </w:t>
      </w:r>
      <w:r>
        <w:t xml:space="preserve">el momento angular del espín,</w:t>
      </w:r>
      <w:r>
        <w:t xml:space="preserve"> </w:t>
      </w:r>
      <m:oMath>
        <m:r>
          <m:t>X</m:t>
        </m:r>
      </m:oMath>
      <w:r>
        <w:t xml:space="preserve"> </w:t>
      </w:r>
      <w:r>
        <w:t xml:space="preserve">describe el tipo de orbital atómico y</w:t>
      </w:r>
      <w:r>
        <w:t xml:space="preserve"> </w:t>
      </w:r>
      <m:oMath>
        <m:r>
          <m:t>j</m:t>
        </m:r>
      </m:oMath>
      <w:r>
        <w:t xml:space="preserve"> </w:t>
      </w:r>
      <w:r>
        <w:t xml:space="preserve">es el valor del momento angular total. En el presente caso el momento angular total coincide con el momento angular orbital, por ser el espín nulo. En presencia de un campo magnético, los niveles de energía asociados se desdoblan en</w:t>
      </w:r>
      <w:r>
        <w:t xml:space="preserve"> </w:t>
      </w:r>
      <m:oMath>
        <m:r>
          <m:t>2</m:t>
        </m:r>
        <m:r>
          <m:t>l</m:t>
        </m:r>
        <m:r>
          <m:rPr>
            <m:sty m:val="p"/>
          </m:rPr>
          <m:t>+</m:t>
        </m:r>
        <m:r>
          <m:t>1</m:t>
        </m:r>
      </m:oMath>
      <w:r>
        <w:t xml:space="preserve"> </w:t>
      </w:r>
      <w:r>
        <w:t xml:space="preserve">componentes, donde</w:t>
      </w:r>
      <w:r>
        <w:t xml:space="preserve"> </w:t>
      </w:r>
      <m:oMath>
        <m:r>
          <m:t>L</m:t>
        </m:r>
      </m:oMath>
      <w:r>
        <w:t xml:space="preserve"> </w:t>
      </w:r>
      <w:r>
        <w:t xml:space="preserve">es el momento angular orbital (ver Fig. 9.1). El momento magnético dado por dicho momento angular orbital es</w:t>
      </w:r>
    </w:p>
    <w:p>
      <w:pPr>
        <w:pStyle w:val="BodyText"/>
      </w:pPr>
      <m:oMathPara>
        <m:oMathParaPr>
          <m:jc m:val="center"/>
        </m:oMathParaPr>
        <m:oMath>
          <m:acc>
            <m:accPr>
              <m:chr m:val="⃗"/>
            </m:accPr>
            <m:e>
              <m:r>
                <m:t>μ</m:t>
              </m:r>
            </m:e>
          </m:acc>
          <m:r>
            <m:rPr>
              <m:sty m:val="p"/>
            </m:rPr>
            <m:t>=</m:t>
          </m:r>
          <m:r>
            <m:rPr>
              <m:sty m:val="p"/>
            </m:rPr>
            <m:t>−</m:t>
          </m:r>
          <m:f>
            <m:fPr>
              <m:type m:val="bar"/>
            </m:fPr>
            <m:num>
              <m:r>
                <m:t>e</m:t>
              </m:r>
            </m:num>
            <m:den>
              <m:r>
                <m:t>2</m:t>
              </m:r>
              <m:sSub>
                <m:e>
                  <m:r>
                    <m:t>m</m:t>
                  </m:r>
                </m:e>
                <m:sub>
                  <m:r>
                    <m:t>e</m:t>
                  </m:r>
                </m:sub>
              </m:sSub>
            </m:den>
          </m:f>
          <m:acc>
            <m:accPr>
              <m:chr m:val="⃗"/>
            </m:accPr>
            <m:e>
              <m:r>
                <m:t>L</m:t>
              </m:r>
            </m:e>
          </m:acc>
          <m:r>
            <m:rPr>
              <m:sty m:val="p"/>
            </m:rPr>
            <m:t>=</m:t>
          </m:r>
          <m:r>
            <m:rPr>
              <m:sty m:val="p"/>
            </m:rPr>
            <m:t>−</m:t>
          </m:r>
          <m:sSub>
            <m:e>
              <m:r>
                <m:t>g</m:t>
              </m:r>
            </m:e>
            <m:sub>
              <m:r>
                <m:t>l</m:t>
              </m:r>
            </m:sub>
          </m:sSub>
          <m:sSub>
            <m:e>
              <m:r>
                <m:t>μ</m:t>
              </m:r>
            </m:e>
            <m:sub>
              <m:r>
                <m:t>B</m:t>
              </m:r>
            </m:sub>
          </m:sSub>
          <m:f>
            <m:fPr>
              <m:type m:val="bar"/>
            </m:fPr>
            <m:num>
              <m:acc>
                <m:accPr>
                  <m:chr m:val="⃗"/>
                </m:accPr>
                <m:e>
                  <m:r>
                    <m:t>L</m:t>
                  </m:r>
                </m:e>
              </m:acc>
            </m:num>
            <m:den>
              <m:r>
                <m:rPr>
                  <m:sty m:val="p"/>
                </m:rPr>
                <m:t>ℏ</m:t>
              </m:r>
            </m:den>
          </m:f>
          <m:r>
            <m:t> </m:t>
          </m:r>
          <m:r>
            <m:rPr>
              <m:nor/>
              <m:sty m:val="p"/>
            </m:rPr>
            <m:t>(9.1)</m:t>
          </m:r>
        </m:oMath>
      </m:oMathPara>
    </w:p>
    <w:p>
      <w:pPr>
        <w:pStyle w:val="FirstParagraph"/>
      </w:pPr>
      <w:r>
        <w:t xml:space="preserve">dónde se ha introducido el magnetón de Bohr</w:t>
      </w:r>
      <w:r>
        <w:t xml:space="preserve"> </w:t>
      </w:r>
      <m:oMath>
        <m:sSub>
          <m:e>
            <m:r>
              <m:t>μ</m:t>
            </m:r>
          </m:e>
          <m:sub>
            <m:r>
              <m:t>B</m:t>
            </m:r>
          </m:sub>
        </m:sSub>
        <m:r>
          <m:rPr>
            <m:sty m:val="p"/>
          </m:rPr>
          <m:t>=</m:t>
        </m:r>
        <m:r>
          <m:t>e</m:t>
        </m:r>
        <m:r>
          <m:rPr>
            <m:sty m:val="p"/>
          </m:rPr>
          <m:t>ℏ</m:t>
        </m:r>
        <m:r>
          <m:rPr>
            <m:sty m:val="p"/>
          </m:rPr>
          <m:t>/</m:t>
        </m:r>
        <m:r>
          <m:t>2</m:t>
        </m:r>
        <m:sSub>
          <m:e>
            <m:r>
              <m:t>m</m:t>
            </m:r>
          </m:e>
          <m:sub>
            <m:r>
              <m:t>e</m:t>
            </m:r>
          </m:sub>
        </m:sSub>
        <m:r>
          <m:rPr>
            <m:sty m:val="p"/>
          </m:rPr>
          <m:t>=</m:t>
        </m:r>
        <m:r>
          <m:t>9.27</m:t>
        </m:r>
        <m:r>
          <m:rPr>
            <m:sty m:val="p"/>
          </m:rPr>
          <m:t>⋅</m:t>
        </m:r>
        <m:sSup>
          <m:e>
            <m:r>
              <m:t>10</m:t>
            </m:r>
          </m:e>
          <m:sup>
            <m:r>
              <m:rPr>
                <m:sty m:val="p"/>
              </m:rPr>
              <m:t>−</m:t>
            </m:r>
            <m:r>
              <m:t>24</m:t>
            </m:r>
          </m:sup>
        </m:sSup>
        <m:r>
          <m:t>A</m:t>
        </m:r>
        <m:sSup>
          <m:e>
            <m:r>
              <m:t>m</m:t>
            </m:r>
          </m:e>
          <m:sup>
            <m:r>
              <m:t>2</m:t>
            </m:r>
          </m:sup>
        </m:sSup>
      </m:oMath>
      <w:r>
        <w:t xml:space="preserve"> </w:t>
      </w:r>
      <w:r>
        <w:t xml:space="preserve">y se ha definido la razón giromagnética orbital</w:t>
      </w:r>
      <w:r>
        <w:t xml:space="preserve"> </w:t>
      </w:r>
      <m:oMath>
        <m:sSub>
          <m:e>
            <m:r>
              <m:t>g</m:t>
            </m:r>
          </m:e>
          <m:sub>
            <m:r>
              <m:t>l</m:t>
            </m:r>
          </m:sub>
        </m:sSub>
        <m:r>
          <m:rPr>
            <m:sty m:val="p"/>
          </m:rPr>
          <m:t>=</m:t>
        </m:r>
        <m:r>
          <m:t>1</m:t>
        </m:r>
      </m:oMath>
      <w:r>
        <w:t xml:space="preserve">.</w:t>
      </w:r>
    </w:p>
    <w:tbl>
      <w:tblPr>
        <w:tblStyle w:val="FigureTable"/>
        <w:tblW w:type="auto" w:w="0"/>
        <w:tblLook w:firstRow="0" w:lastRow="0" w:firstColumn="0" w:lastColumn="0"/>
        <w:jc w:val="center"/>
      </w:tblPr>
      <w:tblGrid>
        <w:gridCol w:w="7920"/>
      </w:tblGrid>
      <w:tr>
        <w:tc>
          <w:tcPr/>
          <w:p>
            <w:pPr>
              <w:pStyle w:val="Compact"/>
              <w:jc w:val="center"/>
            </w:pPr>
            <w:r>
              <w:drawing>
                <wp:inline>
                  <wp:extent cx="3599999" cy="1814492"/>
                  <wp:effectExtent b="0" l="0" r="0" t="0"/>
                  <wp:docPr descr="" title="" id="22" name="Picture"/>
                  <a:graphic>
                    <a:graphicData uri="http://schemas.openxmlformats.org/drawingml/2006/picture">
                      <pic:pic>
                        <pic:nvPicPr>
                          <pic:cNvPr descr="img/fig_z1.png" id="23" name="Picture"/>
                          <pic:cNvPicPr>
                            <a:picLocks noChangeArrowheads="1" noChangeAspect="1"/>
                          </pic:cNvPicPr>
                        </pic:nvPicPr>
                        <pic:blipFill>
                          <a:blip r:embed="rId21"/>
                          <a:stretch>
                            <a:fillRect/>
                          </a:stretch>
                        </pic:blipFill>
                        <pic:spPr bwMode="auto">
                          <a:xfrm>
                            <a:off x="0" y="0"/>
                            <a:ext cx="3599999" cy="1814492"/>
                          </a:xfrm>
                          <a:prstGeom prst="rect">
                            <a:avLst/>
                          </a:prstGeom>
                          <a:noFill/>
                          <a:ln w="9525">
                            <a:noFill/>
                            <a:headEnd/>
                            <a:tailEnd/>
                          </a:ln>
                        </pic:spPr>
                      </pic:pic>
                    </a:graphicData>
                  </a:graphic>
                </wp:inline>
              </w:drawing>
            </w:r>
          </w:p>
        </w:tc>
      </w:tr>
    </w:tbl>
    <w:p>
      <w:pPr>
        <w:pStyle w:val="ImageCaption"/>
      </w:pPr>
      <w:r>
        <w:t xml:space="preserve">Figura 9.1: Representación esquemática de las transiciones de energía entre niveles del átomo de cadmio desdoblados debido a la presencia de un campo magnético externo que rompe su degeneración.</w:t>
      </w:r>
    </w:p>
    <w:p>
      <w:pPr>
        <w:pStyle w:val="BodyText"/>
      </w:pPr>
      <w:r>
        <w:t xml:space="preserve">Las transiciones dipolares magnéticas entre estos componentes posibles son aquellas que cumplen las reglas de selección</w:t>
      </w:r>
      <w:r>
        <w:t xml:space="preserve"> </w:t>
      </w:r>
      <m:oMath>
        <m:r>
          <m:t>Δ</m:t>
        </m:r>
        <m:sSub>
          <m:e>
            <m:r>
              <m:t>m</m:t>
            </m:r>
          </m:e>
          <m:sub>
            <m:r>
              <m:t>J</m:t>
            </m:r>
          </m:sub>
        </m:sSub>
        <m:r>
          <m:rPr>
            <m:sty m:val="p"/>
          </m:rPr>
          <m:t>=</m:t>
        </m:r>
        <m:r>
          <m:t>0</m:t>
        </m:r>
        <m:r>
          <m:rPr>
            <m:sty m:val="p"/>
          </m:rPr>
          <m:t>,</m:t>
        </m:r>
        <m:r>
          <m:rPr>
            <m:sty m:val="p"/>
          </m:rPr>
          <m:t>±</m:t>
        </m:r>
        <m:r>
          <m:t>1</m:t>
        </m:r>
      </m:oMath>
      <w:r>
        <w:t xml:space="preserve">. Por lo tanto, hay un total de nueve transiciones permitidas, de las cuales sólo tres tienen la misma energía y la misma longitud de onda (ver Fig. 9.1), por lo que tan sólo se verán tres anillos, asociados a las tres líneas espectrales de color rojizo. El primer grupo con</w:t>
      </w:r>
      <w:r>
        <w:t xml:space="preserve"> </w:t>
      </w:r>
      <m:oMath>
        <m:r>
          <m:t>Δ</m:t>
        </m:r>
        <m:sSub>
          <m:e>
            <m:r>
              <m:t>m</m:t>
            </m:r>
          </m:e>
          <m:sub>
            <m:r>
              <m:t>J</m:t>
            </m:r>
          </m:sub>
        </m:sSub>
        <m:r>
          <m:rPr>
            <m:sty m:val="p"/>
          </m:rPr>
          <m:t>=</m:t>
        </m:r>
        <m:r>
          <m:rPr>
            <m:sty m:val="p"/>
          </m:rPr>
          <m:t>−</m:t>
        </m:r>
        <m:r>
          <m:t>1</m:t>
        </m:r>
      </m:oMath>
      <w:r>
        <w:t xml:space="preserve"> </w:t>
      </w:r>
      <w:r>
        <w:t xml:space="preserve">da una línea</w:t>
      </w:r>
      <w:r>
        <w:t xml:space="preserve"> </w:t>
      </w:r>
      <m:oMath>
        <m:r>
          <m:t>σ</m:t>
        </m:r>
      </m:oMath>
      <w:r>
        <w:t xml:space="preserve"> </w:t>
      </w:r>
      <w:r>
        <w:t xml:space="preserve">cuya luz está polarizada verticalmente con respeto al campo magnético. El grupo medio</w:t>
      </w:r>
      <w:r>
        <w:t xml:space="preserve"> </w:t>
      </w:r>
      <m:oMath>
        <m:r>
          <m:t>Δ</m:t>
        </m:r>
        <m:sSub>
          <m:e>
            <m:r>
              <m:t>m</m:t>
            </m:r>
          </m:e>
          <m:sub>
            <m:r>
              <m:t>J</m:t>
            </m:r>
          </m:sub>
        </m:sSub>
        <m:r>
          <m:rPr>
            <m:sty m:val="p"/>
          </m:rPr>
          <m:t>=</m:t>
        </m:r>
        <m:r>
          <m:t>0</m:t>
        </m:r>
      </m:oMath>
      <w:r>
        <w:t xml:space="preserve"> </w:t>
      </w:r>
      <w:r>
        <w:t xml:space="preserve">da una línea denominada</w:t>
      </w:r>
      <w:r>
        <w:t xml:space="preserve"> </w:t>
      </w:r>
      <m:oMath>
        <m:r>
          <m:t>π</m:t>
        </m:r>
      </m:oMath>
      <w:r>
        <w:t xml:space="preserve"> </w:t>
      </w:r>
      <w:r>
        <w:t xml:space="preserve">cuya luz se polariza paralelamente a la dirección del campo. El último grupo donde</w:t>
      </w:r>
      <w:r>
        <w:t xml:space="preserve"> </w:t>
      </w:r>
      <m:oMath>
        <m:r>
          <m:t>Δ</m:t>
        </m:r>
        <m:sSub>
          <m:e>
            <m:r>
              <m:t>m</m:t>
            </m:r>
          </m:e>
          <m:sub>
            <m:r>
              <m:t>J</m:t>
            </m:r>
          </m:sub>
        </m:sSub>
        <m:r>
          <m:rPr>
            <m:sty m:val="p"/>
          </m:rPr>
          <m:t>=</m:t>
        </m:r>
        <m:r>
          <m:rPr>
            <m:sty m:val="p"/>
          </m:rPr>
          <m:t>+</m:t>
        </m:r>
        <m:r>
          <m:t>1</m:t>
        </m:r>
      </m:oMath>
      <w:r>
        <w:t xml:space="preserve"> </w:t>
      </w:r>
      <w:r>
        <w:t xml:space="preserve">da una segunda línea</w:t>
      </w:r>
      <w:r>
        <w:t xml:space="preserve"> </w:t>
      </w:r>
      <m:oMath>
        <m:r>
          <m:t>σ</m:t>
        </m:r>
      </m:oMath>
      <w:r>
        <w:t xml:space="preserve"> </w:t>
      </w:r>
      <w:r>
        <w:t xml:space="preserve">cuya luz se polariza de nuevo verticalmente al campo magnético. Teniendo en cuenta que el hamiltoniano es de la forma</w:t>
      </w:r>
      <w:r>
        <w:t xml:space="preserve"> </w:t>
      </w:r>
      <m:oMath>
        <m:r>
          <m:t>H</m:t>
        </m:r>
        <m:r>
          <m:rPr>
            <m:sty m:val="p"/>
          </m:rPr>
          <m:t>=</m:t>
        </m:r>
        <m:acc>
          <m:accPr>
            <m:chr m:val="⃗"/>
          </m:accPr>
          <m:e>
            <m:r>
              <m:t>μ</m:t>
            </m:r>
          </m:e>
        </m:acc>
        <m:r>
          <m:rPr>
            <m:sty m:val="p"/>
          </m:rPr>
          <m:t>⋅</m:t>
        </m:r>
        <m:acc>
          <m:accPr>
            <m:chr m:val="⃗"/>
          </m:accPr>
          <m:e>
            <m:r>
              <m:t>B</m:t>
            </m:r>
          </m:e>
        </m:acc>
      </m:oMath>
      <w:r>
        <w:t xml:space="preserve">, la diferencia de energías entre niveles vendrá dada por la ecuación</w:t>
      </w:r>
    </w:p>
    <w:p>
      <w:pPr>
        <w:pStyle w:val="BodyText"/>
      </w:pPr>
      <m:oMathPara>
        <m:oMathParaPr>
          <m:jc m:val="center"/>
        </m:oMathParaPr>
        <m:oMath>
          <m:r>
            <m:t>Δ</m:t>
          </m:r>
          <m:r>
            <m:t>E</m:t>
          </m:r>
          <m:r>
            <m:rPr>
              <m:sty m:val="p"/>
            </m:rPr>
            <m:t>=</m:t>
          </m:r>
          <m:r>
            <m:rPr>
              <m:sty m:val="p"/>
            </m:rPr>
            <m:t>−</m:t>
          </m:r>
          <m:sSub>
            <m:e>
              <m:r>
                <m:t>g</m:t>
              </m:r>
            </m:e>
            <m:sub>
              <m:r>
                <m:t>l</m:t>
              </m:r>
            </m:sub>
          </m:sSub>
          <m:sSub>
            <m:e>
              <m:r>
                <m:t>μ</m:t>
              </m:r>
            </m:e>
            <m:sub>
              <m:r>
                <m:t>B</m:t>
              </m:r>
            </m:sub>
          </m:sSub>
          <m:r>
            <m:t>Δ</m:t>
          </m:r>
          <m:sSub>
            <m:e>
              <m:r>
                <m:t>m</m:t>
              </m:r>
            </m:e>
            <m:sub>
              <m:r>
                <m:t>J</m:t>
              </m:r>
            </m:sub>
          </m:sSub>
          <m:r>
            <m:t>B</m:t>
          </m:r>
          <m:r>
            <m:rPr>
              <m:sty m:val="p"/>
            </m:rPr>
            <m:t>,</m:t>
          </m:r>
          <m:r>
            <m:t> </m:t>
          </m:r>
          <m:r>
            <m:rPr>
              <m:nor/>
              <m:sty m:val="p"/>
            </m:rPr>
            <m:t>(9.2)</m:t>
          </m:r>
        </m:oMath>
      </m:oMathPara>
    </w:p>
    <w:p>
      <w:pPr>
        <w:pStyle w:val="FirstParagraph"/>
      </w:pPr>
      <w:r>
        <w:t xml:space="preserve">con</w:t>
      </w:r>
      <w:r>
        <w:t xml:space="preserve"> </w:t>
      </w:r>
      <m:oMath>
        <m:r>
          <m:t>B</m:t>
        </m:r>
      </m:oMath>
      <w:r>
        <w:t xml:space="preserve"> </w:t>
      </w:r>
      <w:r>
        <w:t xml:space="preserve">el valor del campo magnético externo. En ausencia del polarizador, las tres líneas se pueden ver simultáneamente. Cada anillo que se observa en ausencia de campo magnético se divide en tres anillos cuando se aplica un campo magnético, un anillo central</w:t>
      </w:r>
      <w:r>
        <w:t xml:space="preserve"> </w:t>
      </w:r>
      <m:oMath>
        <m:r>
          <m:t>π</m:t>
        </m:r>
      </m:oMath>
      <w:r>
        <w:t xml:space="preserve"> </w:t>
      </w:r>
      <w:r>
        <w:t xml:space="preserve">y los anillos exterior e interior,</w:t>
      </w:r>
      <w:r>
        <w:t xml:space="preserve"> </w:t>
      </w:r>
      <m:oMath>
        <m:sSub>
          <m:e>
            <m:r>
              <m:t>σ</m:t>
            </m:r>
          </m:e>
          <m:sub>
            <m:r>
              <m:t>a</m:t>
            </m:r>
          </m:sub>
        </m:sSub>
      </m:oMath>
      <w:r>
        <w:t xml:space="preserve"> </w:t>
      </w:r>
      <w:r>
        <w:t xml:space="preserve">y</w:t>
      </w:r>
      <w:r>
        <w:t xml:space="preserve"> </w:t>
      </w:r>
      <m:oMath>
        <m:sSub>
          <m:e>
            <m:r>
              <m:t>σ</m:t>
            </m:r>
          </m:e>
          <m:sub>
            <m:r>
              <m:t>b</m:t>
            </m:r>
          </m:sub>
        </m:sSub>
      </m:oMath>
      <w:r>
        <w:t xml:space="preserve">, respectivamente. Introduciendo el polarizador se pueden observar las dos líneas</w:t>
      </w:r>
      <w:r>
        <w:t xml:space="preserve"> </w:t>
      </w:r>
      <m:oMath>
        <m:r>
          <m:t>σ</m:t>
        </m:r>
      </m:oMath>
      <w:r>
        <w:t xml:space="preserve"> </w:t>
      </w:r>
      <w:r>
        <w:t xml:space="preserve">exclusivamente si el analizador está en posición vertical, mientras que sólo aparece la línea</w:t>
      </w:r>
      <w:r>
        <w:t xml:space="preserve"> </w:t>
      </w:r>
      <m:oMath>
        <m:r>
          <m:t>π</m:t>
        </m:r>
      </m:oMath>
      <w:r>
        <w:t xml:space="preserve"> </w:t>
      </w:r>
      <w:r>
        <w:t xml:space="preserve">si el analizador está girado a su posición horizontal (efecto Zeeman transversal).</w:t>
      </w:r>
    </w:p>
    <w:p>
      <w:pPr>
        <w:pStyle w:val="BodyText"/>
      </w:pPr>
      <w:r>
        <w:t xml:space="preserve">Para una medida cuantitativa de este desdoblamiento en número de longitudes de onda, se utiliza un interferómetro de Fabry-Perot, cuyo funcionamiento se puede explicar brevemente. El etalón Fabry-Perot tiene una resolución de aproximadamente</w:t>
      </w:r>
      <w:r>
        <w:t xml:space="preserve"> </w:t>
      </w:r>
      <m:oMath>
        <m:r>
          <m:t>300</m:t>
        </m:r>
        <m:r>
          <m:t>000</m:t>
        </m:r>
      </m:oMath>
      <w:r>
        <w:t xml:space="preserve">, lo que significa que se puede detectar un cambio de longitud de onda de aproximadamente</w:t>
      </w:r>
      <w:r>
        <w:t xml:space="preserve"> </w:t>
      </w:r>
      <m:oMath>
        <m:r>
          <m:t>0</m:t>
        </m:r>
        <m:r>
          <m:rPr>
            <m:sty m:val="p"/>
          </m:rPr>
          <m:t>,</m:t>
        </m:r>
        <m:r>
          <m:t>002</m:t>
        </m:r>
        <m:r>
          <m:t> </m:t>
        </m:r>
        <m:r>
          <m:t>n</m:t>
        </m:r>
        <m:r>
          <m:t>m</m:t>
        </m:r>
      </m:oMath>
      <w:r>
        <w:t xml:space="preserve">. El étalon consta de dos placas de vidrio planas paralelas recubiertas en la superficie interna con una capa metálica parcialmente transmisora. Consideremos las dos superficies parcialmente transmisoras separadas por una distancia</w:t>
      </w:r>
      <w:r>
        <w:t xml:space="preserve"> </w:t>
      </w:r>
      <m:oMath>
        <m:r>
          <m:t>t</m:t>
        </m:r>
      </m:oMath>
      <w:r>
        <w:t xml:space="preserve">. Un rayo entrante que forme un ángulo</w:t>
      </w:r>
      <w:r>
        <w:t xml:space="preserve"> </w:t>
      </w:r>
      <m:oMath>
        <m:r>
          <m:t>φ</m:t>
        </m:r>
      </m:oMath>
      <w:r>
        <w:t xml:space="preserve"> </w:t>
      </w:r>
      <w:r>
        <w:t xml:space="preserve">con la normal a las placas se dividirá en los rayos una serie de rayos reflejados en las caras internas del etalón que saldrán paralelos entre sí. Aparace una diferencia de trayectoria entre los frentes de onda de dos rayos adyacentes. Mediante una lente convergente podemos concentrar los rayos paralelos salientes del etalón formando una serie de anillos concéntricos.</w:t>
      </w:r>
    </w:p>
    <w:p>
      <w:pPr>
        <w:pStyle w:val="BodyText"/>
      </w:pPr>
      <w:r>
        <w:t xml:space="preserve">Si llamamos</w:t>
      </w:r>
      <w:r>
        <w:t xml:space="preserve"> </w:t>
      </w:r>
      <m:oMath>
        <m:sSub>
          <m:e>
            <m:r>
              <m:t>r</m:t>
            </m:r>
          </m:e>
          <m:sub>
            <m:r>
              <m:t>p</m:t>
            </m:r>
            <m:r>
              <m:rPr>
                <m:sty m:val="p"/>
              </m:rPr>
              <m:t>,</m:t>
            </m:r>
            <m:r>
              <m:t>a</m:t>
            </m:r>
          </m:sub>
        </m:sSub>
      </m:oMath>
      <w:r>
        <w:t xml:space="preserve"> </w:t>
      </w:r>
      <w:r>
        <w:t xml:space="preserve">al radio del anillo externo perteneciente al orden de difracción</w:t>
      </w:r>
      <w:r>
        <w:t xml:space="preserve"> </w:t>
      </w:r>
      <m:oMath>
        <m:r>
          <m:t>p</m:t>
        </m:r>
      </m:oMath>
      <w:r>
        <w:t xml:space="preserve">-ésimo (contado desde afuera) asociado a la línea espectral de longitud de onda</w:t>
      </w:r>
      <w:r>
        <w:t xml:space="preserve"> </w:t>
      </w:r>
      <m:oMath>
        <m:sSub>
          <m:e>
            <m:r>
              <m:t>λ</m:t>
            </m:r>
          </m:e>
          <m:sub>
            <m:r>
              <m:t>a</m:t>
            </m:r>
          </m:sub>
        </m:sSub>
      </m:oMath>
      <w:r>
        <w:t xml:space="preserve"> </w:t>
      </w:r>
      <w:r>
        <w:t xml:space="preserve">y</w:t>
      </w:r>
      <w:r>
        <w:t xml:space="preserve"> </w:t>
      </w:r>
      <m:oMath>
        <m:sSub>
          <m:e>
            <m:r>
              <m:t>r</m:t>
            </m:r>
          </m:e>
          <m:sub>
            <m:r>
              <m:t>p</m:t>
            </m:r>
            <m:r>
              <m:rPr>
                <m:sty m:val="p"/>
              </m:rPr>
              <m:t>,</m:t>
            </m:r>
            <m:r>
              <m:t>b</m:t>
            </m:r>
          </m:sub>
        </m:sSub>
      </m:oMath>
      <w:r>
        <w:t xml:space="preserve"> </w:t>
      </w:r>
      <w:r>
        <w:t xml:space="preserve">el correspondiente anillo interior para la longitud de onda</w:t>
      </w:r>
      <w:r>
        <w:t xml:space="preserve"> </w:t>
      </w:r>
      <m:oMath>
        <m:sSub>
          <m:e>
            <m:r>
              <m:t>λ</m:t>
            </m:r>
          </m:e>
          <m:sub>
            <m:r>
              <m:t>b</m:t>
            </m:r>
          </m:sub>
        </m:sSub>
      </m:oMath>
      <w:r>
        <w:t xml:space="preserve">, es posible medir la diferencia de frecuencias entre los dos niveles espectrales</w:t>
      </w:r>
      <w:r>
        <w:t xml:space="preserve"> </w:t>
      </w:r>
      <m:oMath>
        <m:r>
          <m:t>Δ</m:t>
        </m:r>
        <m:r>
          <m:t>ν</m:t>
        </m:r>
        <m:r>
          <m:rPr>
            <m:sty m:val="p"/>
          </m:rPr>
          <m:t>=</m:t>
        </m:r>
        <m:sSub>
          <m:e>
            <m:r>
              <m:t>ν</m:t>
            </m:r>
          </m:e>
          <m:sub>
            <m:r>
              <m:t>a</m:t>
            </m:r>
          </m:sub>
        </m:sSub>
        <m:r>
          <m:rPr>
            <m:sty m:val="p"/>
          </m:rPr>
          <m:t>−</m:t>
        </m:r>
        <m:sSub>
          <m:e>
            <m:r>
              <m:t>ν</m:t>
            </m:r>
          </m:e>
          <m:sub>
            <m:r>
              <m:t>b</m:t>
            </m:r>
          </m:sub>
        </m:sSub>
      </m:oMath>
      <w:r>
        <w:t xml:space="preserve"> </w:t>
      </w:r>
      <w:r>
        <w:t xml:space="preserve">a partir de los radios de los anillos de la luz difractada saliendo de interferómetro. Definimos así las dos magnitudes</w:t>
      </w:r>
    </w:p>
    <w:p>
      <w:pPr>
        <w:pStyle w:val="BodyText"/>
      </w:pPr>
      <m:oMathPara>
        <m:oMathParaPr>
          <m:jc m:val="center"/>
        </m:oMathParaPr>
        <m:oMath>
          <m:m>
            <m:mPr>
              <m:baseJc m:val="center"/>
              <m:plcHide m:val="on"/>
              <m:mcs>
                <m:mc>
                  <m:mcPr>
                    <m:mcJc m:val="right"/>
                    <m:count m:val="1"/>
                  </m:mcPr>
                </m:mc>
                <m:mc>
                  <m:mcPr>
                    <m:mcJc m:val="left"/>
                    <m:count m:val="1"/>
                  </m:mcPr>
                </m:mc>
              </m:mcs>
            </m:mPr>
            <m:mr>
              <m:e>
                <m:sSubSup>
                  <m:e>
                    <m:r>
                      <m:t>Δ</m:t>
                    </m:r>
                  </m:e>
                  <m:sub>
                    <m:r>
                      <m:t>a</m:t>
                    </m:r>
                  </m:sub>
                  <m:sup>
                    <m:r>
                      <m:t>p</m:t>
                    </m:r>
                    <m:r>
                      <m:rPr>
                        <m:sty m:val="p"/>
                      </m:rPr>
                      <m:t>+</m:t>
                    </m:r>
                    <m:r>
                      <m:t>1</m:t>
                    </m:r>
                    <m:r>
                      <m:rPr>
                        <m:sty m:val="p"/>
                      </m:rPr>
                      <m:t>,</m:t>
                    </m:r>
                    <m:r>
                      <m:t>p</m:t>
                    </m:r>
                  </m:sup>
                </m:sSubSup>
              </m:e>
              <m:e>
                <m:r>
                  <m:rPr>
                    <m:sty m:val="p"/>
                  </m:rPr>
                  <m:t>=</m:t>
                </m:r>
                <m:sSubSup>
                  <m:e>
                    <m:r>
                      <m:t>r</m:t>
                    </m:r>
                  </m:e>
                  <m:sub>
                    <m:r>
                      <m:t>p</m:t>
                    </m:r>
                    <m:r>
                      <m:rPr>
                        <m:sty m:val="p"/>
                      </m:rPr>
                      <m:t>+</m:t>
                    </m:r>
                    <m:r>
                      <m:t>1</m:t>
                    </m:r>
                    <m:r>
                      <m:rPr>
                        <m:sty m:val="p"/>
                      </m:rPr>
                      <m:t>,</m:t>
                    </m:r>
                    <m:r>
                      <m:t>a</m:t>
                    </m:r>
                  </m:sub>
                  <m:sup>
                    <m:r>
                      <m:t>2</m:t>
                    </m:r>
                  </m:sup>
                </m:sSubSup>
                <m:r>
                  <m:rPr>
                    <m:sty m:val="p"/>
                  </m:rPr>
                  <m:t>−</m:t>
                </m:r>
                <m:sSubSup>
                  <m:e>
                    <m:r>
                      <m:t>r</m:t>
                    </m:r>
                  </m:e>
                  <m:sub>
                    <m:r>
                      <m:t>p</m:t>
                    </m:r>
                    <m:r>
                      <m:rPr>
                        <m:sty m:val="p"/>
                      </m:rPr>
                      <m:t>,</m:t>
                    </m:r>
                    <m:r>
                      <m:t>a</m:t>
                    </m:r>
                  </m:sub>
                  <m:sup>
                    <m:r>
                      <m:t>2</m:t>
                    </m:r>
                  </m:sup>
                </m:sSubSup>
                <m:r>
                  <m:t> </m:t>
                </m:r>
                <m:r>
                  <m:rPr>
                    <m:nor/>
                    <m:sty m:val="p"/>
                  </m:rPr>
                  <m:t>(9.3)</m:t>
                </m:r>
              </m:e>
            </m:mr>
            <m:mr>
              <m:e>
                <m:sSubSup>
                  <m:e>
                    <m:r>
                      <m:t>δ</m:t>
                    </m:r>
                  </m:e>
                  <m:sub>
                    <m:r>
                      <m:t>a</m:t>
                    </m:r>
                    <m:r>
                      <m:rPr>
                        <m:sty m:val="p"/>
                      </m:rPr>
                      <m:t>,</m:t>
                    </m:r>
                    <m:r>
                      <m:t>b</m:t>
                    </m:r>
                  </m:sub>
                  <m:sup>
                    <m:r>
                      <m:t>p</m:t>
                    </m:r>
                  </m:sup>
                </m:sSubSup>
              </m:e>
              <m:e>
                <m:r>
                  <m:rPr>
                    <m:sty m:val="p"/>
                  </m:rPr>
                  <m:t>=</m:t>
                </m:r>
                <m:sSubSup>
                  <m:e>
                    <m:r>
                      <m:t>r</m:t>
                    </m:r>
                  </m:e>
                  <m:sub>
                    <m:r>
                      <m:t>p</m:t>
                    </m:r>
                    <m:r>
                      <m:rPr>
                        <m:sty m:val="p"/>
                      </m:rPr>
                      <m:t>,</m:t>
                    </m:r>
                    <m:r>
                      <m:t>a</m:t>
                    </m:r>
                  </m:sub>
                  <m:sup>
                    <m:r>
                      <m:t>2</m:t>
                    </m:r>
                  </m:sup>
                </m:sSubSup>
                <m:r>
                  <m:rPr>
                    <m:sty m:val="p"/>
                  </m:rPr>
                  <m:t>−</m:t>
                </m:r>
                <m:sSubSup>
                  <m:e>
                    <m:r>
                      <m:t>r</m:t>
                    </m:r>
                  </m:e>
                  <m:sub>
                    <m:r>
                      <m:t>p</m:t>
                    </m:r>
                    <m:r>
                      <m:rPr>
                        <m:sty m:val="p"/>
                      </m:rPr>
                      <m:t>,</m:t>
                    </m:r>
                    <m:r>
                      <m:t>b</m:t>
                    </m:r>
                  </m:sub>
                  <m:sup>
                    <m:r>
                      <m:t>2</m:t>
                    </m:r>
                  </m:sup>
                </m:sSubSup>
                <m:r>
                  <m:rPr>
                    <m:sty m:val="p"/>
                  </m:rPr>
                  <m:t>,</m:t>
                </m:r>
                <m:r>
                  <m:t> </m:t>
                </m:r>
                <m:r>
                  <m:rPr>
                    <m:nor/>
                    <m:sty m:val="p"/>
                  </m:rPr>
                  <m:t>(9.4)</m:t>
                </m:r>
              </m:e>
            </m:mr>
          </m:m>
        </m:oMath>
      </m:oMathPara>
    </w:p>
    <w:p>
      <w:pPr>
        <w:pStyle w:val="FirstParagraph"/>
      </w:pPr>
      <w:r>
        <w:t xml:space="preserve">cons</w:t>
      </w:r>
      <w:r>
        <w:t xml:space="preserve"> </w:t>
      </w:r>
      <m:oMath>
        <m:r>
          <m:t>p</m:t>
        </m:r>
        <m:r>
          <m:rPr>
            <m:sty m:val="p"/>
          </m:rPr>
          <m:t>=</m:t>
        </m:r>
        <m:r>
          <m:t>1</m:t>
        </m:r>
        <m:r>
          <m:rPr>
            <m:sty m:val="p"/>
          </m:rPr>
          <m:t>,</m:t>
        </m:r>
        <m:r>
          <m:t>2</m:t>
        </m:r>
        <m:r>
          <m:rPr>
            <m:sty m:val="p"/>
          </m:rPr>
          <m:t>,</m:t>
        </m:r>
        <m:r>
          <m:t>3</m:t>
        </m:r>
      </m:oMath>
      <w:r>
        <w:t xml:space="preserve"> </w:t>
      </w:r>
      <w:r>
        <w:t xml:space="preserve">en el primer caso de</w:t>
      </w:r>
      <w:r>
        <w:t xml:space="preserve"> </w:t>
      </w:r>
      <m:oMath>
        <m:sSubSup>
          <m:e>
            <m:r>
              <m:t>Δ</m:t>
            </m:r>
          </m:e>
          <m:sub>
            <m:r>
              <m:t>a</m:t>
            </m:r>
          </m:sub>
          <m:sup>
            <m:r>
              <m:t>p</m:t>
            </m:r>
            <m:r>
              <m:rPr>
                <m:sty m:val="p"/>
              </m:rPr>
              <m:t>+</m:t>
            </m:r>
            <m:r>
              <m:t>1</m:t>
            </m:r>
            <m:r>
              <m:rPr>
                <m:sty m:val="p"/>
              </m:rPr>
              <m:t>,</m:t>
            </m:r>
            <m:r>
              <m:t>p</m:t>
            </m:r>
          </m:sup>
        </m:sSubSup>
      </m:oMath>
      <w:r>
        <w:t xml:space="preserve"> </w:t>
      </w:r>
      <w:r>
        <w:t xml:space="preserve">y</w:t>
      </w:r>
      <w:r>
        <w:t xml:space="preserve"> </w:t>
      </w:r>
      <m:oMath>
        <m:r>
          <m:t>p</m:t>
        </m:r>
        <m:r>
          <m:rPr>
            <m:sty m:val="p"/>
          </m:rPr>
          <m:t>=</m:t>
        </m:r>
        <m:r>
          <m:t>1</m:t>
        </m:r>
        <m:r>
          <m:rPr>
            <m:sty m:val="p"/>
          </m:rPr>
          <m:t>,</m:t>
        </m:r>
        <m:r>
          <m:t>2</m:t>
        </m:r>
        <m:r>
          <m:rPr>
            <m:sty m:val="p"/>
          </m:rPr>
          <m:t>,</m:t>
        </m:r>
        <m:r>
          <m:t>3</m:t>
        </m:r>
        <m:r>
          <m:rPr>
            <m:sty m:val="p"/>
          </m:rPr>
          <m:t>,</m:t>
        </m:r>
        <m:r>
          <m:t>4</m:t>
        </m:r>
      </m:oMath>
      <w:r>
        <w:t xml:space="preserve"> </w:t>
      </w:r>
      <w:r>
        <w:t xml:space="preserve">para</w:t>
      </w:r>
      <w:r>
        <w:t xml:space="preserve"> </w:t>
      </w:r>
      <m:oMath>
        <m:sSubSup>
          <m:e>
            <m:r>
              <m:t>δ</m:t>
            </m:r>
          </m:e>
          <m:sub>
            <m:r>
              <m:t>a</m:t>
            </m:r>
            <m:r>
              <m:rPr>
                <m:sty m:val="p"/>
              </m:rPr>
              <m:t>,</m:t>
            </m:r>
            <m:r>
              <m:t>b</m:t>
            </m:r>
          </m:sub>
          <m:sup>
            <m:r>
              <m:t>p</m:t>
            </m:r>
          </m:sup>
        </m:sSubSup>
      </m:oMath>
      <w:r>
        <w:t xml:space="preserve">. A partir de ellas se pueden obtener los promedios</w:t>
      </w:r>
      <w:r>
        <w:t xml:space="preserve"> </w:t>
      </w:r>
      <m:oMath>
        <m:r>
          <m:t>Δ</m:t>
        </m:r>
      </m:oMath>
      <w:r>
        <w:t xml:space="preserve"> </w:t>
      </w:r>
      <w:r>
        <w:t xml:space="preserve">y</w:t>
      </w:r>
      <w:r>
        <w:t xml:space="preserve"> </w:t>
      </w:r>
      <m:oMath>
        <m:r>
          <m:t>δ</m:t>
        </m:r>
      </m:oMath>
      <w:r>
        <w:t xml:space="preserve"> </w:t>
      </w:r>
      <w:r>
        <w:t xml:space="preserve">-tal y como se muestra más abajo-, para obtener la diferencia de frecuencias</w:t>
      </w:r>
      <w:r>
        <w:t xml:space="preserve"> </w:t>
      </w:r>
      <m:oMath>
        <m:r>
          <m:t>Δ</m:t>
        </m:r>
        <m:r>
          <m:t>ν</m:t>
        </m:r>
      </m:oMath>
      <w:r>
        <w:t xml:space="preserve"> </w:t>
      </w:r>
      <w:r>
        <w:t xml:space="preserve">promedio a partir de las medidas de los radios de los anillos, dando como resultado</w:t>
      </w:r>
    </w:p>
    <w:p>
      <w:pPr>
        <w:pStyle w:val="BodyText"/>
      </w:pPr>
      <m:oMathPara>
        <m:oMathParaPr>
          <m:jc m:val="center"/>
        </m:oMathParaPr>
        <m:oMath>
          <m:r>
            <m:t>Δ</m:t>
          </m:r>
          <m:r>
            <m:t>ν</m:t>
          </m:r>
          <m:r>
            <m:rPr>
              <m:sty m:val="p"/>
            </m:rPr>
            <m:t>=</m:t>
          </m:r>
          <m:f>
            <m:fPr>
              <m:type m:val="bar"/>
            </m:fPr>
            <m:num>
              <m:r>
                <m:t>c</m:t>
              </m:r>
            </m:num>
            <m:den>
              <m:r>
                <m:t>2</m:t>
              </m:r>
              <m:r>
                <m:t>μ</m:t>
              </m:r>
              <m:r>
                <m:t>t</m:t>
              </m:r>
            </m:den>
          </m:f>
          <m:f>
            <m:fPr>
              <m:type m:val="bar"/>
            </m:fPr>
            <m:num>
              <m:r>
                <m:t>δ</m:t>
              </m:r>
            </m:num>
            <m:den>
              <m:r>
                <m:t>Δ</m:t>
              </m:r>
            </m:den>
          </m:f>
          <m:r>
            <m:rPr>
              <m:sty m:val="p"/>
            </m:rPr>
            <m:t>,</m:t>
          </m:r>
          <m:r>
            <m:t> </m:t>
          </m:r>
          <m:r>
            <m:rPr>
              <m:nor/>
              <m:sty m:val="p"/>
            </m:rPr>
            <m:t>(9.5)</m:t>
          </m:r>
        </m:oMath>
      </m:oMathPara>
    </w:p>
    <w:p>
      <w:pPr>
        <w:pStyle w:val="FirstParagraph"/>
      </w:pPr>
      <w:r>
        <w:t xml:space="preserve">donde</w:t>
      </w:r>
      <w:r>
        <w:t xml:space="preserve"> </w:t>
      </w:r>
      <m:oMath>
        <m:r>
          <m:t>c</m:t>
        </m:r>
      </m:oMath>
      <w:r>
        <w:t xml:space="preserve"> </w:t>
      </w:r>
      <w:r>
        <w:t xml:space="preserve">la velocidad de la luz en el vacío,</w:t>
      </w:r>
      <w:r>
        <w:t xml:space="preserve"> </w:t>
      </w:r>
      <m:oMath>
        <m:r>
          <m:t>t</m:t>
        </m:r>
        <m:r>
          <m:rPr>
            <m:sty m:val="p"/>
          </m:rPr>
          <m:t>=</m:t>
        </m:r>
        <m:r>
          <m:t>3</m:t>
        </m:r>
      </m:oMath>
      <w:r>
        <w:t xml:space="preserve">mm es la distancia entre planos del interferometro Fabry-Perot y</w:t>
      </w:r>
      <w:r>
        <w:t xml:space="preserve"> </w:t>
      </w:r>
      <m:oMath>
        <m:r>
          <m:t>μ</m:t>
        </m:r>
        <m:r>
          <m:rPr>
            <m:sty m:val="p"/>
          </m:rPr>
          <m:t>=</m:t>
        </m:r>
        <m:r>
          <m:t>1.456</m:t>
        </m:r>
      </m:oMath>
      <w:r>
        <w:t xml:space="preserve"> </w:t>
      </w:r>
      <w:r>
        <w:t xml:space="preserve">el indice de refracción del filtro del interferometro. Se miden</w:t>
      </w:r>
      <w:r>
        <w:t xml:space="preserve"> </w:t>
      </w:r>
      <m:oMath>
        <m:r>
          <m:t>Δ</m:t>
        </m:r>
      </m:oMath>
      <w:r>
        <w:t xml:space="preserve"> </w:t>
      </w:r>
      <w:r>
        <w:t xml:space="preserve">el valor promedio de las diferencias de radios al cuadrado de los anillos y</w:t>
      </w:r>
      <w:r>
        <w:t xml:space="preserve"> </w:t>
      </w:r>
      <m:oMath>
        <m:r>
          <m:t>δ</m:t>
        </m:r>
      </m:oMath>
      <w:r>
        <w:t xml:space="preserve"> </w:t>
      </w:r>
      <w:r>
        <w:t xml:space="preserve">el promedio de la diferencia de trayecto entre anillos adyacentes, como se verá más adelante en la sección de resultados.</w:t>
      </w:r>
    </w:p>
    <w:bookmarkEnd w:id="24"/>
    <w:bookmarkStart w:id="28" w:name="montaje-experimental"/>
    <w:p>
      <w:pPr>
        <w:pStyle w:val="Heading2"/>
      </w:pPr>
      <w:r>
        <w:t xml:space="preserve">Montaje experimental</w:t>
      </w:r>
    </w:p>
    <w:p>
      <w:pPr>
        <w:pStyle w:val="FirstParagraph"/>
      </w:pPr>
      <w:r>
        <w:t xml:space="preserve">Se dispone de dos piezas de imanes polares montados en una mesa giratoria de tal forma que la bombilla de Cd este situada a igual distancia de los imanes. Se puede ajustar la intensidad del campo cambiando la distancia entre imanes.</w:t>
      </w:r>
    </w:p>
    <w:p>
      <w:pPr>
        <w:pStyle w:val="BodyText"/>
      </w:pPr>
      <w:r>
        <w:t xml:space="preserve">En cuanto a la mesa giratoria, se dispondrá una lente a la salida, seguido del etalón Fabry-Perot, como se muestra en la Fig. 9.2. A continuación vendrán la lente</w:t>
      </w:r>
      <w:r>
        <w:t xml:space="preserve"> </w:t>
      </w:r>
      <m:oMath>
        <m:sSub>
          <m:e>
            <m:r>
              <m:t>L</m:t>
            </m:r>
          </m:e>
          <m:sub>
            <m:r>
              <m:t>1</m:t>
            </m:r>
          </m:sub>
        </m:sSub>
      </m:oMath>
      <w:r>
        <w:t xml:space="preserve"> </w:t>
      </w:r>
      <w:r>
        <w:t xml:space="preserve">de focal</w:t>
      </w:r>
      <w:r>
        <w:t xml:space="preserve"> </w:t>
      </w:r>
      <m:oMath>
        <m:r>
          <m:t>f</m:t>
        </m:r>
        <m:r>
          <m:rPr>
            <m:sty m:val="p"/>
          </m:rPr>
          <m:t>=</m:t>
        </m:r>
        <m:r>
          <m:t>50</m:t>
        </m:r>
        <m:r>
          <m:t> </m:t>
        </m:r>
        <m:r>
          <m:t>m</m:t>
        </m:r>
        <m:r>
          <m:t>m</m:t>
        </m:r>
      </m:oMath>
      <w:r>
        <w:t xml:space="preserve">, incorporada en el étalon, creando un haz de luz casi paralelo, necesario para generar un patrón de interferencia adecuado. El étalon contiene un filtro de color intercambiable que filtra la línea roja de cadmio. La lente</w:t>
      </w:r>
      <w:r>
        <w:t xml:space="preserve"> </w:t>
      </w:r>
      <m:oMath>
        <m:sSub>
          <m:e>
            <m:r>
              <m:t>L</m:t>
            </m:r>
          </m:e>
          <m:sub>
            <m:r>
              <m:t>2</m:t>
            </m:r>
          </m:sub>
        </m:sSub>
      </m:oMath>
      <w:r>
        <w:t xml:space="preserve">, de focal</w:t>
      </w:r>
      <w:r>
        <w:t xml:space="preserve"> </w:t>
      </w:r>
      <m:oMath>
        <m:r>
          <m:t>f</m:t>
        </m:r>
        <m:r>
          <m:rPr>
            <m:sty m:val="p"/>
          </m:rPr>
          <m:t>=</m:t>
        </m:r>
        <m:r>
          <m:t>300</m:t>
        </m:r>
        <m:r>
          <m:t> </m:t>
        </m:r>
        <m:r>
          <m:t>m</m:t>
        </m:r>
        <m:r>
          <m:t>m</m:t>
        </m:r>
      </m:oMath>
      <w:r>
        <w:t xml:space="preserve">, se colocará a la salida del etalón, produciendo un patrón de interferencia de anillos dentro del plano de la pantalla. El sistema de anillos se observa a través de una lente</w:t>
      </w:r>
      <w:r>
        <w:t xml:space="preserve"> </w:t>
      </w:r>
      <m:oMath>
        <m:sSub>
          <m:e>
            <m:r>
              <m:t>L</m:t>
            </m:r>
          </m:e>
          <m:sub>
            <m:r>
              <m:t>3</m:t>
            </m:r>
          </m:sub>
        </m:sSub>
      </m:oMath>
      <w:r>
        <w:t xml:space="preserve"> </w:t>
      </w:r>
      <w:r>
        <w:t xml:space="preserve">y los diámetros de los anillos se pueden medir, por ejemplo, registrando la imagen mediante una cámara fotográfica CMOS.</w:t>
      </w:r>
    </w:p>
    <w:tbl>
      <w:tblPr>
        <w:tblStyle w:val="FigureTable"/>
        <w:tblW w:type="auto" w:w="0"/>
        <w:tblLook w:firstRow="0" w:lastRow="0" w:firstColumn="0" w:lastColumn="0"/>
        <w:jc w:val="center"/>
      </w:tblPr>
      <w:tblGrid>
        <w:gridCol w:w="7920"/>
      </w:tblGrid>
      <w:tr>
        <w:tc>
          <w:tcPr/>
          <w:p>
            <w:pPr>
              <w:pStyle w:val="Compact"/>
              <w:jc w:val="center"/>
            </w:pPr>
            <w:r>
              <w:drawing>
                <wp:inline>
                  <wp:extent cx="5039999" cy="2293199"/>
                  <wp:effectExtent b="0" l="0" r="0" t="0"/>
                  <wp:docPr descr="" title="" id="26" name="Picture"/>
                  <a:graphic>
                    <a:graphicData uri="http://schemas.openxmlformats.org/drawingml/2006/picture">
                      <pic:pic>
                        <pic:nvPicPr>
                          <pic:cNvPr descr="img/fig_z2.jpg" id="27" name="Picture"/>
                          <pic:cNvPicPr>
                            <a:picLocks noChangeArrowheads="1" noChangeAspect="1"/>
                          </pic:cNvPicPr>
                        </pic:nvPicPr>
                        <pic:blipFill>
                          <a:blip r:embed="rId25"/>
                          <a:stretch>
                            <a:fillRect/>
                          </a:stretch>
                        </pic:blipFill>
                        <pic:spPr bwMode="auto">
                          <a:xfrm>
                            <a:off x="0" y="0"/>
                            <a:ext cx="5039999" cy="2293199"/>
                          </a:xfrm>
                          <a:prstGeom prst="rect">
                            <a:avLst/>
                          </a:prstGeom>
                          <a:noFill/>
                          <a:ln w="9525">
                            <a:noFill/>
                            <a:headEnd/>
                            <a:tailEnd/>
                          </a:ln>
                        </pic:spPr>
                      </pic:pic>
                    </a:graphicData>
                  </a:graphic>
                </wp:inline>
              </w:drawing>
            </w:r>
          </w:p>
        </w:tc>
      </w:tr>
    </w:tbl>
    <w:p>
      <w:pPr>
        <w:pStyle w:val="ImageCaption"/>
      </w:pPr>
      <w:r>
        <w:t xml:space="preserve">Figura 9.2: Montaje experimental.</w:t>
      </w:r>
    </w:p>
    <w:bookmarkEnd w:id="28"/>
    <w:bookmarkStart w:id="32" w:name="resultados"/>
    <w:p>
      <w:pPr>
        <w:pStyle w:val="Heading2"/>
      </w:pPr>
      <w:r>
        <w:t xml:space="preserve">Resultados</w:t>
      </w:r>
    </w:p>
    <w:p>
      <w:pPr>
        <w:pStyle w:val="FirstParagraph"/>
      </w:pPr>
      <w:r>
        <w:t xml:space="preserve">La relación entre intensidad del campo magnético y distancia entre piezas polares viene dado en la figura 9.3. Esta curva es esencial para relacionar los radios de los anillos con la intensidad del campo magnético.</w:t>
      </w:r>
    </w:p>
    <w:tbl>
      <w:tblPr>
        <w:tblStyle w:val="FigureTable"/>
        <w:tblW w:type="auto" w:w="0"/>
        <w:tblLook w:firstRow="0" w:lastRow="0" w:firstColumn="0" w:lastColumn="0"/>
        <w:jc w:val="center"/>
      </w:tblPr>
      <w:tblGrid>
        <w:gridCol w:w="7920"/>
      </w:tblGrid>
      <w:tr>
        <w:tc>
          <w:tcPr/>
          <w:p>
            <w:pPr>
              <w:pStyle w:val="Compact"/>
              <w:jc w:val="center"/>
            </w:pPr>
            <w:r>
              <w:drawing>
                <wp:inline>
                  <wp:extent cx="2519999" cy="2373913"/>
                  <wp:effectExtent b="0" l="0" r="0" t="0"/>
                  <wp:docPr descr="" title="" id="30" name="Picture"/>
                  <a:graphic>
                    <a:graphicData uri="http://schemas.openxmlformats.org/drawingml/2006/picture">
                      <pic:pic>
                        <pic:nvPicPr>
                          <pic:cNvPr descr="img/curva_Bmag_zeeman.png" id="31" name="Picture"/>
                          <pic:cNvPicPr>
                            <a:picLocks noChangeArrowheads="1" noChangeAspect="1"/>
                          </pic:cNvPicPr>
                        </pic:nvPicPr>
                        <pic:blipFill>
                          <a:blip r:embed="rId29"/>
                          <a:stretch>
                            <a:fillRect/>
                          </a:stretch>
                        </pic:blipFill>
                        <pic:spPr bwMode="auto">
                          <a:xfrm>
                            <a:off x="0" y="0"/>
                            <a:ext cx="2519999" cy="2373913"/>
                          </a:xfrm>
                          <a:prstGeom prst="rect">
                            <a:avLst/>
                          </a:prstGeom>
                          <a:noFill/>
                          <a:ln w="9525">
                            <a:noFill/>
                            <a:headEnd/>
                            <a:tailEnd/>
                          </a:ln>
                        </pic:spPr>
                      </pic:pic>
                    </a:graphicData>
                  </a:graphic>
                </wp:inline>
              </w:drawing>
            </w:r>
          </w:p>
        </w:tc>
      </w:tr>
    </w:tbl>
    <w:p>
      <w:pPr>
        <w:pStyle w:val="ImageCaption"/>
      </w:pPr>
      <w:r>
        <w:t xml:space="preserve">Figura 9.3: Relación entre el valor del campo magnético y la distancia entre piezas polares.</w:t>
      </w:r>
    </w:p>
    <w:p>
      <w:pPr>
        <w:numPr>
          <w:ilvl w:val="0"/>
          <w:numId w:val="1001"/>
        </w:numPr>
      </w:pPr>
      <w:r>
        <w:t xml:space="preserve">A partir de las medidas en la pantalla del ordenador de los patrones de interferencia obtener los siguientes datos para</w:t>
      </w:r>
      <w:r>
        <w:t xml:space="preserve"> </w:t>
      </w:r>
      <w:r>
        <w:t xml:space="preserve">cinco distancias entre piezas polares elegidas por el alumno (sólo se representa el campo para distancias de 30mm a 50mm en la figura 9.3):</w:t>
      </w:r>
    </w:p>
    <w:tbl>
      <w:tblPr>
        <w:tblStyle w:val="Table"/>
        <w:tblW w:type="auto" w:w="0"/>
        <w:tblLook w:firstRow="1" w:lastRow="0" w:firstColumn="0" w:lastColumn="0" w:noHBand="0" w:noVBand="0" w:val="0020"/>
        <w:jc w:val="start"/>
        <w:tblInd w:w="720" w:type="dxa"/>
        <w:tblLayout w:type="fixed"/>
      </w:tblPr>
      <w:tblGrid>
        <w:gridCol w:w="3877"/>
        <w:gridCol w:w="912"/>
        <w:gridCol w:w="1140"/>
        <w:gridCol w:w="1140"/>
        <w:gridCol w:w="1140"/>
        <w:gridCol w:w="1141"/>
      </w:tblGrid>
      <w:tr>
        <w:trPr>
          <w:tblHeader w:val="true"/>
        </w:trPr>
        <w:tc>
          <w:tcPr/>
          <w:p>
            <w:pPr>
              <w:pStyle w:val="Compact"/>
              <w:jc w:val="left"/>
            </w:pPr>
            <w:r>
              <w:t xml:space="preserve">Anillos</w:t>
            </w:r>
          </w:p>
        </w:tc>
        <w:tc>
          <w:tcPr/>
          <w:p>
            <w:pPr>
              <w:pStyle w:val="Compact"/>
              <w:jc w:val="left"/>
            </w:pPr>
            <m:oMath>
              <m:sSub>
                <m:e>
                  <m:r>
                    <m:t>d</m:t>
                  </m:r>
                </m:e>
                <m:sub>
                  <m:r>
                    <m:t>1</m:t>
                  </m:r>
                </m:sub>
              </m:sSub>
              <m:r>
                <m:rPr>
                  <m:sty m:val="p"/>
                </m:rPr>
                <m:t>=</m:t>
              </m:r>
            </m:oMath>
          </w:p>
        </w:tc>
        <w:tc>
          <w:tcPr/>
          <w:p>
            <w:pPr>
              <w:pStyle w:val="Compact"/>
              <w:jc w:val="left"/>
            </w:pPr>
            <m:oMath>
              <m:sSub>
                <m:e>
                  <m:r>
                    <m:t>d</m:t>
                  </m:r>
                </m:e>
                <m:sub>
                  <m:r>
                    <m:t>2</m:t>
                  </m:r>
                </m:sub>
              </m:sSub>
              <m:r>
                <m:rPr>
                  <m:sty m:val="p"/>
                </m:rPr>
                <m:t>=</m:t>
              </m:r>
            </m:oMath>
          </w:p>
        </w:tc>
        <w:tc>
          <w:tcPr/>
          <w:p>
            <w:pPr>
              <w:pStyle w:val="Compact"/>
              <w:jc w:val="left"/>
            </w:pPr>
            <m:oMath>
              <m:sSub>
                <m:e>
                  <m:r>
                    <m:t>d</m:t>
                  </m:r>
                </m:e>
                <m:sub>
                  <m:r>
                    <m:t>3</m:t>
                  </m:r>
                </m:sub>
              </m:sSub>
              <m:r>
                <m:rPr>
                  <m:sty m:val="p"/>
                </m:rPr>
                <m:t>=</m:t>
              </m:r>
            </m:oMath>
          </w:p>
        </w:tc>
        <w:tc>
          <w:tcPr/>
          <w:p>
            <w:pPr>
              <w:pStyle w:val="Compact"/>
              <w:jc w:val="left"/>
            </w:pPr>
            <m:oMath>
              <m:sSub>
                <m:e>
                  <m:r>
                    <m:t>d</m:t>
                  </m:r>
                </m:e>
                <m:sub>
                  <m:r>
                    <m:t>4</m:t>
                  </m:r>
                </m:sub>
              </m:sSub>
              <m:r>
                <m:rPr>
                  <m:sty m:val="p"/>
                </m:rPr>
                <m:t>=</m:t>
              </m:r>
            </m:oMath>
          </w:p>
        </w:tc>
        <w:tc>
          <w:tcPr/>
          <w:p>
            <w:pPr>
              <w:pStyle w:val="Compact"/>
              <w:jc w:val="left"/>
            </w:pPr>
            <m:oMath>
              <m:sSub>
                <m:e>
                  <m:r>
                    <m:t>d</m:t>
                  </m:r>
                </m:e>
                <m:sub>
                  <m:r>
                    <m:t>5</m:t>
                  </m:r>
                </m:sub>
              </m:sSub>
              <m:r>
                <m:rPr>
                  <m:sty m:val="p"/>
                </m:rPr>
                <m:t>=</m:t>
              </m:r>
            </m:oMath>
          </w:p>
        </w:tc>
      </w:tr>
      <w:tr>
        <w:tc>
          <w:tcPr/>
          <w:p>
            <w:pPr>
              <w:pStyle w:val="Compact"/>
              <w:jc w:val="left"/>
            </w:pPr>
            <m:oMath>
              <m:sSub>
                <m:e>
                  <m:r>
                    <m:t>r</m:t>
                  </m:r>
                </m:e>
                <m:sub>
                  <m:r>
                    <m:t>4</m:t>
                  </m:r>
                  <m:r>
                    <m:rPr>
                      <m:sty m:val="p"/>
                    </m:rPr>
                    <m:t>,</m:t>
                  </m:r>
                  <m:r>
                    <m:t>a</m:t>
                  </m:r>
                </m:sub>
              </m:sSub>
              <m:r>
                <m:rPr>
                  <m:sty m:val="p"/>
                </m:rPr>
                <m:t>±</m:t>
              </m:r>
              <m:sSub>
                <m:e>
                  <m:r>
                    <m:t>ϵ</m:t>
                  </m:r>
                </m:e>
                <m:sub>
                  <m:r>
                    <m:t>r</m:t>
                  </m:r>
                </m:sub>
              </m:sSub>
            </m:oMath>
            <w:r>
              <w:t xml:space="preserve"> </w:t>
            </w:r>
            <w:r>
              <w:t xml:space="preserve">(m)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sSub>
                <m:e>
                  <m:r>
                    <m:t>r</m:t>
                  </m:r>
                </m:e>
                <m:sub>
                  <m:r>
                    <m:t>4</m:t>
                  </m:r>
                  <m:r>
                    <m:rPr>
                      <m:sty m:val="p"/>
                    </m:rPr>
                    <m:t>,</m:t>
                  </m:r>
                  <m:r>
                    <m:t>b</m:t>
                  </m:r>
                </m:sub>
              </m:sSub>
              <m:r>
                <m:rPr>
                  <m:sty m:val="p"/>
                </m:rPr>
                <m:t>±</m:t>
              </m:r>
              <m:sSub>
                <m:e>
                  <m:r>
                    <m:t>ϵ</m:t>
                  </m:r>
                </m:e>
                <m:sub>
                  <m:r>
                    <m:t>r</m:t>
                  </m:r>
                </m:sub>
              </m:sSub>
            </m:oMath>
            <w:r>
              <w:t xml:space="preserve"> </w:t>
            </w:r>
            <w:r>
              <w:t xml:space="preserve">(m)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sSub>
                <m:e>
                  <m:r>
                    <m:t>r</m:t>
                  </m:r>
                </m:e>
                <m:sub>
                  <m:r>
                    <m:t>3</m:t>
                  </m:r>
                  <m:r>
                    <m:rPr>
                      <m:sty m:val="p"/>
                    </m:rPr>
                    <m:t>,</m:t>
                  </m:r>
                  <m:r>
                    <m:t>a</m:t>
                  </m:r>
                </m:sub>
              </m:sSub>
              <m:r>
                <m:rPr>
                  <m:sty m:val="p"/>
                </m:rPr>
                <m:t>±</m:t>
              </m:r>
              <m:sSub>
                <m:e>
                  <m:r>
                    <m:t>ϵ</m:t>
                  </m:r>
                </m:e>
                <m:sub>
                  <m:r>
                    <m:t>r</m:t>
                  </m:r>
                </m:sub>
              </m:sSub>
            </m:oMath>
            <w:r>
              <w:t xml:space="preserve"> </w:t>
            </w:r>
            <w:r>
              <w:t xml:space="preserve">(m)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sSub>
                <m:e>
                  <m:r>
                    <m:t>r</m:t>
                  </m:r>
                </m:e>
                <m:sub>
                  <m:r>
                    <m:t>3</m:t>
                  </m:r>
                  <m:r>
                    <m:rPr>
                      <m:sty m:val="p"/>
                    </m:rPr>
                    <m:t>,</m:t>
                  </m:r>
                  <m:r>
                    <m:t>b</m:t>
                  </m:r>
                </m:sub>
              </m:sSub>
              <m:r>
                <m:rPr>
                  <m:sty m:val="p"/>
                </m:rPr>
                <m:t>±</m:t>
              </m:r>
              <m:sSub>
                <m:e>
                  <m:r>
                    <m:t>ϵ</m:t>
                  </m:r>
                </m:e>
                <m:sub>
                  <m:r>
                    <m:t>r</m:t>
                  </m:r>
                </m:sub>
              </m:sSub>
            </m:oMath>
            <w:r>
              <w:t xml:space="preserve"> </w:t>
            </w:r>
            <w:r>
              <w:t xml:space="preserve">(m)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sSub>
                <m:e>
                  <m:r>
                    <m:t>r</m:t>
                  </m:r>
                </m:e>
                <m:sub>
                  <m:r>
                    <m:t>2</m:t>
                  </m:r>
                  <m:r>
                    <m:rPr>
                      <m:sty m:val="p"/>
                    </m:rPr>
                    <m:t>,</m:t>
                  </m:r>
                  <m:r>
                    <m:t>a</m:t>
                  </m:r>
                </m:sub>
              </m:sSub>
              <m:r>
                <m:rPr>
                  <m:sty m:val="p"/>
                </m:rPr>
                <m:t>±</m:t>
              </m:r>
              <m:sSub>
                <m:e>
                  <m:r>
                    <m:t>ϵ</m:t>
                  </m:r>
                </m:e>
                <m:sub>
                  <m:r>
                    <m:t>r</m:t>
                  </m:r>
                </m:sub>
              </m:sSub>
            </m:oMath>
            <w:r>
              <w:t xml:space="preserve"> </w:t>
            </w:r>
            <w:r>
              <w:t xml:space="preserve">(m)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sSub>
                <m:e>
                  <m:r>
                    <m:t>r</m:t>
                  </m:r>
                </m:e>
                <m:sub>
                  <m:r>
                    <m:t>2</m:t>
                  </m:r>
                  <m:r>
                    <m:rPr>
                      <m:sty m:val="p"/>
                    </m:rPr>
                    <m:t>,</m:t>
                  </m:r>
                  <m:r>
                    <m:t>b</m:t>
                  </m:r>
                </m:sub>
              </m:sSub>
              <m:r>
                <m:rPr>
                  <m:sty m:val="p"/>
                </m:rPr>
                <m:t>±</m:t>
              </m:r>
              <m:sSub>
                <m:e>
                  <m:r>
                    <m:t>ϵ</m:t>
                  </m:r>
                </m:e>
                <m:sub>
                  <m:r>
                    <m:t>r</m:t>
                  </m:r>
                </m:sub>
              </m:sSub>
            </m:oMath>
            <w:r>
              <w:t xml:space="preserve"> </w:t>
            </w:r>
            <w:r>
              <w:t xml:space="preserve">(m)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sSub>
                <m:e>
                  <m:r>
                    <m:t>r</m:t>
                  </m:r>
                </m:e>
                <m:sub>
                  <m:r>
                    <m:t>1</m:t>
                  </m:r>
                  <m:r>
                    <m:rPr>
                      <m:sty m:val="p"/>
                    </m:rPr>
                    <m:t>,</m:t>
                  </m:r>
                  <m:r>
                    <m:t>a</m:t>
                  </m:r>
                </m:sub>
              </m:sSub>
              <m:r>
                <m:rPr>
                  <m:sty m:val="p"/>
                </m:rPr>
                <m:t>±</m:t>
              </m:r>
              <m:sSub>
                <m:e>
                  <m:r>
                    <m:t>ϵ</m:t>
                  </m:r>
                </m:e>
                <m:sub>
                  <m:r>
                    <m:t>r</m:t>
                  </m:r>
                </m:sub>
              </m:sSub>
            </m:oMath>
            <w:r>
              <w:t xml:space="preserve"> </w:t>
            </w:r>
            <w:r>
              <w:t xml:space="preserve">(m)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sSub>
                <m:e>
                  <m:r>
                    <m:t>r</m:t>
                  </m:r>
                </m:e>
                <m:sub>
                  <m:r>
                    <m:t>1</m:t>
                  </m:r>
                  <m:r>
                    <m:rPr>
                      <m:sty m:val="p"/>
                    </m:rPr>
                    <m:t>,</m:t>
                  </m:r>
                  <m:r>
                    <m:t>b</m:t>
                  </m:r>
                </m:sub>
              </m:sSub>
              <m:r>
                <m:rPr>
                  <m:sty m:val="p"/>
                </m:rPr>
                <m:t>±</m:t>
              </m:r>
              <m:sSub>
                <m:e>
                  <m:r>
                    <m:t>ϵ</m:t>
                  </m:r>
                </m:e>
                <m:sub>
                  <m:r>
                    <m:t>r</m:t>
                  </m:r>
                </m:sub>
              </m:sSub>
            </m:oMath>
            <w:r>
              <w:t xml:space="preserve"> </w:t>
            </w:r>
            <w:r>
              <w:t xml:space="preserve">(m)</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00"/>
        </w:numPr>
      </w:pPr>
      <w:r>
        <w:br/>
      </w:r>
    </w:p>
    <w:p>
      <w:pPr>
        <w:numPr>
          <w:ilvl w:val="0"/>
          <w:numId w:val="1000"/>
        </w:numPr>
      </w:pPr>
      <w:r>
        <w:t xml:space="preserve">Nota: El índice</w:t>
      </w:r>
      <w:r>
        <w:t xml:space="preserve"> </w:t>
      </w:r>
      <m:oMath>
        <m:r>
          <m:t>a</m:t>
        </m:r>
      </m:oMath>
      <w:r>
        <w:t xml:space="preserve"> </w:t>
      </w:r>
      <w:r>
        <w:t xml:space="preserve">corresponde al anillo central y el índice</w:t>
      </w:r>
      <w:r>
        <w:t xml:space="preserve"> </w:t>
      </w:r>
      <m:oMath>
        <m:r>
          <m:t>b</m:t>
        </m:r>
      </m:oMath>
      <w:r>
        <w:t xml:space="preserve"> </w:t>
      </w:r>
      <w:r>
        <w:t xml:space="preserve">corresponde al anillo exterior o interior.</w:t>
      </w:r>
    </w:p>
    <w:p>
      <w:pPr>
        <w:numPr>
          <w:ilvl w:val="0"/>
          <w:numId w:val="1001"/>
        </w:numPr>
      </w:pPr>
      <w:r>
        <w:t xml:space="preserve">Usando las medidas anteriores y las ecuaciones (9.3-9.4), calcular los valores</w:t>
      </w:r>
      <w:r>
        <w:t xml:space="preserve"> </w:t>
      </w:r>
      <m:oMath>
        <m:sSubSup>
          <m:e>
            <m:r>
              <m:t>Δ</m:t>
            </m:r>
          </m:e>
          <m:sub>
            <m:r>
              <m:t>i</m:t>
            </m:r>
          </m:sub>
          <m:sup>
            <m:r>
              <m:t>p</m:t>
            </m:r>
            <m:r>
              <m:rPr>
                <m:sty m:val="p"/>
              </m:rPr>
              <m:t>+</m:t>
            </m:r>
            <m:r>
              <m:t>1</m:t>
            </m:r>
            <m:r>
              <m:rPr>
                <m:sty m:val="p"/>
              </m:rPr>
              <m:t>,</m:t>
            </m:r>
            <m:r>
              <m:t>p</m:t>
            </m:r>
          </m:sup>
        </m:sSubSup>
      </m:oMath>
      <w:r>
        <w:t xml:space="preserve"> </w:t>
      </w:r>
      <w:r>
        <w:t xml:space="preserve">y de</w:t>
      </w:r>
      <w:r>
        <w:t xml:space="preserve"> </w:t>
      </w:r>
      <m:oMath>
        <m:sSubSup>
          <m:e>
            <m:r>
              <m:t>δ</m:t>
            </m:r>
          </m:e>
          <m:sub>
            <m:r>
              <m:t>i</m:t>
            </m:r>
            <m:r>
              <m:rPr>
                <m:sty m:val="p"/>
              </m:rPr>
              <m:t>,</m:t>
            </m:r>
            <m:r>
              <m:t>j</m:t>
            </m:r>
          </m:sub>
          <m:sup>
            <m:r>
              <m:t>p</m:t>
            </m:r>
          </m:sup>
        </m:sSubSup>
      </m:oMath>
      <w:r>
        <w:t xml:space="preserve"> </w:t>
      </w:r>
      <w:r>
        <w:t xml:space="preserve">del cuadro siguiente para</w:t>
      </w:r>
      <w:r>
        <w:t xml:space="preserve"> </w:t>
      </w:r>
      <w:r>
        <w:rPr>
          <w:iCs/>
          <w:i/>
        </w:rPr>
        <w:t xml:space="preserve">cada</w:t>
      </w:r>
      <w:r>
        <w:t xml:space="preserve"> </w:t>
      </w:r>
      <w:r>
        <w:t xml:space="preserve">distancia</w:t>
      </w:r>
      <w:r>
        <w:t xml:space="preserve"> </w:t>
      </w:r>
      <m:oMath>
        <m:sSub>
          <m:e>
            <m:r>
              <m:t>d</m:t>
            </m:r>
          </m:e>
          <m:sub>
            <m:r>
              <m:t>i</m:t>
            </m:r>
          </m:sub>
        </m:sSub>
      </m:oMath>
      <w:r>
        <w:t xml:space="preserve">.</w:t>
      </w:r>
    </w:p>
    <w:tbl>
      <w:tblPr>
        <w:tblStyle w:val="Table"/>
        <w:tblW w:type="auto" w:w="0"/>
        <w:tblLook w:firstRow="1" w:lastRow="0" w:firstColumn="0" w:lastColumn="0" w:noHBand="0" w:noVBand="0" w:val="0020"/>
        <w:jc w:val="start"/>
        <w:tblInd w:w="720" w:type="dxa"/>
        <w:tblLayout w:type="fixed"/>
      </w:tblPr>
      <w:tblGrid>
        <w:gridCol w:w="2461"/>
        <w:gridCol w:w="1968"/>
        <w:gridCol w:w="1968"/>
        <w:gridCol w:w="1968"/>
        <w:gridCol w:w="985"/>
      </w:tblGrid>
      <w:tr>
        <w:trPr>
          <w:tblHeader w:val="true"/>
        </w:trPr>
        <w:tc>
          <w:tcPr/>
          <w:p>
            <w:pPr>
              <w:pStyle w:val="Compact"/>
              <w:jc w:val="left"/>
            </w:pPr>
            <w:r>
              <w:t xml:space="preserve">Componente</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r>
      <w:tr>
        <w:tc>
          <w:tcPr/>
          <w:p>
            <w:pPr>
              <w:pStyle w:val="Compact"/>
              <w:jc w:val="left"/>
            </w:pPr>
            <w:r>
              <w:t xml:space="preserve">a</w:t>
            </w:r>
          </w:p>
        </w:tc>
        <w:tc>
          <w:tcPr/>
          <w:p>
            <w:pPr>
              <w:pStyle w:val="Compact"/>
              <w:jc w:val="left"/>
            </w:pPr>
            <m:oMath>
              <m:sSubSup>
                <m:e>
                  <m:r>
                    <m:t>Δ</m:t>
                  </m:r>
                </m:e>
                <m:sub>
                  <m:r>
                    <m:t>a</m:t>
                  </m:r>
                </m:sub>
                <m:sup>
                  <m:r>
                    <m:t>2</m:t>
                  </m:r>
                  <m:r>
                    <m:rPr>
                      <m:sty m:val="p"/>
                    </m:rPr>
                    <m:t>,</m:t>
                  </m:r>
                  <m:r>
                    <m:t>1</m:t>
                  </m:r>
                </m:sup>
              </m:sSubSup>
            </m:oMath>
          </w:p>
        </w:tc>
        <w:tc>
          <w:tcPr/>
          <w:p>
            <w:pPr>
              <w:pStyle w:val="Compact"/>
              <w:jc w:val="left"/>
            </w:pPr>
            <m:oMath>
              <m:sSubSup>
                <m:e>
                  <m:r>
                    <m:t>Δ</m:t>
                  </m:r>
                </m:e>
                <m:sub>
                  <m:r>
                    <m:t>a</m:t>
                  </m:r>
                </m:sub>
                <m:sup>
                  <m:r>
                    <m:t>3</m:t>
                  </m:r>
                  <m:r>
                    <m:rPr>
                      <m:sty m:val="p"/>
                    </m:rPr>
                    <m:t>,</m:t>
                  </m:r>
                  <m:r>
                    <m:t>2</m:t>
                  </m:r>
                </m:sup>
              </m:sSubSup>
            </m:oMath>
          </w:p>
        </w:tc>
        <w:tc>
          <w:tcPr/>
          <w:p>
            <w:pPr>
              <w:pStyle w:val="Compact"/>
              <w:jc w:val="left"/>
            </w:pPr>
            <m:oMath>
              <m:sSubSup>
                <m:e>
                  <m:r>
                    <m:t>Δ</m:t>
                  </m:r>
                </m:e>
                <m:sub>
                  <m:r>
                    <m:t>a</m:t>
                  </m:r>
                </m:sub>
                <m:sup>
                  <m:r>
                    <m:t>4</m:t>
                  </m:r>
                  <m:r>
                    <m:rPr>
                      <m:sty m:val="p"/>
                    </m:rPr>
                    <m:t>,</m:t>
                  </m:r>
                  <m:r>
                    <m:t>3</m:t>
                  </m:r>
                </m:sup>
              </m:sSubSup>
            </m:oMath>
          </w:p>
        </w:tc>
        <w:tc>
          <w:tcPr/>
          <w:p>
            <w:pPr>
              <w:pStyle w:val="Compact"/>
            </w:pPr>
          </w:p>
        </w:tc>
      </w:tr>
      <w:tr>
        <w:tc>
          <w:tcPr/>
          <w:p>
            <w:pPr>
              <w:pStyle w:val="Compact"/>
            </w:pPr>
          </w:p>
        </w:tc>
        <w:tc>
          <w:tcPr/>
          <w:p>
            <w:pPr>
              <w:pStyle w:val="Compact"/>
              <w:jc w:val="left"/>
            </w:pPr>
            <m:oMath>
              <m:sSup>
                <m:e>
                  <m:r>
                    <m:t>δ</m:t>
                  </m:r>
                </m:e>
                <m:sup>
                  <m:r>
                    <m:t>1</m:t>
                  </m:r>
                </m:sup>
              </m:sSup>
            </m:oMath>
          </w:p>
        </w:tc>
        <w:tc>
          <w:tcPr/>
          <w:p>
            <w:pPr>
              <w:pStyle w:val="Compact"/>
              <w:jc w:val="left"/>
            </w:pPr>
            <m:oMath>
              <m:sSup>
                <m:e>
                  <m:r>
                    <m:t>δ</m:t>
                  </m:r>
                </m:e>
                <m:sup>
                  <m:r>
                    <m:t>2</m:t>
                  </m:r>
                </m:sup>
              </m:sSup>
            </m:oMath>
          </w:p>
        </w:tc>
        <w:tc>
          <w:tcPr/>
          <w:p>
            <w:pPr>
              <w:pStyle w:val="Compact"/>
              <w:jc w:val="left"/>
            </w:pPr>
            <m:oMath>
              <m:sSup>
                <m:e>
                  <m:r>
                    <m:t>δ</m:t>
                  </m:r>
                </m:e>
                <m:sup>
                  <m:r>
                    <m:t>3</m:t>
                  </m:r>
                </m:sup>
              </m:sSup>
            </m:oMath>
          </w:p>
        </w:tc>
        <w:tc>
          <w:tcPr/>
          <w:p>
            <w:pPr>
              <w:pStyle w:val="Compact"/>
              <w:jc w:val="left"/>
            </w:pPr>
            <m:oMath>
              <m:sSup>
                <m:e>
                  <m:r>
                    <m:t>δ</m:t>
                  </m:r>
                </m:e>
                <m:sup>
                  <m:r>
                    <m:t>4</m:t>
                  </m:r>
                </m:sup>
              </m:sSup>
            </m:oMath>
          </w:p>
        </w:tc>
      </w:tr>
      <w:tr>
        <w:tc>
          <w:tcPr/>
          <w:p>
            <w:pPr>
              <w:pStyle w:val="Compact"/>
              <w:jc w:val="left"/>
            </w:pPr>
            <w:r>
              <w:t xml:space="preserve">b</w:t>
            </w:r>
          </w:p>
        </w:tc>
        <w:tc>
          <w:tcPr/>
          <w:p>
            <w:pPr>
              <w:pStyle w:val="Compact"/>
              <w:jc w:val="left"/>
            </w:pPr>
            <m:oMath>
              <m:sSubSup>
                <m:e>
                  <m:r>
                    <m:t>Δ</m:t>
                  </m:r>
                </m:e>
                <m:sub>
                  <m:r>
                    <m:t>b</m:t>
                  </m:r>
                </m:sub>
                <m:sup>
                  <m:r>
                    <m:t>2</m:t>
                  </m:r>
                  <m:r>
                    <m:rPr>
                      <m:sty m:val="p"/>
                    </m:rPr>
                    <m:t>,</m:t>
                  </m:r>
                  <m:r>
                    <m:t>1</m:t>
                  </m:r>
                </m:sup>
              </m:sSubSup>
            </m:oMath>
          </w:p>
        </w:tc>
        <w:tc>
          <w:tcPr/>
          <w:p>
            <w:pPr>
              <w:pStyle w:val="Compact"/>
              <w:jc w:val="left"/>
            </w:pPr>
            <m:oMath>
              <m:sSubSup>
                <m:e>
                  <m:r>
                    <m:t>Δ</m:t>
                  </m:r>
                </m:e>
                <m:sub>
                  <m:r>
                    <m:t>b</m:t>
                  </m:r>
                </m:sub>
                <m:sup>
                  <m:r>
                    <m:t>3</m:t>
                  </m:r>
                  <m:r>
                    <m:rPr>
                      <m:sty m:val="p"/>
                    </m:rPr>
                    <m:t>,</m:t>
                  </m:r>
                  <m:r>
                    <m:t>2</m:t>
                  </m:r>
                </m:sup>
              </m:sSubSup>
            </m:oMath>
          </w:p>
        </w:tc>
        <w:tc>
          <w:tcPr/>
          <w:p>
            <w:pPr>
              <w:pStyle w:val="Compact"/>
              <w:jc w:val="left"/>
            </w:pPr>
            <m:oMath>
              <m:sSubSup>
                <m:e>
                  <m:r>
                    <m:t>Δ</m:t>
                  </m:r>
                </m:e>
                <m:sub>
                  <m:r>
                    <m:t>b</m:t>
                  </m:r>
                </m:sub>
                <m:sup>
                  <m:r>
                    <m:t>4</m:t>
                  </m:r>
                  <m:r>
                    <m:rPr>
                      <m:sty m:val="p"/>
                    </m:rPr>
                    <m:t>,</m:t>
                  </m:r>
                  <m:r>
                    <m:t>3</m:t>
                  </m:r>
                </m:sup>
              </m:sSubSup>
            </m:oMath>
          </w:p>
        </w:tc>
        <w:tc>
          <w:tcPr/>
          <w:p>
            <w:pPr>
              <w:pStyle w:val="Compact"/>
            </w:pPr>
          </w:p>
        </w:tc>
      </w:tr>
    </w:tbl>
    <w:p>
      <w:pPr>
        <w:numPr>
          <w:ilvl w:val="0"/>
          <w:numId w:val="1000"/>
        </w:numPr>
      </w:pPr>
      <w:r>
        <w:br/>
      </w:r>
    </w:p>
    <w:p>
      <w:pPr>
        <w:numPr>
          <w:ilvl w:val="0"/>
          <w:numId w:val="1001"/>
        </w:numPr>
      </w:pPr>
      <w:r>
        <w:t xml:space="preserve">Una vez obtenidos los valores para una distancia se calculan los promedios siguiente</w:t>
      </w:r>
    </w:p>
    <w:p>
      <w:pPr>
        <w:pStyle w:val="BodyText"/>
      </w:pPr>
      <m:oMathPara>
        <m:oMathParaPr>
          <m:jc m:val="center"/>
        </m:oMathParaPr>
        <m:oMath>
          <m:m>
            <m:mPr>
              <m:baseJc m:val="center"/>
              <m:plcHide m:val="on"/>
              <m:mcs>
                <m:mc>
                  <m:mcPr>
                    <m:mcJc m:val="right"/>
                    <m:count m:val="1"/>
                  </m:mcPr>
                </m:mc>
                <m:mc>
                  <m:mcPr>
                    <m:mcJc m:val="left"/>
                    <m:count m:val="1"/>
                  </m:mcPr>
                </m:mc>
              </m:mcs>
            </m:mPr>
            <m:mr>
              <m:e>
                <m:r>
                  <m:t>Δ</m:t>
                </m:r>
              </m:e>
              <m:e>
                <m:r>
                  <m:rPr>
                    <m:sty m:val="p"/>
                  </m:rPr>
                  <m:t>=</m:t>
                </m:r>
                <m:f>
                  <m:fPr>
                    <m:type m:val="bar"/>
                  </m:fPr>
                  <m:num>
                    <m:r>
                      <m:t>1</m:t>
                    </m:r>
                  </m:num>
                  <m:den>
                    <m:r>
                      <m:t>6</m:t>
                    </m:r>
                  </m:den>
                </m:f>
                <m:nary>
                  <m:naryPr>
                    <m:chr m:val="∑"/>
                    <m:limLoc m:val="undOvr"/>
                    <m:subHide m:val="off"/>
                    <m:supHide m:val="off"/>
                  </m:naryPr>
                  <m:sub>
                    <m:r>
                      <m:t>p</m:t>
                    </m:r>
                    <m:r>
                      <m:rPr>
                        <m:sty m:val="p"/>
                      </m:rPr>
                      <m:t>=</m:t>
                    </m:r>
                    <m:r>
                      <m:t>1</m:t>
                    </m:r>
                  </m:sub>
                  <m:sup>
                    <m:r>
                      <m:t>3</m:t>
                    </m:r>
                  </m:sup>
                  <m:e>
                    <m:d>
                      <m:dPr>
                        <m:begChr m:val="("/>
                        <m:endChr m:val=")"/>
                        <m:sepChr m:val=""/>
                        <m:grow/>
                      </m:dPr>
                      <m:e>
                        <m:sSubSup>
                          <m:e>
                            <m:r>
                              <m:t>Δ</m:t>
                            </m:r>
                          </m:e>
                          <m:sub>
                            <m:r>
                              <m:t>a</m:t>
                            </m:r>
                          </m:sub>
                          <m:sup>
                            <m:r>
                              <m:t>p</m:t>
                            </m:r>
                            <m:r>
                              <m:rPr>
                                <m:sty m:val="p"/>
                              </m:rPr>
                              <m:t>+</m:t>
                            </m:r>
                            <m:r>
                              <m:t>1</m:t>
                            </m:r>
                            <m:r>
                              <m:rPr>
                                <m:sty m:val="p"/>
                              </m:rPr>
                              <m:t>,</m:t>
                            </m:r>
                            <m:r>
                              <m:t>p</m:t>
                            </m:r>
                          </m:sup>
                        </m:sSubSup>
                        <m:r>
                          <m:rPr>
                            <m:sty m:val="p"/>
                          </m:rPr>
                          <m:t>+</m:t>
                        </m:r>
                        <m:sSubSup>
                          <m:e>
                            <m:r>
                              <m:t>Δ</m:t>
                            </m:r>
                          </m:e>
                          <m:sub>
                            <m:r>
                              <m:t>b</m:t>
                            </m:r>
                          </m:sub>
                          <m:sup>
                            <m:r>
                              <m:t>p</m:t>
                            </m:r>
                            <m:r>
                              <m:rPr>
                                <m:sty m:val="p"/>
                              </m:rPr>
                              <m:t>+</m:t>
                            </m:r>
                            <m:r>
                              <m:t>1</m:t>
                            </m:r>
                            <m:r>
                              <m:rPr>
                                <m:sty m:val="p"/>
                              </m:rPr>
                              <m:t>,</m:t>
                            </m:r>
                            <m:r>
                              <m:t>p</m:t>
                            </m:r>
                          </m:sup>
                        </m:sSubSup>
                      </m:e>
                    </m:d>
                  </m:e>
                </m:nary>
                <m:r>
                  <m:t> </m:t>
                </m:r>
                <m:r>
                  <m:rPr>
                    <m:nor/>
                    <m:sty m:val="p"/>
                  </m:rPr>
                  <m:t>(9.6)</m:t>
                </m:r>
              </m:e>
            </m:mr>
            <m:mr>
              <m:e>
                <m:r>
                  <m:t>δ</m:t>
                </m:r>
              </m:e>
              <m:e>
                <m:r>
                  <m:rPr>
                    <m:sty m:val="p"/>
                  </m:rPr>
                  <m:t>=</m:t>
                </m:r>
                <m:f>
                  <m:fPr>
                    <m:type m:val="bar"/>
                  </m:fPr>
                  <m:num>
                    <m:r>
                      <m:t>1</m:t>
                    </m:r>
                  </m:num>
                  <m:den>
                    <m:r>
                      <m:t>4</m:t>
                    </m:r>
                  </m:den>
                </m:f>
                <m:nary>
                  <m:naryPr>
                    <m:chr m:val="∑"/>
                    <m:limLoc m:val="undOvr"/>
                    <m:subHide m:val="off"/>
                    <m:supHide m:val="off"/>
                  </m:naryPr>
                  <m:sub>
                    <m:r>
                      <m:t>p</m:t>
                    </m:r>
                    <m:r>
                      <m:rPr>
                        <m:sty m:val="p"/>
                      </m:rPr>
                      <m:t>=</m:t>
                    </m:r>
                    <m:r>
                      <m:t>1</m:t>
                    </m:r>
                  </m:sub>
                  <m:sup>
                    <m:r>
                      <m:t>4</m:t>
                    </m:r>
                  </m:sup>
                  <m:e>
                    <m:sSubSup>
                      <m:e>
                        <m:r>
                          <m:t>δ</m:t>
                        </m:r>
                      </m:e>
                      <m:sub>
                        <m:r>
                          <m:t>a</m:t>
                        </m:r>
                        <m:r>
                          <m:rPr>
                            <m:sty m:val="p"/>
                          </m:rPr>
                          <m:t>,</m:t>
                        </m:r>
                        <m:r>
                          <m:t>b</m:t>
                        </m:r>
                      </m:sub>
                      <m:sup>
                        <m:r>
                          <m:t>p</m:t>
                        </m:r>
                      </m:sup>
                    </m:sSubSup>
                  </m:e>
                </m:nary>
                <m:r>
                  <m:t> </m:t>
                </m:r>
                <m:r>
                  <m:rPr>
                    <m:nor/>
                    <m:sty m:val="p"/>
                  </m:rPr>
                  <m:t>(9.7)</m:t>
                </m:r>
              </m:e>
            </m:mr>
          </m:m>
        </m:oMath>
      </m:oMathPara>
    </w:p>
    <w:p>
      <w:pPr>
        <w:numPr>
          <w:ilvl w:val="0"/>
          <w:numId w:val="1000"/>
        </w:numPr>
      </w:pPr>
      <w:r>
        <w:t xml:space="preserve">Obtener el valor de</w:t>
      </w:r>
      <w:r>
        <w:t xml:space="preserve"> </w:t>
      </w:r>
      <m:oMath>
        <m:r>
          <m:t>Δ</m:t>
        </m:r>
        <m:r>
          <m:t>ν</m:t>
        </m:r>
      </m:oMath>
      <w:r>
        <w:t xml:space="preserve"> </w:t>
      </w:r>
      <w:r>
        <w:t xml:space="preserve">con la ayuda de la ecuación (9.5) y de la figura 9.3 para cada valor del campo magnético. Calcular la energía de transición sabiendo que</w:t>
      </w:r>
      <w:r>
        <w:t xml:space="preserve"> </w:t>
      </w:r>
      <m:oMath>
        <m:r>
          <m:t>Δ</m:t>
        </m:r>
        <m:r>
          <m:t>E</m:t>
        </m:r>
        <m:r>
          <m:rPr>
            <m:sty m:val="p"/>
          </m:rPr>
          <m:t>=</m:t>
        </m:r>
        <m:r>
          <m:t>h</m:t>
        </m:r>
        <m:r>
          <m:t>Δ</m:t>
        </m:r>
        <m:r>
          <m:t>ν</m:t>
        </m:r>
      </m:oMath>
      <w:r>
        <w:t xml:space="preserve">.</w:t>
      </w:r>
    </w:p>
    <w:tbl>
      <w:tblPr>
        <w:tblStyle w:val="Table"/>
        <w:tblW w:type="auto" w:w="0"/>
        <w:tblLook w:firstRow="1" w:lastRow="0" w:firstColumn="0" w:lastColumn="0" w:noHBand="0" w:noVBand="0" w:val="0020"/>
        <w:jc w:val="start"/>
        <w:tblInd w:w="720" w:type="dxa"/>
        <w:tblLayout w:type="fixed"/>
      </w:tblPr>
      <w:tblGrid>
        <w:gridCol w:w="2078"/>
        <w:gridCol w:w="1731"/>
        <w:gridCol w:w="4156"/>
        <w:gridCol w:w="1385"/>
      </w:tblGrid>
      <w:tr>
        <w:trPr>
          <w:tblHeader w:val="true"/>
        </w:trPr>
        <w:tc>
          <w:tcPr/>
          <w:p>
            <w:pPr>
              <w:pStyle w:val="Compact"/>
              <w:jc w:val="left"/>
            </w:pPr>
            <m:oMath>
              <m:r>
                <m:t>d</m:t>
              </m:r>
            </m:oMath>
            <w:r>
              <w:t xml:space="preserve"> </w:t>
            </w:r>
            <w:r>
              <w:t xml:space="preserve">(mm)</w:t>
            </w:r>
          </w:p>
        </w:tc>
        <w:tc>
          <w:tcPr/>
          <w:p>
            <w:pPr>
              <w:pStyle w:val="Compact"/>
              <w:jc w:val="left"/>
            </w:pPr>
            <m:oMath>
              <m:r>
                <m:t>B</m:t>
              </m:r>
            </m:oMath>
            <w:r>
              <w:t xml:space="preserve"> </w:t>
            </w:r>
            <w:r>
              <w:t xml:space="preserve">(T)</w:t>
            </w:r>
          </w:p>
        </w:tc>
        <w:tc>
          <w:tcPr/>
          <w:p>
            <w:pPr>
              <w:pStyle w:val="Compact"/>
              <w:jc w:val="left"/>
            </w:pPr>
            <m:oMath>
              <m:r>
                <m:t>Δ</m:t>
              </m:r>
              <m:r>
                <m:t>ν</m:t>
              </m:r>
            </m:oMath>
            <w:r>
              <w:t xml:space="preserve"> </w:t>
            </w:r>
            <w:r>
              <w:t xml:space="preserve">(s</w:t>
            </w:r>
            <m:oMath>
              <m:sSup>
                <m:e>
                  <m:r>
                    <m:t>​</m:t>
                  </m:r>
                </m:e>
                <m:sup>
                  <m:r>
                    <m:rPr>
                      <m:sty m:val="p"/>
                    </m:rPr>
                    <m:t>−</m:t>
                  </m:r>
                  <m:r>
                    <m:t>1</m:t>
                  </m:r>
                </m:sup>
              </m:sSup>
            </m:oMath>
            <w:r>
              <w:t xml:space="preserve">)</w:t>
            </w:r>
          </w:p>
        </w:tc>
        <w:tc>
          <w:tcPr/>
          <w:p>
            <w:pPr>
              <w:pStyle w:val="Compact"/>
              <w:jc w:val="left"/>
            </w:pPr>
            <m:oMath>
              <m:r>
                <m:t>Δ</m:t>
              </m:r>
              <m:r>
                <m:t>E</m:t>
              </m:r>
            </m:oMath>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numPr>
          <w:ilvl w:val="0"/>
          <w:numId w:val="1000"/>
        </w:numPr>
      </w:pPr>
      <w:r>
        <w:br/>
      </w:r>
    </w:p>
    <w:p>
      <w:pPr>
        <w:numPr>
          <w:ilvl w:val="0"/>
          <w:numId w:val="1001"/>
        </w:numPr>
      </w:pPr>
      <w:r>
        <w:t xml:space="preserve">La energía de transición es proporcional al campo magnético</w:t>
      </w:r>
      <w:r>
        <w:t xml:space="preserve"> </w:t>
      </w:r>
      <m:oMath>
        <m:r>
          <m:t>B</m:t>
        </m:r>
      </m:oMath>
      <w:r>
        <w:t xml:space="preserve"> </w:t>
      </w:r>
      <w:r>
        <w:t xml:space="preserve">tal que</w:t>
      </w:r>
    </w:p>
    <w:p>
      <w:pPr>
        <w:pStyle w:val="BodyText"/>
      </w:pPr>
      <m:oMathPara>
        <m:oMathParaPr>
          <m:jc m:val="center"/>
        </m:oMathParaPr>
        <m:oMath>
          <m:r>
            <m:t>Δ</m:t>
          </m:r>
          <m:r>
            <m:t>E</m:t>
          </m:r>
          <m:r>
            <m:rPr>
              <m:sty m:val="p"/>
            </m:rPr>
            <m:t>=</m:t>
          </m:r>
          <m:sSub>
            <m:e>
              <m:r>
                <m:t>μ</m:t>
              </m:r>
            </m:e>
            <m:sub>
              <m:r>
                <m:t>B</m:t>
              </m:r>
            </m:sub>
          </m:sSub>
          <m:r>
            <m:t>B</m:t>
          </m:r>
          <m:r>
            <m:rPr>
              <m:sty m:val="p"/>
            </m:rPr>
            <m:t>.</m:t>
          </m:r>
          <m:r>
            <m:t> </m:t>
          </m:r>
          <m:r>
            <m:rPr>
              <m:nor/>
              <m:sty m:val="p"/>
            </m:rPr>
            <m:t>(9.8)</m:t>
          </m:r>
        </m:oMath>
      </m:oMathPara>
    </w:p>
    <w:p>
      <w:pPr>
        <w:numPr>
          <w:ilvl w:val="0"/>
          <w:numId w:val="1000"/>
        </w:numPr>
      </w:pPr>
      <w:r>
        <w:t xml:space="preserve">El factor de proporcionalidad</w:t>
      </w:r>
      <w:r>
        <w:t xml:space="preserve"> </w:t>
      </w:r>
      <m:oMath>
        <m:sSub>
          <m:e>
            <m:r>
              <m:t>μ</m:t>
            </m:r>
          </m:e>
          <m:sub>
            <m:r>
              <m:t>B</m:t>
            </m:r>
          </m:sub>
        </m:sSub>
      </m:oMath>
      <w:r>
        <w:t xml:space="preserve"> </w:t>
      </w:r>
      <w:r>
        <w:t xml:space="preserve">es el magnetón de Bohr. A partir de la tabla de resultados anterior, calcular por mínimos cuadrados la recta de ajuste lineal</w:t>
      </w:r>
      <w:r>
        <w:t xml:space="preserve"> </w:t>
      </w:r>
      <m:oMath>
        <m:r>
          <m:t>Δ</m:t>
        </m:r>
        <m:r>
          <m:t>E</m:t>
        </m:r>
        <m:r>
          <m:rPr>
            <m:sty m:val="p"/>
          </m:rPr>
          <m:t>=</m:t>
        </m:r>
        <m:r>
          <m:t>a</m:t>
        </m:r>
        <m:r>
          <m:t>B</m:t>
        </m:r>
        <m:r>
          <m:rPr>
            <m:sty m:val="p"/>
          </m:rPr>
          <m:t>+</m:t>
        </m:r>
        <m:r>
          <m:t>b</m:t>
        </m:r>
      </m:oMath>
      <w:r>
        <w:t xml:space="preserve">. Identificando las dos ecuaciones anteriores, deducir de dicha recta el valor del magnetón de Bohr</w:t>
      </w:r>
      <w:r>
        <w:t xml:space="preserve"> </w:t>
      </w:r>
      <m:oMath>
        <m:sSub>
          <m:e>
            <m:r>
              <m:t>μ</m:t>
            </m:r>
          </m:e>
          <m:sub>
            <m:r>
              <m:t>B</m:t>
            </m:r>
          </m:sub>
        </m:sSub>
      </m:oMath>
      <w:r>
        <w:t xml:space="preserve"> </w:t>
      </w:r>
      <w:r>
        <w:t xml:space="preserve">junto con su error</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sSub>
                  <m:e>
                    <m:r>
                      <m:t>μ</m:t>
                    </m:r>
                  </m:e>
                  <m:sub>
                    <m:r>
                      <m:t>B</m:t>
                    </m:r>
                  </m:sub>
                </m:sSub>
                <m:d>
                  <m:dPr>
                    <m:begChr m:val="("/>
                    <m:endChr m:val=")"/>
                    <m:sepChr m:val=""/>
                    <m:grow/>
                  </m:dPr>
                  <m:e>
                    <m:r>
                      <m:rPr>
                        <m:sty m:val="p"/>
                      </m:rPr>
                      <m:t>±</m:t>
                    </m:r>
                    <m:sSub>
                      <m:e>
                        <m:r>
                          <m:t>ϵ</m:t>
                        </m:r>
                      </m:e>
                      <m:sub>
                        <m:sSub>
                          <m:e>
                            <m:r>
                              <m:t>μ</m:t>
                            </m:r>
                          </m:e>
                          <m:sub>
                            <m:r>
                              <m:t>B</m:t>
                            </m:r>
                          </m:sub>
                        </m:sSub>
                      </m:sub>
                    </m:sSub>
                  </m:e>
                </m:d>
              </m:e>
              <m:e>
                <m:r>
                  <m:rPr>
                    <m:sty m:val="p"/>
                  </m:rPr>
                  <m:t>=</m:t>
                </m:r>
              </m:e>
              <m:e>
                <m:r>
                  <m:rPr>
                    <m:nor/>
                    <m:sty m:val="p"/>
                  </m:rPr>
                  <m:t>              </m:t>
                </m:r>
              </m:e>
            </m:mr>
            <m:mr>
              <m:e/>
            </m:mr>
          </m:m>
        </m:oMath>
      </m:oMathPara>
    </w:p>
    <w:bookmarkEnd w:id="32"/>
    <w:bookmarkStart w:id="33" w:name="discusión"/>
    <w:p>
      <w:pPr>
        <w:pStyle w:val="Heading2"/>
      </w:pPr>
      <w:r>
        <w:t xml:space="preserve">Discusión</w:t>
      </w:r>
    </w:p>
    <w:p>
      <w:pPr>
        <w:numPr>
          <w:ilvl w:val="0"/>
          <w:numId w:val="1002"/>
        </w:numPr>
      </w:pPr>
      <w:r>
        <w:t xml:space="preserve">Discutir el valor obtenido del magnetón de Bohr, en relación con su valor teórico.</w:t>
      </w:r>
    </w:p>
    <w:p>
      <w:pPr>
        <w:numPr>
          <w:ilvl w:val="0"/>
          <w:numId w:val="1002"/>
        </w:numPr>
      </w:pPr>
      <w:r>
        <w:t xml:space="preserve">Discutir cualquier otro resultado o problema de interés encontrado en el experimento.</w:t>
      </w:r>
    </w:p>
    <w:bookmarkEnd w:id="33"/>
    <w:bookmarkStart w:id="34" w:name="cuestiones"/>
    <w:p>
      <w:pPr>
        <w:pStyle w:val="Heading2"/>
      </w:pPr>
      <w:r>
        <w:t xml:space="preserve">Cuestiones</w:t>
      </w:r>
    </w:p>
    <w:p>
      <w:pPr>
        <w:numPr>
          <w:ilvl w:val="0"/>
          <w:numId w:val="1003"/>
        </w:numPr>
      </w:pPr>
      <w:r>
        <w:t xml:space="preserve">¿Qué diferencia se observaría en el caso de estudiar el efecto Zeeman anómalo con respecto al efecto normal?</w:t>
      </w:r>
    </w:p>
    <w:p>
      <w:pPr>
        <w:numPr>
          <w:ilvl w:val="0"/>
          <w:numId w:val="1003"/>
        </w:numPr>
      </w:pPr>
      <w:r>
        <w:t xml:space="preserve">Explicar las reglas de selección para transiciones dipolares magnéticas.</w:t>
      </w:r>
    </w:p>
    <w:p>
      <w:pPr>
        <w:numPr>
          <w:ilvl w:val="0"/>
          <w:numId w:val="1003"/>
        </w:numPr>
      </w:pPr>
      <w:r>
        <w:t xml:space="preserve">¿Qué sucede en el límite de campos magnéticos muy intensos?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Recuadro" w:type="paragraph">
    <w:name w:val="Recuadro"/>
    <w:basedOn w:val="BodyText"/>
    <w:qFormat/>
    <w:pPr>
      <w:pBdr>
        <w:top w:color="000000" w:space="6" w:sz="8" w:val="single"/>
        <w:left w:color="000000" w:space="6" w:sz="8" w:val="single"/>
        <w:bottom w:color="000000" w:space="6" w:sz="8" w:val="single"/>
        <w:right w:color="000000" w:space="6" w:sz="8" w:val="single"/>
      </w:pBdr>
      <w:ind w:left="284" w:right="284"/>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21" Target="media/rId21.png" /><Relationship Type="http://schemas.openxmlformats.org/officeDocument/2006/relationships/image" Id="rId25" Target="media/rId25.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2026-09-10T15:49:31Z</dcterms:created>
  <dcterms:modified xsi:type="dcterms:W3CDTF">2026-09-10T15:49:31Z</dcterms:modified>
</cp:coreProperties>
</file>

<file path=docProps/custom.xml><?xml version="1.0" encoding="utf-8"?>
<Properties xmlns="http://schemas.openxmlformats.org/officeDocument/2006/custom-properties" xmlns:vt="http://schemas.openxmlformats.org/officeDocument/2006/docPropsVTypes"/>
</file>