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fbd909463903b1a62fe7e8ff9e75a6eb565890"/>
    <w:p>
      <w:pPr>
        <w:pStyle w:val="Heading2"/>
        <w:numPr>
          <w:ilvl w:val="0"/>
          <w:numId w:val="0"/>
        </w:numPr>
      </w:pPr>
      <w:r>
        <w:rPr>
          <w:sz w:val="40"/>
        </w:rPr>
        <w:t xml:space="preserve">Modos normales de un muelle excitado por un vibrador</w:t>
      </w:r>
    </w:p>
    <w:bookmarkEnd w:id="20"/>
    <w:bookmarkStart w:id="21" w:name="objetivo"/>
    <w:p>
      <w:pPr>
        <w:pStyle w:val="Heading2"/>
        <w:numPr>
          <w:ilvl w:val="0"/>
          <w:numId w:val="0"/>
        </w:numPr>
        <w:spacing w:before="440" w:after="160"/>
      </w:pPr>
      <w:r>
        <w:rPr>
          <w:sz w:val="36"/>
        </w:rPr>
        <w:t xml:space="preserve">Objetivo</w:t>
      </w:r>
    </w:p>
    <w:p>
      <w:pPr>
        <w:pStyle w:val="FirstParagraph"/>
        <w:spacing w:after="120" w:line="276" w:lineRule="auto"/>
        <w:jc w:val="both"/>
      </w:pPr>
      <w:r>
        <w:t xml:space="preserve">Excitar con un vibrador las ondas estacionarias de un muelle estirado, medir las frecuencias de sus modos normales y obtener de ellas la velocidad de propagación de las ondas en el muelle y su constante elástica.</w:t>
      </w:r>
    </w:p>
    <w:bookmarkEnd w:id="21"/>
    <w:bookmarkStart w:id="22" w:name="fundamento-teórico"/>
    <w:p>
      <w:pPr>
        <w:pStyle w:val="Heading2"/>
        <w:numPr>
          <w:ilvl w:val="0"/>
          <w:numId w:val="0"/>
        </w:numPr>
        <w:spacing w:before="440" w:after="160"/>
      </w:pPr>
      <w:r>
        <w:rPr>
          <w:sz w:val="36"/>
        </w:rPr>
        <w:t xml:space="preserve">Fundamento teórico</w:t>
      </w:r>
    </w:p>
    <w:p>
      <w:pPr>
        <w:pStyle w:val="FirstParagraph"/>
        <w:spacing w:after="120" w:line="276" w:lineRule="auto"/>
        <w:jc w:val="both"/>
      </w:pPr>
      <w:r>
        <w:t xml:space="preserve">Un muelle largo de masa</w:t>
      </w:r>
      <w:r>
        <w:t xml:space="preserve"> </w:t>
      </w:r>
      <m:oMath>
        <m:r>
          <m:t>M</m:t>
        </m:r>
      </m:oMath>
      <w:r>
        <w:t xml:space="preserve"> </w:t>
      </w:r>
      <w:r>
        <w:t xml:space="preserve">y constante</w:t>
      </w:r>
      <w:r>
        <w:t xml:space="preserve"> </w:t>
      </w:r>
      <m:oMath>
        <m:r>
          <m:t>k</m:t>
        </m:r>
      </m:oMath>
      <w:r>
        <w:t xml:space="preserve">, estirado hasta una longitud</w:t>
      </w:r>
      <w:r>
        <w:t xml:space="preserve"> </w:t>
      </w:r>
      <m:oMath>
        <m:r>
          <m:t>L</m:t>
        </m:r>
      </m:oMath>
      <w:r>
        <w:t xml:space="preserve">, se comporta como un medio continuo. Por él se propagan ondas longitudinales, compresiones y estiramientos de las espiras, con velocidad</w:t>
      </w:r>
    </w:p>
    <w:p>
      <w:pPr>
        <w:pStyle w:val="BodyText"/>
        <w:spacing w:before="200" w:after="200"/>
      </w:pPr>
      <m:oMathPara>
        <m:oMathParaPr>
          <m:jc m:val="center"/>
        </m:oMathParaPr>
        <m:oMath>
          <m:r>
            <m:t>v</m:t>
          </m:r>
          <m:r>
            <m:rPr>
              <m:sty m:val="p"/>
            </m:rPr>
            <m:t>=</m:t>
          </m:r>
          <m:r>
            <m:t>L</m:t>
          </m:r>
          <m:rad>
            <m:radPr>
              <m:degHide m:val="on"/>
            </m:radPr>
            <m:deg/>
            <m:e>
              <m:f>
                <m:fPr>
                  <m:type m:val="bar"/>
                </m:fPr>
                <m:num>
                  <m:r>
                    <m:t>k</m:t>
                  </m:r>
                </m:num>
                <m:den>
                  <m:r>
                    <m:t>M</m:t>
                  </m:r>
                </m:den>
              </m:f>
            </m:e>
          </m:rad>
          <m:r>
            <m:rPr>
              <m:sty m:val="p"/>
            </m:rPr>
            <m:t>.</m:t>
          </m:r>
        </m:oMath>
      </m:oMathPara>
    </w:p>
    <w:p>
      <w:pPr>
        <w:pStyle w:val="FirstParagraph"/>
        <w:spacing w:after="120" w:line="276" w:lineRule="auto"/>
        <w:jc w:val="both"/>
      </w:pPr>
      <w:r>
        <w:t xml:space="preserve">Si los dos extremos están prácticamente fijos, porque la amplitud del vibrador es muy pequeña, solo se forman ondas estacionarias cuando en la longitud del muelle cabe un número entero de medias longitudes de onda:</w:t>
      </w:r>
    </w:p>
    <w:p>
      <w:pPr>
        <w:pStyle w:val="BodyText"/>
        <w:spacing w:before="200" w:after="200"/>
      </w:pPr>
      <m:oMathPara>
        <m:oMathParaPr>
          <m:jc m:val="center"/>
        </m:oMathParaPr>
        <m:oMath>
          <m:r>
            <m:t>L</m:t>
          </m:r>
          <m:r>
            <m:rPr>
              <m:sty m:val="p"/>
            </m:rPr>
            <m:t>=</m:t>
          </m:r>
          <m:r>
            <m:t>n</m:t>
          </m:r>
          <m:r>
            <m:t> </m:t>
          </m:r>
          <m:f>
            <m:fPr>
              <m:type m:val="bar"/>
            </m:fPr>
            <m:num>
              <m:sSub>
                <m:e>
                  <m:r>
                    <m:t>λ</m:t>
                  </m:r>
                </m:e>
                <m:sub>
                  <m:r>
                    <m:t>n</m:t>
                  </m:r>
                </m:sub>
              </m:sSub>
            </m:num>
            <m:den>
              <m:r>
                <m:t>2</m:t>
              </m:r>
            </m:den>
          </m:f>
          <m:r>
            <m:rPr>
              <m:sty m:val="p"/>
            </m:rPr>
            <m:t>.</m:t>
          </m:r>
        </m:oMath>
      </m:oMathPara>
    </w:p>
    <w:p>
      <w:pPr>
        <w:pStyle w:val="FirstParagraph"/>
        <w:spacing w:after="120" w:line="276" w:lineRule="auto"/>
        <w:jc w:val="both"/>
      </w:pPr>
      <w:r>
        <w:t xml:space="preserve">Como</w:t>
      </w:r>
      <w:r>
        <w:t xml:space="preserve"> </w:t>
      </w:r>
      <m:oMath>
        <m:sSub>
          <m:e>
            <m:r>
              <m:t>f</m:t>
            </m:r>
          </m:e>
          <m:sub>
            <m:r>
              <m:t>n</m:t>
            </m:r>
          </m:sub>
        </m:sSub>
        <m:r>
          <m:rPr>
            <m:sty m:val="p"/>
          </m:rPr>
          <m:t>=</m:t>
        </m:r>
        <m:r>
          <m:t>v</m:t>
        </m:r>
        <m:r>
          <m:rPr>
            <m:sty m:val="p"/>
          </m:rPr>
          <m:t>/</m:t>
        </m:r>
        <m:sSub>
          <m:e>
            <m:r>
              <m:t>λ</m:t>
            </m:r>
          </m:e>
          <m:sub>
            <m:r>
              <m:t>n</m:t>
            </m:r>
          </m:sub>
        </m:sSub>
      </m:oMath>
      <w:r>
        <w:t xml:space="preserve">, las frecuencias de los modos normales son</w:t>
      </w:r>
    </w:p>
    <w:p>
      <w:pPr>
        <w:pStyle w:val="BodyText"/>
        <w:spacing w:before="200" w:after="200"/>
      </w:pPr>
      <m:oMathPara>
        <m:oMathParaPr>
          <m:jc m:val="center"/>
        </m:oMathParaPr>
        <m:oMath>
          <m:sSub>
            <m:e>
              <m:r>
                <m:t>f</m:t>
              </m:r>
            </m:e>
            <m:sub>
              <m:r>
                <m:t>n</m:t>
              </m:r>
            </m:sub>
          </m:sSub>
          <m:r>
            <m:rPr>
              <m:sty m:val="p"/>
            </m:rPr>
            <m:t>=</m:t>
          </m:r>
          <m:f>
            <m:fPr>
              <m:type m:val="bar"/>
            </m:fPr>
            <m:num>
              <m:r>
                <m:t>v</m:t>
              </m:r>
            </m:num>
            <m:den>
              <m:r>
                <m:t>2</m:t>
              </m:r>
              <m:r>
                <m:t>L</m:t>
              </m:r>
            </m:den>
          </m:f>
          <m:r>
            <m:t> </m:t>
          </m:r>
          <m:r>
            <m:t>n</m:t>
          </m:r>
          <m:r>
            <m:rPr>
              <m:sty m:val="p"/>
            </m:rPr>
            <m:t>,</m:t>
          </m:r>
        </m:oMath>
      </m:oMathPara>
    </w:p>
    <w:p>
      <w:pPr>
        <w:pStyle w:val="FirstParagraph"/>
        <w:spacing w:after="120" w:line="276" w:lineRule="auto"/>
        <w:jc w:val="both"/>
      </w:pPr>
      <w:r>
        <w:t xml:space="preserve">con</w:t>
      </w:r>
      <w:r>
        <w:t xml:space="preserve"> </w:t>
      </w:r>
      <m:oMath>
        <m:r>
          <m:t>n</m:t>
        </m:r>
      </m:oMath>
      <w:r>
        <w:t xml:space="preserve"> </w:t>
      </w:r>
      <w:r>
        <w:t xml:space="preserve">= 1, 2, 3… En el modo</w:t>
      </w:r>
      <w:r>
        <w:t xml:space="preserve"> </w:t>
      </w:r>
      <m:oMath>
        <m:r>
          <m:t>n</m:t>
        </m:r>
      </m:oMath>
      <w:r>
        <w:t xml:space="preserve"> </w:t>
      </w:r>
      <w:r>
        <w:t xml:space="preserve">se ven</w:t>
      </w:r>
      <w:r>
        <w:t xml:space="preserve"> </w:t>
      </w:r>
      <m:oMath>
        <m:r>
          <m:t>n</m:t>
        </m:r>
      </m:oMath>
      <w:r>
        <w:t xml:space="preserve"> </w:t>
      </w:r>
      <w:r>
        <w:t xml:space="preserve">zonas de gran amplitud, los vientres, separadas por</w:t>
      </w:r>
      <w:r>
        <w:t xml:space="preserve"> </w:t>
      </w:r>
      <m:oMath>
        <m:r>
          <m:t>n</m:t>
        </m:r>
        <m:r>
          <m:rPr>
            <m:sty m:val="p"/>
          </m:rPr>
          <m:t>−</m:t>
        </m:r>
        <m:r>
          <m:t>1</m:t>
        </m:r>
      </m:oMath>
      <w:r>
        <w:t xml:space="preserve"> </w:t>
      </w:r>
      <w:r>
        <w:t xml:space="preserve">puntos casi quietos, los nodos (Figura 1).</w:t>
      </w:r>
    </w:p>
    <w:bookmarkEnd w:id="22"/>
    <w:bookmarkStart w:id="26" w:name="montaje-experimental"/>
    <w:p>
      <w:pPr>
        <w:pStyle w:val="Heading2"/>
        <w:numPr>
          <w:ilvl w:val="0"/>
          <w:numId w:val="0"/>
        </w:numPr>
        <w:spacing w:before="440" w:after="160"/>
      </w:pPr>
      <w:r>
        <w:rPr>
          <w:sz w:val="36"/>
        </w:rPr>
        <w:t xml:space="preserve">Montaje experimental</w:t>
      </w:r>
    </w:p>
    <w:p>
      <w:pPr>
        <w:pStyle w:val="CaptionedFigure"/>
        <w:jc w:val="center"/>
      </w:pPr>
      <w:r>
        <w:drawing>
          <wp:inline>
            <wp:extent cx="2519999" cy="2396687"/>
            <wp:effectExtent b="0" l="0" r="0" t="0"/>
            <wp:docPr descr="Figura 1. Muelle entre el vibrador y un soporte fijo, oscilando en el modo n = 3." title="" id="24" name="Picture"/>
            <a:graphic>
              <a:graphicData uri="http://schemas.openxmlformats.org/drawingml/2006/picture">
                <pic:pic>
                  <pic:nvPicPr>
                    <pic:cNvPr descr="fig/vibrador.png" id="25" name="Picture"/>
                    <pic:cNvPicPr>
                      <a:picLocks noChangeArrowheads="1" noChangeAspect="1"/>
                    </pic:cNvPicPr>
                  </pic:nvPicPr>
                  <pic:blipFill>
                    <a:blip r:embed="rId23"/>
                    <a:stretch>
                      <a:fillRect/>
                    </a:stretch>
                  </pic:blipFill>
                  <pic:spPr bwMode="auto">
                    <a:xfrm>
                      <a:off x="0" y="0"/>
                      <a:ext cx="2519999" cy="2396687"/>
                    </a:xfrm>
                    <a:prstGeom prst="rect">
                      <a:avLst/>
                    </a:prstGeom>
                    <a:noFill/>
                    <a:ln w="9525">
                      <a:noFill/>
                      <a:headEnd/>
                      <a:tailEnd/>
                    </a:ln>
                  </pic:spPr>
                </pic:pic>
              </a:graphicData>
            </a:graphic>
          </wp:inline>
        </w:drawing>
      </w:r>
    </w:p>
    <w:p>
      <w:pPr>
        <w:pStyle w:val="ImageCaption"/>
        <w:spacing w:after="280"/>
        <w:jc w:val="center"/>
      </w:pPr>
      <w:r>
        <w:t xml:space="preserve">Figura 1. Muelle entre el vibrador y un soporte fijo, oscilando en el modo</w:t>
      </w:r>
      <w:r>
        <w:t xml:space="preserve"> </w:t>
      </w:r>
      <m:oMath>
        <m:r>
          <m:t>n</m:t>
        </m:r>
      </m:oMath>
      <w:r>
        <w:t xml:space="preserve"> </w:t>
      </w:r>
      <w:r>
        <w:t xml:space="preserve">= 3.</w:t>
      </w:r>
    </w:p>
    <w:p>
      <w:pPr>
        <w:pStyle w:val="BodyText"/>
        <w:spacing w:after="120" w:line="276" w:lineRule="auto"/>
        <w:jc w:val="both"/>
      </w:pPr>
      <w:r>
        <w:t xml:space="preserve">El muelle cuelga del vástago del vibrador mecánico y su extremo inferior se sujeta a un soporte fijo, de modo que quede estirado. El vibrador se conecta a la salida senoidal del generador de funciones, en el que se lee la frecuencia. Conviene empezar con la amplitud baja y subirla solo lo necesario para ver los modos.</w:t>
      </w:r>
    </w:p>
    <w:p>
      <w:pPr>
        <w:pStyle w:val="BodyText"/>
        <w:spacing w:after="120" w:line="276" w:lineRule="auto"/>
        <w:jc w:val="both"/>
      </w:pPr>
      <w:r>
        <w:t xml:space="preserve">Antes de montarlo, medir la masa del muelle con la balanza. Una vez montado, medir su longitud</w:t>
      </w:r>
      <w:r>
        <w:t xml:space="preserve"> </w:t>
      </w:r>
      <m:oMath>
        <m:r>
          <m:t>L</m:t>
        </m:r>
      </m:oMath>
      <w:r>
        <w:t xml:space="preserve"> </w:t>
      </w:r>
      <w:r>
        <w:t xml:space="preserve">con la cinta métrica.</w:t>
      </w:r>
    </w:p>
    <w:p>
      <w:pPr>
        <w:pStyle w:val="TableCaption"/>
        <w:keepNext/>
        <w:spacing w:after="80" w:before="200"/>
        <w:jc w:val="center"/>
      </w:pPr>
      <w:r>
        <w:t xml:space="preserve">Tabla 1. Masa y longitud del muelle.</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1. Masa y longitud del muelle."/>
      </w:tblPr>
      <w:tblGrid>
        <w:gridCol w:w="3960"/>
        <w:gridCol w:w="3960"/>
      </w:tblGrid>
      <w:tr>
        <w:trPr>
          <w:trHeight w:val="510" w:hRule="atLeast"/>
          <w:tblHeader w:val="true"/>
        </w:trPr>
        <w:tc>
          <w:tcPr>
            <w:shd w:val="clear" w:color="auto" w:fill="FFF0C1"/>
            <w:vAlign w:val="center"/>
          </w:tcPr>
          <w:p>
            <w:pPr>
              <w:pStyle w:val="Compact"/>
              <w:keepNext/>
              <w:jc w:val="center"/>
            </w:pPr>
            <m:oMath>
              <m:r>
                <m:t>M</m:t>
              </m:r>
            </m:oMath>
            <w:r>
              <w:rPr>
                <w:sz w:val="20"/>
              </w:rPr>
              <w:t xml:space="preserve"> </w:t>
            </w:r>
            <w:r>
              <w:rPr>
                <w:sz w:val="20"/>
              </w:rPr>
              <w:t xml:space="preserve">(kg)</w:t>
            </w:r>
          </w:p>
        </w:tc>
        <w:tc>
          <w:tcPr>
            <w:shd w:val="clear" w:color="auto" w:fill="FFF0C1"/>
            <w:vAlign w:val="center"/>
          </w:tcPr>
          <w:p>
            <w:pPr>
              <w:pStyle w:val="Compact"/>
              <w:keepNext/>
              <w:jc w:val="center"/>
            </w:pPr>
            <m:oMath>
              <m:r>
                <m:t>L</m:t>
              </m:r>
            </m:oMath>
            <w:r>
              <w:rPr>
                <w:sz w:val="20"/>
              </w:rPr>
              <w:t xml:space="preserve"> </w:t>
            </w:r>
            <w:r>
              <w:rPr>
                <w:sz w:val="20"/>
              </w:rPr>
              <w:t xml:space="preserve">(m)</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6"/>
    <w:bookmarkStart w:id="27" w:name="resultados"/>
    <w:p>
      <w:pPr>
        <w:pStyle w:val="Heading2"/>
        <w:numPr>
          <w:ilvl w:val="0"/>
          <w:numId w:val="0"/>
        </w:numPr>
        <w:spacing w:before="440" w:after="160"/>
      </w:pPr>
      <w:r>
        <w:rPr>
          <w:sz w:val="36"/>
        </w:rPr>
        <w:t xml:space="preserve">Resultados</w:t>
      </w:r>
    </w:p>
    <w:p>
      <w:pPr>
        <w:pStyle w:val="FirstParagraph"/>
        <w:spacing w:after="120" w:line="276" w:lineRule="auto"/>
        <w:jc w:val="both"/>
      </w:pPr>
      <w:r>
        <w:t xml:space="preserve">Subir la frecuencia despacio desde 1 Hz. Cuando aparezca un modo, ajustar la frecuencia hasta que los vientres tengan la máxima amplitud, contar los vientres para saber qué modo es y anotar la frecuencia</w:t>
      </w:r>
      <w:r>
        <w:t xml:space="preserve"> </w:t>
      </w:r>
      <m:oMath>
        <m:sSub>
          <m:e>
            <m:r>
              <m:t>f</m:t>
            </m:r>
          </m:e>
          <m:sub>
            <m:r>
              <m:t>n</m:t>
            </m:r>
          </m:sub>
        </m:sSub>
      </m:oMath>
      <w:r>
        <w:t xml:space="preserve">. Seguir subiendo hasta el modo</w:t>
      </w:r>
      <w:r>
        <w:t xml:space="preserve"> </w:t>
      </w:r>
      <m:oMath>
        <m:r>
          <m:t>n</m:t>
        </m:r>
      </m:oMath>
      <w:r>
        <w:t xml:space="preserve"> </w:t>
      </w:r>
      <w:r>
        <w:t xml:space="preserve">= 6, o hasta donde se distingan.</w:t>
      </w:r>
    </w:p>
    <w:p>
      <w:pPr>
        <w:pStyle w:val="BodyText"/>
        <w:spacing w:after="120" w:line="276" w:lineRule="auto"/>
        <w:jc w:val="both"/>
      </w:pPr>
      <w:r>
        <w:t xml:space="preserve">Para el error de</w:t>
      </w:r>
      <w:r>
        <w:t xml:space="preserve"> </w:t>
      </w:r>
      <m:oMath>
        <m:sSub>
          <m:e>
            <m:r>
              <m:t>f</m:t>
            </m:r>
          </m:e>
          <m:sub>
            <m:r>
              <m:t>n</m:t>
            </m:r>
          </m:sub>
        </m:sSub>
      </m:oMath>
      <w:r>
        <w:t xml:space="preserve">, anotar también la frecuencia más baja y la más alta entre las que la amplitud se ve máxima. El error es la mitad de la diferencia entre ambas.</w:t>
      </w:r>
    </w:p>
    <w:p>
      <w:pPr>
        <w:pStyle w:val="TableCaption"/>
        <w:keepNext/>
        <w:spacing w:after="80" w:before="200"/>
        <w:jc w:val="center"/>
      </w:pPr>
      <w:r>
        <w:t xml:space="preserve">Tabla 2. Frecuencias de los modos normales.</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2. Frecuencias de los modos normales."/>
      </w:tblPr>
      <w:tblGrid>
        <w:gridCol w:w="2640"/>
        <w:gridCol w:w="2640"/>
        <w:gridCol w:w="2640"/>
      </w:tblGrid>
      <w:tr>
        <w:trPr>
          <w:trHeight w:val="510" w:hRule="atLeast"/>
          <w:tblHeader w:val="true"/>
        </w:trPr>
        <w:tc>
          <w:tcPr>
            <w:shd w:val="clear" w:color="auto" w:fill="FFF0C1"/>
            <w:vAlign w:val="center"/>
          </w:tcPr>
          <w:p>
            <w:pPr>
              <w:pStyle w:val="Compact"/>
              <w:keepNext/>
              <w:jc w:val="center"/>
            </w:pPr>
            <m:oMath>
              <m:r>
                <m:t>n</m:t>
              </m:r>
            </m:oMath>
          </w:p>
        </w:tc>
        <w:tc>
          <w:tcPr>
            <w:shd w:val="clear" w:color="auto" w:fill="FFF0C1"/>
            <w:vAlign w:val="center"/>
          </w:tcPr>
          <w:p>
            <w:pPr>
              <w:pStyle w:val="Compact"/>
              <w:keepNext/>
              <w:jc w:val="center"/>
            </w:pPr>
            <m:oMath>
              <m:sSub>
                <m:e>
                  <m:r>
                    <m:t>f</m:t>
                  </m:r>
                </m:e>
                <m:sub>
                  <m:r>
                    <m:t>n</m:t>
                  </m:r>
                </m:sub>
              </m:sSub>
            </m:oMath>
            <w:r>
              <w:rPr>
                <w:sz w:val="20"/>
              </w:rPr>
              <w:t xml:space="preserve"> </w:t>
            </w:r>
            <w:r>
              <w:rPr>
                <w:sz w:val="20"/>
              </w:rPr>
              <w:t xml:space="preserve">(Hz)</w:t>
            </w:r>
          </w:p>
        </w:tc>
        <w:tc>
          <w:tcPr>
            <w:shd w:val="clear" w:color="auto" w:fill="FFF0C1"/>
            <w:vAlign w:val="center"/>
          </w:tcPr>
          <w:p>
            <w:pPr>
              <w:pStyle w:val="Compact"/>
              <w:keepNext/>
              <w:jc w:val="center"/>
            </w:pPr>
            <m:oMath>
              <m:sSub>
                <m:e>
                  <m:r>
                    <m:t>ε</m:t>
                  </m:r>
                </m:e>
                <m:sub>
                  <m:sSub>
                    <m:e>
                      <m:r>
                        <m:t>f</m:t>
                      </m:r>
                    </m:e>
                    <m:sub>
                      <m:r>
                        <m:t>n</m:t>
                      </m:r>
                    </m:sub>
                  </m:sSub>
                </m:sub>
              </m:sSub>
            </m:oMath>
            <w:r>
              <w:rPr>
                <w:sz w:val="20"/>
              </w:rPr>
              <w:t xml:space="preserve"> </w:t>
            </w:r>
            <w:r>
              <w:rPr>
                <w:sz w:val="20"/>
              </w:rPr>
              <w:t xml:space="preserve">(Hz)</w:t>
            </w:r>
          </w:p>
        </w:tc>
      </w:tr>
      <w:tr>
        <w:trPr>
          <w:trHeight w:val="425" w:hRule="atLeast"/>
        </w:trPr>
        <w:tc>
          <w:tcPr>
            <w:vAlign w:val="center"/>
          </w:tcPr>
          <w:p>
            <w:pPr>
              <w:pStyle w:val="Compact"/>
              <w:keepNext/>
              <w:jc w:val="center"/>
            </w:pPr>
            <w:r>
              <w:rPr>
                <w:sz w:val="20"/>
              </w:rPr>
              <w:t xml:space="preserve">1</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2</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3</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4</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5</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6</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7"/>
    <w:bookmarkStart w:id="28" w:name="cuestiones"/>
    <w:p>
      <w:pPr>
        <w:pStyle w:val="Heading2"/>
        <w:numPr>
          <w:ilvl w:val="0"/>
          <w:numId w:val="0"/>
        </w:numPr>
        <w:spacing w:before="440" w:after="160"/>
      </w:pPr>
      <w:r>
        <w:rPr>
          <w:sz w:val="36"/>
        </w:rPr>
        <w:t xml:space="preserve">Cuestiones</w:t>
      </w:r>
    </w:p>
    <w:p>
      <w:pPr>
        <w:pStyle w:val="FirstParagraph"/>
        <w:spacing w:before="280" w:after="120" w:line="276" w:lineRule="auto"/>
        <w:jc w:val="both"/>
      </w:pPr>
      <w:r>
        <w:rPr>
          <w:bCs/>
          <w:b/>
        </w:rPr>
        <w:t xml:space="preserve">1.</w:t>
      </w:r>
      <w:r>
        <w:t xml:space="preserve"> </w:t>
      </w:r>
      <w:r>
        <w:t xml:space="preserve">Represente</w:t>
      </w:r>
      <w:r>
        <w:t xml:space="preserve"> </w:t>
      </w:r>
      <m:oMath>
        <m:sSub>
          <m:e>
            <m:r>
              <m:t>f</m:t>
            </m:r>
          </m:e>
          <m:sub>
            <m:r>
              <m:t>n</m:t>
            </m:r>
          </m:sub>
        </m:sSub>
      </m:oMath>
      <w:r>
        <w:t xml:space="preserve"> </w:t>
      </w:r>
      <w:r>
        <w:t xml:space="preserve">frente a</w:t>
      </w:r>
      <w:r>
        <w:t xml:space="preserve"> </w:t>
      </w:r>
      <m:oMath>
        <m:r>
          <m:t>n</m:t>
        </m:r>
      </m:oMath>
      <w:r>
        <w:t xml:space="preserve"> </w:t>
      </w:r>
      <w:r>
        <w:t xml:space="preserve">con sus barras de error y la recta de ajuste por mínimos cuadrados,</w:t>
      </w:r>
      <w:r>
        <w:t xml:space="preserve"> </w:t>
      </w:r>
      <m:oMath>
        <m:sSub>
          <m:e>
            <m:r>
              <m:t>f</m:t>
            </m:r>
          </m:e>
          <m:sub>
            <m:r>
              <m:t>n</m:t>
            </m:r>
          </m:sub>
        </m:sSub>
        <m:r>
          <m:rPr>
            <m:sty m:val="p"/>
          </m:rPr>
          <m:t>=</m:t>
        </m:r>
        <m:r>
          <m:t>B</m:t>
        </m:r>
        <m:r>
          <m:t> </m:t>
        </m:r>
        <m:r>
          <m:t>n</m:t>
        </m:r>
        <m:r>
          <m:rPr>
            <m:sty m:val="p"/>
          </m:rPr>
          <m:t>+</m:t>
        </m:r>
        <m:r>
          <m:t>A</m:t>
        </m:r>
      </m:oMath>
      <w:r>
        <w:t xml:space="preserve">.</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p>
      <w:pPr>
        <w:pStyle w:val="BodyText"/>
        <w:spacing w:before="280" w:after="120" w:line="276" w:lineRule="auto"/>
        <w:jc w:val="both"/>
      </w:pPr>
      <w:r>
        <w:rPr>
          <w:bCs/>
          <w:b/>
        </w:rPr>
        <w:t xml:space="preserve">2.</w:t>
      </w:r>
      <w:r>
        <w:t xml:space="preserve"> </w:t>
      </w:r>
      <w:r>
        <w:t xml:space="preserve">A partir del ajuste, obtenga la velocidad de propagación</w:t>
      </w:r>
      <w:r>
        <w:t xml:space="preserve"> </w:t>
      </w:r>
      <m:oMath>
        <m:r>
          <m:t>v</m:t>
        </m:r>
      </m:oMath>
      <w:r>
        <w:t xml:space="preserve"> </w:t>
      </w:r>
      <w:r>
        <w:t xml:space="preserve">y la constante del muelle</w:t>
      </w:r>
      <w:r>
        <w:t xml:space="preserve"> </w:t>
      </w:r>
      <m:oMath>
        <m:r>
          <m:t>k</m:t>
        </m:r>
      </m:oMath>
      <w:r>
        <w:t xml:space="preserve">, con sus errores.</w:t>
      </w:r>
    </w:p>
    <w:p>
      <w:pPr>
        <w:pStyle w:val="TableCaption"/>
        <w:keepNext/>
        <w:spacing w:after="80" w:before="200"/>
        <w:jc w:val="center"/>
      </w:pPr>
      <w:r>
        <w:t xml:space="preserve">Tabla 3. Ajuste lineal, velocidad de propagación y constante del muelle.</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3. Ajuste lineal, velocidad de propagación y constante del muelle."/>
      </w:tblPr>
      <w:tblGrid>
        <w:gridCol w:w="1131"/>
        <w:gridCol w:w="1131"/>
        <w:gridCol w:w="1131"/>
        <w:gridCol w:w="1131"/>
        <w:gridCol w:w="1131"/>
        <w:gridCol w:w="1131"/>
        <w:gridCol w:w="1131"/>
      </w:tblGrid>
      <w:tr>
        <w:trPr>
          <w:trHeight w:val="510" w:hRule="atLeast"/>
          <w:tblHeader w:val="true"/>
        </w:trPr>
        <w:tc>
          <w:tcPr>
            <w:shd w:val="clear" w:color="auto" w:fill="FFF0C1"/>
            <w:vAlign w:val="center"/>
          </w:tcPr>
          <w:p>
            <w:pPr>
              <w:pStyle w:val="Compact"/>
              <w:keepNext/>
              <w:jc w:val="center"/>
            </w:pPr>
            <m:oMath>
              <m:r>
                <m:t>B</m:t>
              </m:r>
            </m:oMath>
            <w:r>
              <w:rPr>
                <w:sz w:val="20"/>
              </w:rPr>
              <w:t xml:space="preserve"> </w:t>
            </w:r>
            <w:r>
              <w:rPr>
                <w:sz w:val="20"/>
              </w:rPr>
              <w:t xml:space="preserve">(Hz)</w:t>
            </w:r>
          </w:p>
        </w:tc>
        <w:tc>
          <w:tcPr>
            <w:shd w:val="clear" w:color="auto" w:fill="FFF0C1"/>
            <w:vAlign w:val="center"/>
          </w:tcPr>
          <w:p>
            <w:pPr>
              <w:pStyle w:val="Compact"/>
              <w:keepNext/>
              <w:jc w:val="center"/>
            </w:pPr>
            <m:oMath>
              <m:r>
                <m:t>A</m:t>
              </m:r>
            </m:oMath>
            <w:r>
              <w:rPr>
                <w:sz w:val="20"/>
              </w:rPr>
              <w:t xml:space="preserve"> </w:t>
            </w:r>
            <w:r>
              <w:rPr>
                <w:sz w:val="20"/>
              </w:rPr>
              <w:t xml:space="preserve">(Hz)</w:t>
            </w:r>
          </w:p>
        </w:tc>
        <w:tc>
          <w:tcPr>
            <w:shd w:val="clear" w:color="auto" w:fill="FFF0C1"/>
            <w:vAlign w:val="center"/>
          </w:tcPr>
          <w:p>
            <w:pPr>
              <w:pStyle w:val="Compact"/>
              <w:keepNext/>
              <w:jc w:val="center"/>
            </w:pPr>
            <m:oMath>
              <m:r>
                <m:t>r</m:t>
              </m:r>
            </m:oMath>
          </w:p>
        </w:tc>
        <w:tc>
          <w:tcPr>
            <w:shd w:val="clear" w:color="auto" w:fill="FFF0C1"/>
            <w:vAlign w:val="center"/>
          </w:tcPr>
          <w:p>
            <w:pPr>
              <w:pStyle w:val="Compact"/>
              <w:keepNext/>
              <w:jc w:val="center"/>
            </w:pPr>
            <m:oMath>
              <m:r>
                <m:t>v</m:t>
              </m:r>
            </m:oMath>
            <w:r>
              <w:rPr>
                <w:sz w:val="20"/>
              </w:rPr>
              <w:t xml:space="preserve"> </w:t>
            </w:r>
            <w:r>
              <w:rPr>
                <w:sz w:val="20"/>
              </w:rPr>
              <w:t xml:space="preserve">(m/s)</w:t>
            </w:r>
          </w:p>
        </w:tc>
        <w:tc>
          <w:tcPr>
            <w:shd w:val="clear" w:color="auto" w:fill="FFF0C1"/>
            <w:vAlign w:val="center"/>
          </w:tcPr>
          <w:p>
            <w:pPr>
              <w:pStyle w:val="Compact"/>
              <w:keepNext/>
              <w:jc w:val="center"/>
            </w:pPr>
            <m:oMath>
              <m:sSub>
                <m:e>
                  <m:r>
                    <m:t>ε</m:t>
                  </m:r>
                </m:e>
                <m:sub>
                  <m:r>
                    <m:t>v</m:t>
                  </m:r>
                </m:sub>
              </m:sSub>
            </m:oMath>
            <w:r>
              <w:rPr>
                <w:sz w:val="20"/>
              </w:rPr>
              <w:t xml:space="preserve"> </w:t>
            </w:r>
            <w:r>
              <w:rPr>
                <w:sz w:val="20"/>
              </w:rPr>
              <w:t xml:space="preserve">(m/s)</w:t>
            </w:r>
          </w:p>
        </w:tc>
        <w:tc>
          <w:tcPr>
            <w:shd w:val="clear" w:color="auto" w:fill="FFF0C1"/>
            <w:vAlign w:val="center"/>
          </w:tcPr>
          <w:p>
            <w:pPr>
              <w:pStyle w:val="Compact"/>
              <w:keepNext/>
              <w:jc w:val="center"/>
            </w:pPr>
            <m:oMath>
              <m:r>
                <m:t>k</m:t>
              </m:r>
            </m:oMath>
            <w:r>
              <w:rPr>
                <w:sz w:val="20"/>
              </w:rPr>
              <w:t xml:space="preserve"> </w:t>
            </w:r>
            <w:r>
              <w:rPr>
                <w:sz w:val="20"/>
              </w:rPr>
              <w:t xml:space="preserve">(N/m)</w:t>
            </w:r>
          </w:p>
        </w:tc>
        <w:tc>
          <w:tcPr>
            <w:shd w:val="clear" w:color="auto" w:fill="FFF0C1"/>
            <w:vAlign w:val="center"/>
          </w:tcPr>
          <w:p>
            <w:pPr>
              <w:pStyle w:val="Compact"/>
              <w:keepNext/>
              <w:jc w:val="center"/>
            </w:pPr>
            <m:oMath>
              <m:sSub>
                <m:e>
                  <m:r>
                    <m:t>ε</m:t>
                  </m:r>
                </m:e>
                <m:sub>
                  <m:r>
                    <m:t>k</m:t>
                  </m:r>
                </m:sub>
              </m:sSub>
            </m:oMath>
            <w:r>
              <w:rPr>
                <w:sz w:val="20"/>
              </w:rPr>
              <w:t xml:space="preserve"> </w:t>
            </w:r>
            <w:r>
              <w:rPr>
                <w:sz w:val="20"/>
              </w:rPr>
              <w:t xml:space="preserve">(N/m)</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8"/>
    <w:sectPr>
      <w:headerReference w:type="default" r:id="rId9"/>
      <w:footerReference w:type="default" r:id="rId10"/>
      <w:pgSz w:w="12240" w:h="15840"/>
      <w:pgMar w:left="1276" w:right="1440" w:top="1134" w:bottom="1247" w:header="45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3402" w:val="left"/>
        <w:tab w:pos="6803" w:val="left"/>
      </w:tabs>
    </w:pPr>
    <w:r/>
    <w:r>
      <w:rPr>
        <w:rFonts w:ascii="Times New Roman" w:hAnsi="Times New Roman"/>
        <w:color w:val="FF0000"/>
        <w:sz w:val="22"/>
      </w:rPr>
      <w:t>Alumno 1:</w:t>
      <w:tab/>
      <w:t>Alumno 2:</w:t>
      <w:tab/>
      <w:t>Alumno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pPr>
      <w:spacing w:before="60" w:after="60"/>
    </w:pPr>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hAnsi="Arial" w:cs="Arial"/>
      <w:b/>
      <w:bCs/>
      <w:i/>
      <w:color w:val="000000"/>
      <w:sz w:val="36"/>
      <w:szCs w:val="32"/>
    </w:rPr>
  </w:style>
  <w:style w:styleId="Heading2" w:type="paragraph">
    <w:name w:val="Heading 2"/>
    <w:basedOn w:val="Normal"/>
    <w:next w:val="BodyText"/>
    <w:uiPriority w:val="9"/>
    <w:unhideWhenUsed/>
    <w:qFormat/>
    <w:pPr>
      <w:keepNext/>
      <w:keepLines/>
      <w:spacing w:after="80" w:before="240"/>
      <w:outlineLvl w:val="1"/>
    </w:pPr>
    <w:rPr>
      <w:rFonts w:ascii="Arial" w:hAnsi="Arial" w:cs="Arial"/>
      <w:b/>
      <w:bCs/>
      <w:i/>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sz w:val="22"/>
    </w:rPr>
  </w:style>
  <w:style w:customStyle="1" w:styleId="TableCaption" w:type="paragraph">
    <w:name w:val="Table Caption"/>
    <w:basedOn w:val="Caption"/>
    <w:pPr>
      <w:keepNext/>
    </w:pPr>
    <w:rPr>
      <w:i/>
      <w:sz w:val="22"/>
    </w:rPr>
  </w:style>
  <w:style w:customStyle="1" w:styleId="ImageCaption" w:type="paragraph">
    <w:name w:val="Image Caption"/>
    <w:basedOn w:val="Caption"/>
    <w:rPr>
      <w: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2026-10-30T16:33:44Z</dcterms:created>
  <dcterms:modified xsi:type="dcterms:W3CDTF">2026-10-30T16:33:44Z</dcterms:modified>
</cp:coreProperties>
</file>

<file path=docProps/custom.xml><?xml version="1.0" encoding="utf-8"?>
<Properties xmlns="http://schemas.openxmlformats.org/officeDocument/2006/custom-properties" xmlns:vt="http://schemas.openxmlformats.org/officeDocument/2006/docPropsVTypes"/>
</file>