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modos-normales-de-una-cuerda-tensa"/>
    <w:p>
      <w:pPr>
        <w:pStyle w:val="Heading2"/>
        <w:numPr>
          <w:ilvl w:val="0"/>
          <w:numId w:val="0"/>
        </w:numPr>
      </w:pPr>
      <w:r>
        <w:rPr>
          <w:sz w:val="40"/>
        </w:rPr>
        <w:t xml:space="preserve">Modos normales de una cuerda tensa</w:t>
      </w:r>
    </w:p>
    <w:bookmarkEnd w:id="20"/>
    <w:bookmarkStart w:id="21" w:name="objetivo"/>
    <w:p>
      <w:pPr>
        <w:pStyle w:val="Heading2"/>
        <w:numPr>
          <w:ilvl w:val="0"/>
          <w:numId w:val="0"/>
        </w:numPr>
        <w:spacing w:before="440" w:after="160"/>
      </w:pPr>
      <w:r>
        <w:rPr>
          <w:sz w:val="36"/>
        </w:rPr>
        <w:t xml:space="preserve">Objetivo</w:t>
      </w:r>
    </w:p>
    <w:p>
      <w:pPr>
        <w:pStyle w:val="FirstParagraph"/>
        <w:spacing w:after="120" w:line="276" w:lineRule="auto"/>
        <w:jc w:val="both"/>
      </w:pPr>
      <w:r>
        <w:t xml:space="preserve">Hacer vibrar con un vibrador una cuerda tensa, fija por sus dos extremos, observar sus modos normales y medir sus frecuencias. A partir de ellas se obtiene la masa por unidad de longitud de la cuerda.</w:t>
      </w:r>
    </w:p>
    <w:bookmarkEnd w:id="21"/>
    <w:bookmarkStart w:id="22" w:name="fundamento-teórico"/>
    <w:p>
      <w:pPr>
        <w:pStyle w:val="Heading2"/>
        <w:numPr>
          <w:ilvl w:val="0"/>
          <w:numId w:val="0"/>
        </w:numPr>
        <w:spacing w:before="440" w:after="160"/>
      </w:pPr>
      <w:r>
        <w:rPr>
          <w:sz w:val="36"/>
        </w:rPr>
        <w:t xml:space="preserve">Fundamento teórico</w:t>
      </w:r>
    </w:p>
    <w:p>
      <w:pPr>
        <w:pStyle w:val="FirstParagraph"/>
        <w:spacing w:after="120" w:line="276" w:lineRule="auto"/>
        <w:jc w:val="both"/>
      </w:pPr>
      <w:r>
        <w:t xml:space="preserve">Una cuerda tensa se puede ver como una cadena de muchísimas masas pequeñas unidas entre sí por la tensión, es decir, como un sistema de muchos osciladores acoplados. Igual que dos péndulos acoplados tienen dos modos normales, la cuerda tiene muchos: en cada uno, todos sus puntos oscilan con la misma frecuencia y la cuerda adopta una forma fija con</w:t>
      </w:r>
      <w:r>
        <w:t xml:space="preserve"> </w:t>
      </w:r>
      <m:oMath>
        <m:r>
          <m:t>n</m:t>
        </m:r>
      </m:oMath>
      <w:r>
        <w:t xml:space="preserve"> </w:t>
      </w:r>
      <w:r>
        <w:t xml:space="preserve">zonas de gran amplitud, los vientres, separadas por puntos que no se mueven, los nodos (Figura 1).</w:t>
      </w:r>
    </w:p>
    <w:p>
      <w:pPr>
        <w:pStyle w:val="BodyText"/>
        <w:spacing w:after="120" w:line="276" w:lineRule="auto"/>
        <w:jc w:val="both"/>
      </w:pPr>
      <w:r>
        <w:t xml:space="preserve">Para una cuerda de longitud</w:t>
      </w:r>
      <w:r>
        <w:t xml:space="preserve"> </w:t>
      </w:r>
      <m:oMath>
        <m:r>
          <m:t>L</m:t>
        </m:r>
      </m:oMath>
      <w:r>
        <w:t xml:space="preserve">, tensión</w:t>
      </w:r>
      <w:r>
        <w:t xml:space="preserve"> </w:t>
      </w:r>
      <m:oMath>
        <m:r>
          <m:t>T</m:t>
        </m:r>
      </m:oMath>
      <w:r>
        <w:t xml:space="preserve"> </w:t>
      </w:r>
      <w:r>
        <w:t xml:space="preserve">y masa por unidad de longitud</w:t>
      </w:r>
      <w:r>
        <w:t xml:space="preserve"> </w:t>
      </w:r>
      <m:oMath>
        <m:r>
          <m:t>μ</m:t>
        </m:r>
      </m:oMath>
      <w:r>
        <w:t xml:space="preserve">, fija por los dos extremos, la frecuencia del modo</w:t>
      </w:r>
      <w:r>
        <w:t xml:space="preserve"> </w:t>
      </w:r>
      <m:oMath>
        <m:r>
          <m:t>n</m:t>
        </m:r>
      </m:oMath>
      <w:r>
        <w:t xml:space="preserve"> </w:t>
      </w:r>
      <w:r>
        <w:t xml:space="preserve">es</w:t>
      </w:r>
    </w:p>
    <w:p>
      <w:pPr>
        <w:pStyle w:val="BodyText"/>
        <w:spacing w:before="200" w:after="200"/>
      </w:pPr>
      <m:oMathPara>
        <m:oMathParaPr>
          <m:jc m:val="center"/>
        </m:oMathParaPr>
        <m:oMath>
          <m:sSub>
            <m:e>
              <m:r>
                <m:t>f</m:t>
              </m:r>
            </m:e>
            <m:sub>
              <m:r>
                <m:t>n</m:t>
              </m:r>
            </m:sub>
          </m:sSub>
          <m:r>
            <m:rPr>
              <m:sty m:val="p"/>
            </m:rPr>
            <m:t>=</m:t>
          </m:r>
          <m:f>
            <m:fPr>
              <m:type m:val="bar"/>
            </m:fPr>
            <m:num>
              <m:r>
                <m:t>n</m:t>
              </m:r>
            </m:num>
            <m:den>
              <m:r>
                <m:t>2</m:t>
              </m:r>
              <m:r>
                <m:t>L</m:t>
              </m:r>
            </m:den>
          </m:f>
          <m:rad>
            <m:radPr>
              <m:degHide m:val="on"/>
            </m:radPr>
            <m:deg/>
            <m:e>
              <m:f>
                <m:fPr>
                  <m:type m:val="bar"/>
                </m:fPr>
                <m:num>
                  <m:r>
                    <m:t>T</m:t>
                  </m:r>
                </m:num>
                <m:den>
                  <m:r>
                    <m:t>μ</m:t>
                  </m:r>
                </m:den>
              </m:f>
            </m:e>
          </m:rad>
          <m:r>
            <m:rPr>
              <m:sty m:val="p"/>
            </m:rPr>
            <m:t>,</m:t>
          </m:r>
        </m:oMath>
      </m:oMathPara>
    </w:p>
    <w:p>
      <w:pPr>
        <w:pStyle w:val="FirstParagraph"/>
        <w:spacing w:after="120" w:line="276" w:lineRule="auto"/>
        <w:jc w:val="both"/>
      </w:pPr>
      <w:r>
        <w:t xml:space="preserve">con</w:t>
      </w:r>
      <w:r>
        <w:t xml:space="preserve"> </w:t>
      </w:r>
      <m:oMath>
        <m:r>
          <m:t>n</m:t>
        </m:r>
      </m:oMath>
      <w:r>
        <w:t xml:space="preserve"> </w:t>
      </w:r>
      <w:r>
        <w:t xml:space="preserve">= 1, 2, 3… La tensión la da una masa</w:t>
      </w:r>
      <w:r>
        <w:t xml:space="preserve"> </w:t>
      </w:r>
      <m:oMath>
        <m:r>
          <m:t>M</m:t>
        </m:r>
      </m:oMath>
      <w:r>
        <w:t xml:space="preserve"> </w:t>
      </w:r>
      <w:r>
        <w:t xml:space="preserve">que cuelga del extremo de la cuerda,</w:t>
      </w:r>
      <w:r>
        <w:t xml:space="preserve"> </w:t>
      </w:r>
      <m:oMath>
        <m:r>
          <m:t>T</m:t>
        </m:r>
        <m:r>
          <m:rPr>
            <m:sty m:val="p"/>
          </m:rPr>
          <m:t>=</m:t>
        </m:r>
        <m:r>
          <m:t>M</m:t>
        </m:r>
        <m:r>
          <m:t>g</m:t>
        </m:r>
      </m:oMath>
      <w:r>
        <w:t xml:space="preserve">.</w:t>
      </w:r>
    </w:p>
    <w:p>
      <w:pPr>
        <w:pStyle w:val="BodyText"/>
        <w:spacing w:after="120" w:line="276" w:lineRule="auto"/>
        <w:jc w:val="both"/>
      </w:pPr>
      <w:r>
        <w:t xml:space="preserve">El vibrador mueve un extremo de la cuerda con la frecuencia que marca el generador. Cuando esa frecuencia coincide con la de un modo, la cuerda entra en resonancia y se ve ese modo con gran amplitud.</w:t>
      </w:r>
    </w:p>
    <w:bookmarkEnd w:id="22"/>
    <w:bookmarkStart w:id="26" w:name="montaje-experimental"/>
    <w:p>
      <w:pPr>
        <w:pStyle w:val="Heading2"/>
        <w:numPr>
          <w:ilvl w:val="0"/>
          <w:numId w:val="0"/>
        </w:numPr>
        <w:spacing w:before="440" w:after="160"/>
      </w:pPr>
      <w:r>
        <w:rPr>
          <w:sz w:val="36"/>
        </w:rPr>
        <w:t xml:space="preserve">Montaje experimental</w:t>
      </w:r>
    </w:p>
    <w:p>
      <w:pPr>
        <w:pStyle w:val="CaptionedFigure"/>
        <w:jc w:val="center"/>
      </w:pPr>
      <w:r>
        <w:drawing>
          <wp:inline>
            <wp:extent cx="5039999" cy="1872458"/>
            <wp:effectExtent b="0" l="0" r="0" t="0"/>
            <wp:docPr descr="Figura 1. Cuerda entre el vibrador y la polea, oscilando en el modo n = 3." title="" id="24" name="Picture"/>
            <a:graphic>
              <a:graphicData uri="http://schemas.openxmlformats.org/drawingml/2006/picture">
                <pic:pic>
                  <pic:nvPicPr>
                    <pic:cNvPr descr="fig/cuerda.png" id="25" name="Picture"/>
                    <pic:cNvPicPr>
                      <a:picLocks noChangeArrowheads="1" noChangeAspect="1"/>
                    </pic:cNvPicPr>
                  </pic:nvPicPr>
                  <pic:blipFill>
                    <a:blip r:embed="rId23"/>
                    <a:stretch>
                      <a:fillRect/>
                    </a:stretch>
                  </pic:blipFill>
                  <pic:spPr bwMode="auto">
                    <a:xfrm>
                      <a:off x="0" y="0"/>
                      <a:ext cx="5039999" cy="1872458"/>
                    </a:xfrm>
                    <a:prstGeom prst="rect">
                      <a:avLst/>
                    </a:prstGeom>
                    <a:noFill/>
                    <a:ln w="9525">
                      <a:noFill/>
                      <a:headEnd/>
                      <a:tailEnd/>
                    </a:ln>
                  </pic:spPr>
                </pic:pic>
              </a:graphicData>
            </a:graphic>
          </wp:inline>
        </w:drawing>
      </w:r>
    </w:p>
    <w:p>
      <w:pPr>
        <w:pStyle w:val="ImageCaption"/>
        <w:spacing w:after="280"/>
        <w:jc w:val="center"/>
      </w:pPr>
      <w:r>
        <w:t xml:space="preserve">Figura 1. Cuerda entre el vibrador y la polea, oscilando en el modo</w:t>
      </w:r>
      <w:r>
        <w:t xml:space="preserve"> </w:t>
      </w:r>
      <m:oMath>
        <m:r>
          <m:t>n</m:t>
        </m:r>
      </m:oMath>
      <w:r>
        <w:t xml:space="preserve"> </w:t>
      </w:r>
      <w:r>
        <w:t xml:space="preserve">= 3.</w:t>
      </w:r>
    </w:p>
    <w:p>
      <w:pPr>
        <w:pStyle w:val="BodyText"/>
        <w:spacing w:after="120" w:line="276" w:lineRule="auto"/>
        <w:jc w:val="both"/>
      </w:pPr>
      <w:r>
        <w:t xml:space="preserve">La cuerda se ata al vástago del vibrador, pasa por la polea del extremo de la mesa y de ella cuelga la masa</w:t>
      </w:r>
      <w:r>
        <w:t xml:space="preserve"> </w:t>
      </w:r>
      <m:oMath>
        <m:r>
          <m:t>M</m:t>
        </m:r>
      </m:oMath>
      <w:r>
        <w:t xml:space="preserve">. La longitud</w:t>
      </w:r>
      <w:r>
        <w:t xml:space="preserve"> </w:t>
      </w:r>
      <m:oMath>
        <m:r>
          <m:t>L</m:t>
        </m:r>
      </m:oMath>
      <w:r>
        <w:t xml:space="preserve"> </w:t>
      </w:r>
      <w:r>
        <w:t xml:space="preserve">que vibra es la distancia entre el vástago del vibrador y el punto de apoyo en la polea, y se mide con la cinta métrica. El vibrador se conecta a la salida senoidal del generador de funciones, en el que se lee la frecuencia. Conviene empezar con la amplitud baja y subirla solo lo necesario para ver los modos.</w:t>
      </w:r>
    </w:p>
    <w:p>
      <w:pPr>
        <w:pStyle w:val="TableCaption"/>
        <w:keepNext/>
        <w:spacing w:after="80" w:before="200"/>
        <w:jc w:val="center"/>
      </w:pPr>
      <w:r>
        <w:t xml:space="preserve">Tabla 1. Masa colgada y longitud de la cuerda.</w:t>
      </w:r>
    </w:p>
    <w:tbl>
      <w:tblPr>
        <w:tblW w:type="pct" w:w="5000"/>
        <w:jc w:val="center"/>
        <w:tblBorders>
          <w:top w:val="single" w:sz="6" w:color="000000"/>
          <w:left w:val="single" w:sz="6" w:color="000000"/>
          <w:bottom w:val="single" w:sz="6" w:color="000000"/>
          <w:right w:val="single" w:sz="6" w:color="000000"/>
          <w:insideH w:val="single" w:sz="6" w:color="000000"/>
          <w:insideV w:val="single" w:sz="6" w:color="000000"/>
        </w:tblBorders>
        <w:tblLook w:firstRow="1" w:lastRow="0" w:firstColumn="0" w:lastColumn="0" w:noHBand="0" w:noVBand="0" w:val="0020"/>
        <w:tblCaption w:val="Tabla 1. Masa colgada y longitud de la cuerda."/>
      </w:tblPr>
      <w:tblGrid>
        <w:gridCol w:w="3960"/>
        <w:gridCol w:w="3960"/>
      </w:tblGrid>
      <w:tr>
        <w:trPr>
          <w:trHeight w:val="510" w:hRule="atLeast"/>
          <w:tblHeader w:val="true"/>
        </w:trPr>
        <w:tc>
          <w:tcPr>
            <w:shd w:val="clear" w:color="auto" w:fill="FFF0C1"/>
            <w:vAlign w:val="center"/>
          </w:tcPr>
          <w:p>
            <w:pPr>
              <w:pStyle w:val="Compact"/>
              <w:keepNext/>
              <w:jc w:val="center"/>
            </w:pPr>
            <m:oMath>
              <m:r>
                <m:t>M</m:t>
              </m:r>
            </m:oMath>
            <w:r>
              <w:rPr>
                <w:sz w:val="20"/>
              </w:rPr>
              <w:t xml:space="preserve"> </w:t>
            </w:r>
            <w:r>
              <w:rPr>
                <w:sz w:val="20"/>
              </w:rPr>
              <w:t xml:space="preserve">(kg)</w:t>
            </w:r>
          </w:p>
        </w:tc>
        <w:tc>
          <w:tcPr>
            <w:shd w:val="clear" w:color="auto" w:fill="FFF0C1"/>
            <w:vAlign w:val="center"/>
          </w:tcPr>
          <w:p>
            <w:pPr>
              <w:pStyle w:val="Compact"/>
              <w:keepNext/>
              <w:jc w:val="center"/>
            </w:pPr>
            <m:oMath>
              <m:r>
                <m:t>L</m:t>
              </m:r>
            </m:oMath>
            <w:r>
              <w:rPr>
                <w:sz w:val="20"/>
              </w:rPr>
              <w:t xml:space="preserve"> </w:t>
            </w:r>
            <w:r>
              <w:rPr>
                <w:sz w:val="20"/>
              </w:rPr>
              <w:t xml:space="preserve">(m)</w:t>
            </w:r>
          </w:p>
        </w:tc>
      </w:tr>
      <w:tr>
        <w:trPr>
          <w:trHeight w:val="425" w:hRule="atLeast"/>
        </w:trPr>
        <w:tc>
          <w:tcPr>
            <w:vAlign w:val="center"/>
          </w:tcPr>
          <w:p>
            <w:pPr>
              <w:pStyle w:val="Compact"/>
              <w:keepNext/>
              <w:jc w:val="center"/>
            </w:pPr>
            <w:r>
              <w:rPr>
                <w:sz w:val="20"/>
              </w:rPr>
              <w:t xml:space="preserve"> </w:t>
            </w:r>
          </w:p>
        </w:tc>
        <w:tc>
          <w:tcPr>
            <w:vAlign w:val="center"/>
          </w:tcPr>
          <w:p>
            <w:pPr>
              <w:pStyle w:val="Compact"/>
              <w:keepNext/>
              <w:jc w:val="center"/>
            </w:pPr>
            <w:r>
              <w:rPr>
                <w:sz w:val="20"/>
              </w:rPr>
              <w:t xml:space="preserve"> </w:t>
            </w:r>
          </w:p>
        </w:tc>
      </w:tr>
    </w:tbl>
    <w:bookmarkEnd w:id="26"/>
    <w:bookmarkStart w:id="27" w:name="resultados"/>
    <w:p>
      <w:pPr>
        <w:pStyle w:val="Heading2"/>
        <w:numPr>
          <w:ilvl w:val="0"/>
          <w:numId w:val="0"/>
        </w:numPr>
        <w:spacing w:before="440" w:after="160"/>
      </w:pPr>
      <w:r>
        <w:rPr>
          <w:sz w:val="36"/>
        </w:rPr>
        <w:t xml:space="preserve">Resultados</w:t>
      </w:r>
    </w:p>
    <w:p>
      <w:pPr>
        <w:pStyle w:val="FirstParagraph"/>
        <w:spacing w:after="120" w:line="276" w:lineRule="auto"/>
        <w:jc w:val="both"/>
      </w:pPr>
      <w:r>
        <w:t xml:space="preserve">Subir la frecuencia despacio desde unos pocos hercios. Cuando aparezca un modo, ajustar la frecuencia hasta que los vientres tengan la máxima amplitud, contar los vientres para saber qué modo es y anotar la frecuencia</w:t>
      </w:r>
      <w:r>
        <w:t xml:space="preserve"> </w:t>
      </w:r>
      <m:oMath>
        <m:sSub>
          <m:e>
            <m:r>
              <m:t>f</m:t>
            </m:r>
          </m:e>
          <m:sub>
            <m:r>
              <m:t>n</m:t>
            </m:r>
          </m:sub>
        </m:sSub>
      </m:oMath>
      <w:r>
        <w:t xml:space="preserve">. Seguir subiendo hasta el modo</w:t>
      </w:r>
      <w:r>
        <w:t xml:space="preserve"> </w:t>
      </w:r>
      <m:oMath>
        <m:r>
          <m:t>n</m:t>
        </m:r>
      </m:oMath>
      <w:r>
        <w:t xml:space="preserve"> </w:t>
      </w:r>
      <w:r>
        <w:t xml:space="preserve">= 6, o hasta donde se distingan.</w:t>
      </w:r>
    </w:p>
    <w:p>
      <w:pPr>
        <w:pStyle w:val="BodyText"/>
        <w:spacing w:after="120" w:line="276" w:lineRule="auto"/>
        <w:jc w:val="both"/>
      </w:pPr>
      <w:r>
        <w:t xml:space="preserve">Para el error de</w:t>
      </w:r>
      <w:r>
        <w:t xml:space="preserve"> </w:t>
      </w:r>
      <m:oMath>
        <m:sSub>
          <m:e>
            <m:r>
              <m:t>f</m:t>
            </m:r>
          </m:e>
          <m:sub>
            <m:r>
              <m:t>n</m:t>
            </m:r>
          </m:sub>
        </m:sSub>
      </m:oMath>
      <w:r>
        <w:t xml:space="preserve">, anotar también la frecuencia más baja y la más alta entre las que la amplitud se ve máxima. El error es la mitad de la diferencia entre ambas.</w:t>
      </w:r>
    </w:p>
    <w:p>
      <w:pPr>
        <w:pStyle w:val="TableCaption"/>
        <w:keepNext/>
        <w:spacing w:after="80" w:before="200"/>
        <w:jc w:val="center"/>
      </w:pPr>
      <w:r>
        <w:t xml:space="preserve">Tabla 2. Frecuencias de los modos normales.</w:t>
      </w:r>
    </w:p>
    <w:tbl>
      <w:tblPr>
        <w:tblW w:type="pct" w:w="5000"/>
        <w:jc w:val="center"/>
        <w:tblBorders>
          <w:top w:val="single" w:sz="6" w:color="000000"/>
          <w:left w:val="single" w:sz="6" w:color="000000"/>
          <w:bottom w:val="single" w:sz="6" w:color="000000"/>
          <w:right w:val="single" w:sz="6" w:color="000000"/>
          <w:insideH w:val="single" w:sz="6" w:color="000000"/>
          <w:insideV w:val="single" w:sz="6" w:color="000000"/>
        </w:tblBorders>
        <w:tblLook w:firstRow="1" w:lastRow="0" w:firstColumn="0" w:lastColumn="0" w:noHBand="0" w:noVBand="0" w:val="0020"/>
        <w:tblCaption w:val="Tabla 2. Frecuencias de los modos normales."/>
      </w:tblPr>
      <w:tblGrid>
        <w:gridCol w:w="2640"/>
        <w:gridCol w:w="2640"/>
        <w:gridCol w:w="2640"/>
      </w:tblGrid>
      <w:tr>
        <w:trPr>
          <w:trHeight w:val="510" w:hRule="atLeast"/>
          <w:tblHeader w:val="true"/>
        </w:trPr>
        <w:tc>
          <w:tcPr>
            <w:shd w:val="clear" w:color="auto" w:fill="FFF0C1"/>
            <w:vAlign w:val="center"/>
          </w:tcPr>
          <w:p>
            <w:pPr>
              <w:pStyle w:val="Compact"/>
              <w:keepNext/>
              <w:jc w:val="center"/>
            </w:pPr>
            <m:oMath>
              <m:r>
                <m:t>n</m:t>
              </m:r>
            </m:oMath>
          </w:p>
        </w:tc>
        <w:tc>
          <w:tcPr>
            <w:shd w:val="clear" w:color="auto" w:fill="FFF0C1"/>
            <w:vAlign w:val="center"/>
          </w:tcPr>
          <w:p>
            <w:pPr>
              <w:pStyle w:val="Compact"/>
              <w:keepNext/>
              <w:jc w:val="center"/>
            </w:pPr>
            <m:oMath>
              <m:sSub>
                <m:e>
                  <m:r>
                    <m:t>f</m:t>
                  </m:r>
                </m:e>
                <m:sub>
                  <m:r>
                    <m:t>n</m:t>
                  </m:r>
                </m:sub>
              </m:sSub>
            </m:oMath>
            <w:r>
              <w:rPr>
                <w:sz w:val="20"/>
              </w:rPr>
              <w:t xml:space="preserve"> </w:t>
            </w:r>
            <w:r>
              <w:rPr>
                <w:sz w:val="20"/>
              </w:rPr>
              <w:t xml:space="preserve">(Hz)</w:t>
            </w:r>
          </w:p>
        </w:tc>
        <w:tc>
          <w:tcPr>
            <w:shd w:val="clear" w:color="auto" w:fill="FFF0C1"/>
            <w:vAlign w:val="center"/>
          </w:tcPr>
          <w:p>
            <w:pPr>
              <w:pStyle w:val="Compact"/>
              <w:keepNext/>
              <w:jc w:val="center"/>
            </w:pPr>
            <m:oMath>
              <m:sSub>
                <m:e>
                  <m:r>
                    <m:t>ε</m:t>
                  </m:r>
                </m:e>
                <m:sub>
                  <m:sSub>
                    <m:e>
                      <m:r>
                        <m:t>f</m:t>
                      </m:r>
                    </m:e>
                    <m:sub>
                      <m:r>
                        <m:t>n</m:t>
                      </m:r>
                    </m:sub>
                  </m:sSub>
                </m:sub>
              </m:sSub>
            </m:oMath>
            <w:r>
              <w:rPr>
                <w:sz w:val="20"/>
              </w:rPr>
              <w:t xml:space="preserve"> </w:t>
            </w:r>
            <w:r>
              <w:rPr>
                <w:sz w:val="20"/>
              </w:rPr>
              <w:t xml:space="preserve">(Hz)</w:t>
            </w:r>
          </w:p>
        </w:tc>
      </w:tr>
      <w:tr>
        <w:trPr>
          <w:trHeight w:val="425" w:hRule="atLeast"/>
        </w:trPr>
        <w:tc>
          <w:tcPr>
            <w:vAlign w:val="center"/>
          </w:tcPr>
          <w:p>
            <w:pPr>
              <w:pStyle w:val="Compact"/>
              <w:keepNext/>
              <w:jc w:val="center"/>
            </w:pPr>
            <w:r>
              <w:rPr>
                <w:sz w:val="20"/>
              </w:rPr>
              <w:t xml:space="preserve">1</w:t>
            </w:r>
          </w:p>
        </w:tc>
        <w:tc>
          <w:tcPr>
            <w:vAlign w:val="center"/>
          </w:tcPr>
          <w:p>
            <w:pPr>
              <w:pStyle w:val="Compact"/>
              <w:keepNext/>
              <w:jc w:val="center"/>
            </w:pPr>
            <w:r>
              <w:rPr>
                <w:sz w:val="20"/>
              </w:rPr>
              <w:t xml:space="preserve"> </w:t>
            </w:r>
          </w:p>
        </w:tc>
        <w:tc>
          <w:tcPr>
            <w:vAlign w:val="center"/>
          </w:tcPr>
          <w:p>
            <w:pPr>
              <w:pStyle w:val="Compact"/>
              <w:keepNext/>
              <w:jc w:val="center"/>
            </w:pPr>
            <w:r>
              <w:rPr>
                <w:sz w:val="20"/>
              </w:rPr>
              <w:t xml:space="preserve"> </w:t>
            </w:r>
          </w:p>
        </w:tc>
      </w:tr>
      <w:tr>
        <w:trPr>
          <w:trHeight w:val="425" w:hRule="atLeast"/>
        </w:trPr>
        <w:tc>
          <w:tcPr>
            <w:vAlign w:val="center"/>
          </w:tcPr>
          <w:p>
            <w:pPr>
              <w:pStyle w:val="Compact"/>
              <w:keepNext/>
              <w:jc w:val="center"/>
            </w:pPr>
            <w:r>
              <w:rPr>
                <w:sz w:val="20"/>
              </w:rPr>
              <w:t xml:space="preserve">2</w:t>
            </w:r>
          </w:p>
        </w:tc>
        <w:tc>
          <w:tcPr>
            <w:vAlign w:val="center"/>
          </w:tcPr>
          <w:p>
            <w:pPr>
              <w:pStyle w:val="Compact"/>
              <w:keepNext/>
              <w:jc w:val="center"/>
            </w:pPr>
            <w:r>
              <w:rPr>
                <w:sz w:val="20"/>
              </w:rPr>
              <w:t xml:space="preserve"> </w:t>
            </w:r>
          </w:p>
        </w:tc>
        <w:tc>
          <w:tcPr>
            <w:vAlign w:val="center"/>
          </w:tcPr>
          <w:p>
            <w:pPr>
              <w:pStyle w:val="Compact"/>
              <w:keepNext/>
              <w:jc w:val="center"/>
            </w:pPr>
            <w:r>
              <w:rPr>
                <w:sz w:val="20"/>
              </w:rPr>
              <w:t xml:space="preserve"> </w:t>
            </w:r>
          </w:p>
        </w:tc>
      </w:tr>
      <w:tr>
        <w:trPr>
          <w:trHeight w:val="425" w:hRule="atLeast"/>
        </w:trPr>
        <w:tc>
          <w:tcPr>
            <w:vAlign w:val="center"/>
          </w:tcPr>
          <w:p>
            <w:pPr>
              <w:pStyle w:val="Compact"/>
              <w:keepNext/>
              <w:jc w:val="center"/>
            </w:pPr>
            <w:r>
              <w:rPr>
                <w:sz w:val="20"/>
              </w:rPr>
              <w:t xml:space="preserve">3</w:t>
            </w:r>
          </w:p>
        </w:tc>
        <w:tc>
          <w:tcPr>
            <w:vAlign w:val="center"/>
          </w:tcPr>
          <w:p>
            <w:pPr>
              <w:pStyle w:val="Compact"/>
              <w:keepNext/>
              <w:jc w:val="center"/>
            </w:pPr>
            <w:r>
              <w:rPr>
                <w:sz w:val="20"/>
              </w:rPr>
              <w:t xml:space="preserve"> </w:t>
            </w:r>
          </w:p>
        </w:tc>
        <w:tc>
          <w:tcPr>
            <w:vAlign w:val="center"/>
          </w:tcPr>
          <w:p>
            <w:pPr>
              <w:pStyle w:val="Compact"/>
              <w:keepNext/>
              <w:jc w:val="center"/>
            </w:pPr>
            <w:r>
              <w:rPr>
                <w:sz w:val="20"/>
              </w:rPr>
              <w:t xml:space="preserve"> </w:t>
            </w:r>
          </w:p>
        </w:tc>
      </w:tr>
      <w:tr>
        <w:trPr>
          <w:trHeight w:val="425" w:hRule="atLeast"/>
        </w:trPr>
        <w:tc>
          <w:tcPr>
            <w:vAlign w:val="center"/>
          </w:tcPr>
          <w:p>
            <w:pPr>
              <w:pStyle w:val="Compact"/>
              <w:keepNext/>
              <w:jc w:val="center"/>
            </w:pPr>
            <w:r>
              <w:rPr>
                <w:sz w:val="20"/>
              </w:rPr>
              <w:t xml:space="preserve">4</w:t>
            </w:r>
          </w:p>
        </w:tc>
        <w:tc>
          <w:tcPr>
            <w:vAlign w:val="center"/>
          </w:tcPr>
          <w:p>
            <w:pPr>
              <w:pStyle w:val="Compact"/>
              <w:keepNext/>
              <w:jc w:val="center"/>
            </w:pPr>
            <w:r>
              <w:rPr>
                <w:sz w:val="20"/>
              </w:rPr>
              <w:t xml:space="preserve"> </w:t>
            </w:r>
          </w:p>
        </w:tc>
        <w:tc>
          <w:tcPr>
            <w:vAlign w:val="center"/>
          </w:tcPr>
          <w:p>
            <w:pPr>
              <w:pStyle w:val="Compact"/>
              <w:keepNext/>
              <w:jc w:val="center"/>
            </w:pPr>
            <w:r>
              <w:rPr>
                <w:sz w:val="20"/>
              </w:rPr>
              <w:t xml:space="preserve"> </w:t>
            </w:r>
          </w:p>
        </w:tc>
      </w:tr>
      <w:tr>
        <w:trPr>
          <w:trHeight w:val="425" w:hRule="atLeast"/>
        </w:trPr>
        <w:tc>
          <w:tcPr>
            <w:vAlign w:val="center"/>
          </w:tcPr>
          <w:p>
            <w:pPr>
              <w:pStyle w:val="Compact"/>
              <w:keepNext/>
              <w:jc w:val="center"/>
            </w:pPr>
            <w:r>
              <w:rPr>
                <w:sz w:val="20"/>
              </w:rPr>
              <w:t xml:space="preserve">5</w:t>
            </w:r>
          </w:p>
        </w:tc>
        <w:tc>
          <w:tcPr>
            <w:vAlign w:val="center"/>
          </w:tcPr>
          <w:p>
            <w:pPr>
              <w:pStyle w:val="Compact"/>
              <w:keepNext/>
              <w:jc w:val="center"/>
            </w:pPr>
            <w:r>
              <w:rPr>
                <w:sz w:val="20"/>
              </w:rPr>
              <w:t xml:space="preserve"> </w:t>
            </w:r>
          </w:p>
        </w:tc>
        <w:tc>
          <w:tcPr>
            <w:vAlign w:val="center"/>
          </w:tcPr>
          <w:p>
            <w:pPr>
              <w:pStyle w:val="Compact"/>
              <w:keepNext/>
              <w:jc w:val="center"/>
            </w:pPr>
            <w:r>
              <w:rPr>
                <w:sz w:val="20"/>
              </w:rPr>
              <w:t xml:space="preserve"> </w:t>
            </w:r>
          </w:p>
        </w:tc>
      </w:tr>
      <w:tr>
        <w:trPr>
          <w:trHeight w:val="425" w:hRule="atLeast"/>
        </w:trPr>
        <w:tc>
          <w:tcPr>
            <w:vAlign w:val="center"/>
          </w:tcPr>
          <w:p>
            <w:pPr>
              <w:pStyle w:val="Compact"/>
              <w:keepNext/>
              <w:jc w:val="center"/>
            </w:pPr>
            <w:r>
              <w:rPr>
                <w:sz w:val="20"/>
              </w:rPr>
              <w:t xml:space="preserve">6</w:t>
            </w:r>
          </w:p>
        </w:tc>
        <w:tc>
          <w:tcPr>
            <w:vAlign w:val="center"/>
          </w:tcPr>
          <w:p>
            <w:pPr>
              <w:pStyle w:val="Compact"/>
              <w:keepNext/>
              <w:jc w:val="center"/>
            </w:pPr>
            <w:r>
              <w:rPr>
                <w:sz w:val="20"/>
              </w:rPr>
              <w:t xml:space="preserve"> </w:t>
            </w:r>
          </w:p>
        </w:tc>
        <w:tc>
          <w:tcPr>
            <w:vAlign w:val="center"/>
          </w:tcPr>
          <w:p>
            <w:pPr>
              <w:pStyle w:val="Compact"/>
              <w:keepNext/>
              <w:jc w:val="center"/>
            </w:pPr>
            <w:r>
              <w:rPr>
                <w:sz w:val="20"/>
              </w:rPr>
              <w:t xml:space="preserve"> </w:t>
            </w:r>
          </w:p>
        </w:tc>
      </w:tr>
    </w:tbl>
    <w:bookmarkEnd w:id="27"/>
    <w:bookmarkStart w:id="28" w:name="cuestiones"/>
    <w:p>
      <w:pPr>
        <w:pStyle w:val="Heading2"/>
        <w:numPr>
          <w:ilvl w:val="0"/>
          <w:numId w:val="0"/>
        </w:numPr>
        <w:spacing w:before="440" w:after="160"/>
      </w:pPr>
      <w:r>
        <w:rPr>
          <w:sz w:val="36"/>
        </w:rPr>
        <w:t xml:space="preserve">Cuestiones</w:t>
      </w:r>
    </w:p>
    <w:p>
      <w:pPr>
        <w:pStyle w:val="FirstParagraph"/>
        <w:spacing w:before="280" w:after="120" w:line="276" w:lineRule="auto"/>
        <w:jc w:val="both"/>
      </w:pPr>
      <w:r>
        <w:rPr>
          <w:bCs/>
          <w:b/>
        </w:rPr>
        <w:t xml:space="preserve">1.</w:t>
      </w:r>
      <w:r>
        <w:t xml:space="preserve"> </w:t>
      </w:r>
      <w:r>
        <w:t xml:space="preserve">Represente</w:t>
      </w:r>
      <w:r>
        <w:t xml:space="preserve"> </w:t>
      </w:r>
      <m:oMath>
        <m:sSub>
          <m:e>
            <m:r>
              <m:t>f</m:t>
            </m:r>
          </m:e>
          <m:sub>
            <m:r>
              <m:t>n</m:t>
            </m:r>
          </m:sub>
        </m:sSub>
      </m:oMath>
      <w:r>
        <w:t xml:space="preserve"> </w:t>
      </w:r>
      <w:r>
        <w:t xml:space="preserve">frente a</w:t>
      </w:r>
      <w:r>
        <w:t xml:space="preserve"> </w:t>
      </w:r>
      <m:oMath>
        <m:r>
          <m:t>n</m:t>
        </m:r>
      </m:oMath>
      <w:r>
        <w:t xml:space="preserve"> </w:t>
      </w:r>
      <w:r>
        <w:t xml:space="preserve">con sus barras de error y la recta de ajuste por mínimos cuadrados,</w:t>
      </w:r>
      <w:r>
        <w:t xml:space="preserve"> </w:t>
      </w:r>
      <m:oMath>
        <m:sSub>
          <m:e>
            <m:r>
              <m:t>f</m:t>
            </m:r>
          </m:e>
          <m:sub>
            <m:r>
              <m:t>n</m:t>
            </m:r>
          </m:sub>
        </m:sSub>
        <m:r>
          <m:rPr>
            <m:sty m:val="p"/>
          </m:rPr>
          <m:t>=</m:t>
        </m:r>
        <m:r>
          <m:t>B</m:t>
        </m:r>
        <m:r>
          <m:t> </m:t>
        </m:r>
        <m:r>
          <m:t>n</m:t>
        </m:r>
        <m:r>
          <m:rPr>
            <m:sty m:val="p"/>
          </m:rPr>
          <m:t>+</m:t>
        </m:r>
        <m:r>
          <m:t>A</m:t>
        </m:r>
      </m:oMath>
      <w:r>
        <w:t xml:space="preserve">.</w:t>
      </w:r>
    </w:p>
    <w:tbl>
      <w:tblPr>
        <w:tblW w:type="pct" w:w="5000"/>
        <w:tblBorders>
          <w:top w:val="single" w:sz="6" w:color="000000"/>
          <w:left w:val="single" w:sz="6" w:color="000000"/>
          <w:bottom w:val="single" w:sz="6" w:color="000000"/>
          <w:right w:val="single" w:sz="6" w:color="000000"/>
          <w:insideH w:val="single" w:sz="6" w:color="000000"/>
          <w:insideV w:val="single" w:sz="6" w:color="000000"/>
        </w:tblBorders>
        <w:tblLook w:firstColumn="1" w:firstRow="1" w:lastColumn="0" w:lastRow="0" w:noHBand="0" w:noVBand="1" w:val="04A0"/>
      </w:tblPr>
      <w:tblGrid>
        <w:gridCol w:w="9524"/>
      </w:tblGrid>
      <w:tr>
        <w:trPr>
          <w:trHeight w:val="5103" w:hRule="atLeast"/>
        </w:trPr>
        <w:tc>
          <w:tcPr>
            <w:tcW w:type="dxa" w:w="9524"/>
            <w:vAlign w:val="center"/>
          </w:tcPr>
          <w:p>
            <w:pPr>
              <w:jc w:val="center"/>
            </w:pPr>
            <w:r>
              <w:rPr>
                <w:i/>
                <w:color w:val="999999"/>
                <w:sz w:val="20"/>
              </w:rPr>
              <w:t>Pegue aquí la gráfica</w:t>
            </w:r>
          </w:p>
        </w:tc>
      </w:tr>
    </w:tbl>
    <w:p/>
    <w:p>
      <w:pPr>
        <w:pStyle w:val="BodyText"/>
        <w:spacing w:before="280" w:after="120" w:line="276" w:lineRule="auto"/>
        <w:jc w:val="both"/>
      </w:pPr>
      <w:r>
        <w:rPr>
          <w:bCs/>
          <w:b/>
        </w:rPr>
        <w:t xml:space="preserve">2.</w:t>
      </w:r>
      <w:r>
        <w:t xml:space="preserve"> </w:t>
      </w:r>
      <w:r>
        <w:t xml:space="preserve">A partir del ajuste, obtenga la masa por unidad de longitud de la cuerda,</w:t>
      </w:r>
      <w:r>
        <w:t xml:space="preserve"> </w:t>
      </w:r>
      <m:oMath>
        <m:r>
          <m:t>μ</m:t>
        </m:r>
      </m:oMath>
      <w:r>
        <w:t xml:space="preserve">, con su error.</w:t>
      </w:r>
    </w:p>
    <w:p>
      <w:pPr>
        <w:pStyle w:val="TableCaption"/>
        <w:keepNext/>
        <w:spacing w:after="80" w:before="200"/>
        <w:jc w:val="center"/>
      </w:pPr>
      <w:r>
        <w:t xml:space="preserve">Tabla 3. Ajuste lineal y masa por unidad de longitud.</w:t>
      </w:r>
    </w:p>
    <w:tbl>
      <w:tblPr>
        <w:tblW w:type="pct" w:w="5000"/>
        <w:jc w:val="center"/>
        <w:tblBorders>
          <w:top w:val="single" w:sz="6" w:color="000000"/>
          <w:left w:val="single" w:sz="6" w:color="000000"/>
          <w:bottom w:val="single" w:sz="6" w:color="000000"/>
          <w:right w:val="single" w:sz="6" w:color="000000"/>
          <w:insideH w:val="single" w:sz="6" w:color="000000"/>
          <w:insideV w:val="single" w:sz="6" w:color="000000"/>
        </w:tblBorders>
        <w:tblLook w:firstRow="1" w:lastRow="0" w:firstColumn="0" w:lastColumn="0" w:noHBand="0" w:noVBand="0" w:val="0020"/>
        <w:tblCaption w:val="Tabla 3. Ajuste lineal y masa por unidad de longitud."/>
      </w:tblPr>
      <w:tblGrid>
        <w:gridCol w:w="1584"/>
        <w:gridCol w:w="1584"/>
        <w:gridCol w:w="1584"/>
        <w:gridCol w:w="1584"/>
        <w:gridCol w:w="1584"/>
      </w:tblGrid>
      <w:tr>
        <w:trPr>
          <w:trHeight w:val="510" w:hRule="atLeast"/>
          <w:tblHeader w:val="true"/>
        </w:trPr>
        <w:tc>
          <w:tcPr>
            <w:shd w:val="clear" w:color="auto" w:fill="FFF0C1"/>
            <w:vAlign w:val="center"/>
          </w:tcPr>
          <w:p>
            <w:pPr>
              <w:pStyle w:val="Compact"/>
              <w:keepNext/>
              <w:jc w:val="center"/>
            </w:pPr>
            <m:oMath>
              <m:r>
                <m:t>B</m:t>
              </m:r>
            </m:oMath>
            <w:r>
              <w:rPr>
                <w:sz w:val="20"/>
              </w:rPr>
              <w:t xml:space="preserve"> </w:t>
            </w:r>
            <w:r>
              <w:rPr>
                <w:sz w:val="20"/>
              </w:rPr>
              <w:t xml:space="preserve">(Hz)</w:t>
            </w:r>
          </w:p>
        </w:tc>
        <w:tc>
          <w:tcPr>
            <w:shd w:val="clear" w:color="auto" w:fill="FFF0C1"/>
            <w:vAlign w:val="center"/>
          </w:tcPr>
          <w:p>
            <w:pPr>
              <w:pStyle w:val="Compact"/>
              <w:keepNext/>
              <w:jc w:val="center"/>
            </w:pPr>
            <m:oMath>
              <m:r>
                <m:t>A</m:t>
              </m:r>
            </m:oMath>
            <w:r>
              <w:rPr>
                <w:sz w:val="20"/>
              </w:rPr>
              <w:t xml:space="preserve"> </w:t>
            </w:r>
            <w:r>
              <w:rPr>
                <w:sz w:val="20"/>
              </w:rPr>
              <w:t xml:space="preserve">(Hz)</w:t>
            </w:r>
          </w:p>
        </w:tc>
        <w:tc>
          <w:tcPr>
            <w:shd w:val="clear" w:color="auto" w:fill="FFF0C1"/>
            <w:vAlign w:val="center"/>
          </w:tcPr>
          <w:p>
            <w:pPr>
              <w:pStyle w:val="Compact"/>
              <w:keepNext/>
              <w:jc w:val="center"/>
            </w:pPr>
            <m:oMath>
              <m:r>
                <m:t>r</m:t>
              </m:r>
            </m:oMath>
          </w:p>
        </w:tc>
        <w:tc>
          <w:tcPr>
            <w:shd w:val="clear" w:color="auto" w:fill="FFF0C1"/>
            <w:vAlign w:val="center"/>
          </w:tcPr>
          <w:p>
            <w:pPr>
              <w:pStyle w:val="Compact"/>
              <w:keepNext/>
              <w:jc w:val="center"/>
            </w:pPr>
            <m:oMath>
              <m:r>
                <m:t>μ</m:t>
              </m:r>
            </m:oMath>
            <w:r>
              <w:rPr>
                <w:sz w:val="20"/>
              </w:rPr>
              <w:t xml:space="preserve"> </w:t>
            </w:r>
            <w:r>
              <w:rPr>
                <w:sz w:val="20"/>
              </w:rPr>
              <w:t xml:space="preserve">(kg/m)</w:t>
            </w:r>
          </w:p>
        </w:tc>
        <w:tc>
          <w:tcPr>
            <w:shd w:val="clear" w:color="auto" w:fill="FFF0C1"/>
            <w:vAlign w:val="center"/>
          </w:tcPr>
          <w:p>
            <w:pPr>
              <w:pStyle w:val="Compact"/>
              <w:keepNext/>
              <w:jc w:val="center"/>
            </w:pPr>
            <m:oMath>
              <m:sSub>
                <m:e>
                  <m:r>
                    <m:t>ε</m:t>
                  </m:r>
                </m:e>
                <m:sub>
                  <m:r>
                    <m:t>μ</m:t>
                  </m:r>
                </m:sub>
              </m:sSub>
            </m:oMath>
            <w:r>
              <w:rPr>
                <w:sz w:val="20"/>
              </w:rPr>
              <w:t xml:space="preserve"> </w:t>
            </w:r>
            <w:r>
              <w:rPr>
                <w:sz w:val="20"/>
              </w:rPr>
              <w:t xml:space="preserve">(kg/m)</w:t>
            </w:r>
          </w:p>
        </w:tc>
      </w:tr>
      <w:tr>
        <w:trPr>
          <w:trHeight w:val="425" w:hRule="atLeast"/>
        </w:trPr>
        <w:tc>
          <w:tcPr>
            <w:vAlign w:val="center"/>
          </w:tcPr>
          <w:p>
            <w:pPr>
              <w:pStyle w:val="Compact"/>
              <w:keepNext/>
              <w:jc w:val="center"/>
            </w:pPr>
            <w:r>
              <w:rPr>
                <w:sz w:val="20"/>
              </w:rPr>
              <w:t xml:space="preserve"> </w:t>
            </w:r>
          </w:p>
        </w:tc>
        <w:tc>
          <w:tcPr>
            <w:vAlign w:val="center"/>
          </w:tcPr>
          <w:p>
            <w:pPr>
              <w:pStyle w:val="Compact"/>
              <w:keepNext/>
              <w:jc w:val="center"/>
            </w:pPr>
            <w:r>
              <w:rPr>
                <w:sz w:val="20"/>
              </w:rPr>
              <w:t xml:space="preserve"> </w:t>
            </w:r>
          </w:p>
        </w:tc>
        <w:tc>
          <w:tcPr>
            <w:vAlign w:val="center"/>
          </w:tcPr>
          <w:p>
            <w:pPr>
              <w:pStyle w:val="Compact"/>
              <w:keepNext/>
              <w:jc w:val="center"/>
            </w:pPr>
            <w:r>
              <w:rPr>
                <w:sz w:val="20"/>
              </w:rPr>
              <w:t xml:space="preserve"> </w:t>
            </w:r>
          </w:p>
        </w:tc>
        <w:tc>
          <w:tcPr>
            <w:vAlign w:val="center"/>
          </w:tcPr>
          <w:p>
            <w:pPr>
              <w:pStyle w:val="Compact"/>
              <w:keepNext/>
              <w:jc w:val="center"/>
            </w:pPr>
            <w:r>
              <w:rPr>
                <w:sz w:val="20"/>
              </w:rPr>
              <w:t xml:space="preserve"> </w:t>
            </w:r>
          </w:p>
        </w:tc>
        <w:tc>
          <w:tcPr>
            <w:vAlign w:val="center"/>
          </w:tcPr>
          <w:p>
            <w:pPr>
              <w:pStyle w:val="Compact"/>
              <w:keepNext/>
              <w:jc w:val="center"/>
            </w:pPr>
            <w:r>
              <w:rPr>
                <w:sz w:val="20"/>
              </w:rPr>
              <w:t xml:space="preserve"> </w:t>
            </w:r>
          </w:p>
        </w:tc>
      </w:tr>
    </w:tbl>
    <w:bookmarkEnd w:id="28"/>
    <w:sectPr>
      <w:headerReference w:type="default" r:id="rId9"/>
      <w:footerReference w:type="default" r:id="rId10"/>
      <w:pgSz w:w="12240" w:h="15840"/>
      <w:pgMar w:left="1276" w:right="1440" w:top="1134" w:bottom="1247" w:header="454" w:footer="5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3402" w:val="left"/>
        <w:tab w:pos="6803" w:val="left"/>
      </w:tabs>
    </w:pPr>
    <w:r/>
    <w:r>
      <w:rPr>
        <w:rFonts w:ascii="Times New Roman" w:hAnsi="Times New Roman"/>
        <w:color w:val="FF0000"/>
        <w:sz w:val="22"/>
      </w:rPr>
      <w:t>Alumno 1:</w:t>
      <w:tab/>
      <w:t>Alumno 2:</w:t>
      <w:tab/>
      <w:t>Alumno 3:</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cs="Times New Roman"/>
      <w:color w:val="000000"/>
      <w:sz w:val="24"/>
    </w:rPr>
  </w:style>
  <w:style w:styleId="BodyText" w:type="paragraph">
    <w:name w:val="Body Text"/>
    <w:basedOn w:val="Normal"/>
    <w:link w:val="BodyTextChar"/>
    <w:pPr>
      <w:spacing w:after="60" w:before="60"/>
    </w:pPr>
    <w:qFormat/>
  </w:style>
  <w:style w:customStyle="1" w:styleId="FirstParagraph" w:type="paragraph">
    <w:name w:val="First Paragraph"/>
    <w:basedOn w:val="BodyText"/>
    <w:next w:val="BodyText"/>
    <w:qFormat/>
    <w:pPr>
      <w:spacing w:before="60" w:after="60"/>
    </w:pPr>
  </w:style>
  <w:style w:customStyle="1" w:styleId="Compact" w:type="paragraph">
    <w:name w:val="Compact"/>
    <w:basedOn w:val="BodyText"/>
    <w:qFormat/>
    <w:pPr>
      <w:spacing w:after="0" w:before="0"/>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80" w:before="240"/>
      <w:outlineLvl w:val="0"/>
    </w:pPr>
    <w:rPr>
      <w:rFonts w:ascii="Arial" w:hAnsi="Arial" w:cs="Arial"/>
      <w:b/>
      <w:bCs/>
      <w:i/>
      <w:color w:val="000000"/>
      <w:sz w:val="36"/>
      <w:szCs w:val="32"/>
    </w:rPr>
  </w:style>
  <w:style w:styleId="Heading2" w:type="paragraph">
    <w:name w:val="Heading 2"/>
    <w:basedOn w:val="Normal"/>
    <w:next w:val="BodyText"/>
    <w:uiPriority w:val="9"/>
    <w:unhideWhenUsed/>
    <w:qFormat/>
    <w:pPr>
      <w:keepNext/>
      <w:keepLines/>
      <w:spacing w:after="80" w:before="240"/>
      <w:outlineLvl w:val="1"/>
    </w:pPr>
    <w:rPr>
      <w:rFonts w:ascii="Arial" w:hAnsi="Arial" w:cs="Arial"/>
      <w:b/>
      <w:bCs/>
      <w:i/>
      <w:color w:val="000000"/>
      <w:sz w:val="36"/>
      <w:szCs w:val="28"/>
    </w:rPr>
  </w:style>
  <w:style w:styleId="Heading3" w:type="paragraph">
    <w:name w:val="Heading 3"/>
    <w:basedOn w:val="Normal"/>
    <w:next w:val="BodyText"/>
    <w:uiPriority w:val="9"/>
    <w:unhideWhenUsed/>
    <w:qFormat/>
    <w:pPr>
      <w:keepNext/>
      <w:keepLines/>
      <w:spacing w:after="0" w:before="200"/>
      <w:outlineLvl w:val="2"/>
    </w:pPr>
    <w:rPr>
      <w:rFonts w:ascii="Arial" w:hAnsi="Arial" w:cs="Arial"/>
      <w:b/>
      <w:bCs/>
      <w:i w:val="0"/>
      <w:color w:val="000000"/>
      <w:sz w:val="26"/>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sz w:val="22"/>
    </w:rPr>
  </w:style>
  <w:style w:customStyle="1" w:styleId="TableCaption" w:type="paragraph">
    <w:name w:val="Table Caption"/>
    <w:basedOn w:val="Caption"/>
    <w:pPr>
      <w:keepNext/>
    </w:pPr>
    <w:rPr>
      <w:i/>
      <w:sz w:val="22"/>
    </w:rPr>
  </w:style>
  <w:style w:customStyle="1" w:styleId="ImageCaption" w:type="paragraph">
    <w:name w:val="Image Caption"/>
    <w:basedOn w:val="Caption"/>
    <w:rPr>
      <w:i/>
      <w:sz w:val="22"/>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3" Type="http://schemas.openxmlformats.org/officeDocument/2006/relationships/image" Target="media/rId23.png"/><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2026-10-30T16:52:24Z</dcterms:created>
  <dcterms:modified xsi:type="dcterms:W3CDTF">2026-10-30T16:52:24Z</dcterms:modified>
</cp:coreProperties>
</file>

<file path=docProps/custom.xml><?xml version="1.0" encoding="utf-8"?>
<Properties xmlns="http://schemas.openxmlformats.org/officeDocument/2006/custom-properties" xmlns:vt="http://schemas.openxmlformats.org/officeDocument/2006/docPropsVTypes"/>
</file>