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da41e754efb2abeedf75ba639ab2bbd4414de4"/>
    <w:p>
      <w:pPr>
        <w:pStyle w:val="Heading2"/>
        <w:numPr>
          <w:ilvl w:val="0"/>
          <w:numId w:val="0"/>
        </w:numPr>
      </w:pPr>
      <w:r>
        <w:rPr>
          <w:sz w:val="40"/>
        </w:rPr>
        <w:t xml:space="preserve">Péndulo de Pohl II: oscilaciones forzadas y resonancia</w:t>
      </w:r>
    </w:p>
    <w:bookmarkEnd w:id="20"/>
    <w:bookmarkStart w:id="21" w:name="objetivo"/>
    <w:p>
      <w:pPr>
        <w:pStyle w:val="Heading2"/>
        <w:numPr>
          <w:ilvl w:val="0"/>
          <w:numId w:val="0"/>
        </w:numPr>
      </w:pPr>
      <w:r>
        <w:rPr>
          <w:sz w:val="36"/>
        </w:rPr>
        <w:t xml:space="preserve">Objetivo</w:t>
      </w:r>
    </w:p>
    <w:p>
      <w:pPr>
        <w:pStyle w:val="FirstParagraph"/>
        <w:jc w:val="both"/>
      </w:pPr>
      <w:r>
        <w:t xml:space="preserve">Construir la curva de resonancia del péndulo de Pohl forzado por un motor y obtener de ella la frecuencia de resonancia, la anchura de la curva y el factor de calidad. Comparar con los valores esperados a partir de las oscilaciones libres y amortiguadas.</w:t>
      </w:r>
    </w:p>
    <w:bookmarkEnd w:id="21"/>
    <w:bookmarkStart w:id="22" w:name="fundamento-teórico"/>
    <w:p>
      <w:pPr>
        <w:pStyle w:val="Heading2"/>
        <w:numPr>
          <w:ilvl w:val="0"/>
          <w:numId w:val="0"/>
        </w:numPr>
      </w:pPr>
      <w:r>
        <w:rPr>
          <w:sz w:val="36"/>
        </w:rPr>
        <w:t xml:space="preserve">Fundamento teórico</w:t>
      </w:r>
    </w:p>
    <w:p>
      <w:pPr>
        <w:pStyle w:val="FirstParagraph"/>
        <w:jc w:val="both"/>
      </w:pPr>
      <w:r>
        <w:t xml:space="preserve">El motor mueve periódicamente el extremo del muelle espiral, lo que equivale a un momento externo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cos</m:t>
        </m:r>
        <m:r>
          <m:t>Ω</m:t>
        </m:r>
        <m:r>
          <m:t>t</m:t>
        </m:r>
      </m:oMath>
      <w:r>
        <w:t xml:space="preserve"> </w:t>
      </w:r>
      <w:r>
        <w:t xml:space="preserve">sobre la rueda, con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la frecuencia del forzamiento:</w:t>
      </w:r>
    </w:p>
    <w:p>
      <w:pPr>
        <w:pStyle w:val="BodyText"/>
        <w:jc w:val="both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φ</m:t>
              </m:r>
            </m:e>
          </m:acc>
          <m:r>
            <m:rPr>
              <m:sty m:val="p"/>
            </m:rPr>
            <m:t>+</m:t>
          </m:r>
          <m:r>
            <m:t>γ</m:t>
          </m:r>
          <m:r>
            <m:t> </m:t>
          </m:r>
          <m:acc>
            <m:accPr>
              <m:chr m:val="̇"/>
            </m:accPr>
            <m:e>
              <m:r>
                <m:t>φ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 </m:t>
          </m:r>
          <m:r>
            <m:t>φ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cos</m:t>
          </m:r>
          <m:r>
            <m:t>Ω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J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Tras un transitorio, la rueda oscila con la frecuencia del motor,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t</m:t>
            </m:r>
            <m:r>
              <m:rPr>
                <m:sty m:val="p"/>
              </m:rPr>
              <m:t>+</m:t>
            </m:r>
            <m:r>
              <m:t>ϕ</m:t>
            </m:r>
          </m:e>
        </m:d>
      </m:oMath>
      <w:r>
        <w:t xml:space="preserve">, con amplitud y desfase estacionarios</w:t>
      </w:r>
    </w:p>
    <w:p>
      <w:pPr>
        <w:pStyle w:val="BodyText"/>
        <w:jc w:val="both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Sup>
                            <m:e>
                              <m:r>
                                <m:t>ω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Ω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γ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tan</m:t>
          </m:r>
          <m:r>
            <m:t>ϕ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γ</m:t>
              </m:r>
              <m:r>
                <m:t> </m:t>
              </m:r>
              <m:r>
                <m:t>Ω</m:t>
              </m:r>
            </m:num>
            <m:den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La amplitud es máxima en la</w:t>
      </w:r>
      <w:r>
        <w:t xml:space="preserve"> </w:t>
      </w:r>
      <w:r>
        <w:rPr>
          <w:bCs/>
          <w:b/>
        </w:rPr>
        <w:t xml:space="preserve">frecuencia de resonancia</w:t>
      </w:r>
    </w:p>
    <w:p>
      <w:pPr>
        <w:pStyle w:val="BodyText"/>
        <w:jc w:val="both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ω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γ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γ</m:t>
              </m:r>
              <m:rad>
                <m:radPr>
                  <m:degHide m:val="on"/>
                </m:radPr>
                <m:deg/>
                <m:e>
                  <m:sSubSup>
                    <m:e>
                      <m:r>
                        <m:t>ω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γ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jc w:val="both"/>
      </w:pPr>
      <w:r>
        <w:t xml:space="preserve">Cuanto mayor es el amortiguamiento, menor y más ancho es el pico; sin amortiguamiento la amplitud de resonancia sería infinita. Para amortiguamiento débil, la anchura de la curva entre los dos puntos donde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es</w:t>
      </w:r>
      <w:r>
        <w:t xml:space="preserve"> </w:t>
      </w:r>
      <m:oMath>
        <m:r>
          <m:t>Δ</m:t>
        </m:r>
        <m:r>
          <m:t>Ω</m:t>
        </m:r>
        <m:r>
          <m:rPr>
            <m:sty m:val="p"/>
          </m:rPr>
          <m:t>≃</m:t>
        </m:r>
        <m:r>
          <m:t>γ</m:t>
        </m:r>
      </m:oMath>
      <w:r>
        <w:t xml:space="preserve"> </w:t>
      </w:r>
      <w:r>
        <w:t xml:space="preserve">y el factor de calidad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γ</m:t>
        </m:r>
        <m:r>
          <m:rPr>
            <m:sty m:val="p"/>
          </m:rPr>
          <m:t>≃</m:t>
        </m:r>
        <m:sSub>
          <m:e>
            <m:r>
              <m:t>Ω</m:t>
            </m:r>
          </m:e>
          <m:sub>
            <m:r>
              <m:t>r</m:t>
            </m:r>
          </m:sub>
        </m:sSub>
        <m:r>
          <m:rPr>
            <m:sty m:val="p"/>
          </m:rPr>
          <m:t>/</m:t>
        </m:r>
        <m:r>
          <m:t>Δ</m:t>
        </m:r>
        <m:r>
          <m:t>Ω</m:t>
        </m:r>
      </m:oMath>
      <w:r>
        <w:t xml:space="preserve">. Para</w:t>
      </w:r>
      <w:r>
        <w:t xml:space="preserve"> </w:t>
      </w:r>
      <m:oMath>
        <m:r>
          <m:t>Ω</m:t>
        </m:r>
        <m:r>
          <m:rPr>
            <m:sty m:val="p"/>
          </m:rPr>
          <m:t>≪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la rueda oscila en fase con el excitador (</w:t>
      </w:r>
      <m:oMath>
        <m:r>
          <m:t>ϕ</m:t>
        </m:r>
        <m:r>
          <m:rPr>
            <m:sty m:val="p"/>
          </m:rPr>
          <m:t>≈</m:t>
        </m:r>
        <m:r>
          <m:t>0</m:t>
        </m:r>
      </m:oMath>
      <w:r>
        <w:t xml:space="preserve">); para</w:t>
      </w:r>
      <w:r>
        <w:t xml:space="preserve"> </w:t>
      </w:r>
      <m:oMath>
        <m:r>
          <m:t>Ω</m:t>
        </m:r>
        <m:r>
          <m:rPr>
            <m:sty m:val="p"/>
          </m:rPr>
          <m:t>≫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, en oposición de fase (</w:t>
      </w:r>
      <m:oMath>
        <m:r>
          <m:t>ϕ</m:t>
        </m:r>
        <m:r>
          <m:rPr>
            <m:sty m:val="p"/>
          </m:rPr>
          <m:t>≈</m:t>
        </m:r>
        <m:r>
          <m:t>π</m:t>
        </m:r>
      </m:oMath>
      <w:r>
        <w:t xml:space="preserve">), y para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ambos están en cuadratura (</w:t>
      </w:r>
      <m:oMath>
        <m:r>
          <m:t>ϕ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).</w:t>
      </w:r>
    </w:p>
    <w:bookmarkEnd w:id="22"/>
    <w:bookmarkStart w:id="29" w:name="montaje-experimental"/>
    <w:p>
      <w:pPr>
        <w:pStyle w:val="Heading2"/>
        <w:numPr>
          <w:ilvl w:val="0"/>
          <w:numId w:val="0"/>
        </w:numPr>
      </w:pPr>
      <w:r>
        <w:rPr>
          <w:sz w:val="36"/>
        </w:rPr>
        <w:t xml:space="preserve">Montaje experimental</w:t>
      </w:r>
    </w:p>
    <w:p>
      <w:pPr>
        <w:pStyle w:val="CaptionedFigure"/>
        <w:jc w:val="center"/>
      </w:pPr>
      <w:r>
        <w:drawing>
          <wp:inline>
            <wp:extent cx="2519999" cy="2036045"/>
            <wp:effectExtent b="0" l="0" r="0" t="0"/>
            <wp:docPr descr="Figura 1. Péndulo de Pohl con el excitador." title="" id="24" name="Picture"/>
            <a:graphic>
              <a:graphicData uri="http://schemas.openxmlformats.org/drawingml/2006/picture">
                <pic:pic>
                  <pic:nvPicPr>
                    <pic:cNvPr descr="fig/poh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203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1. Péndulo de Pohl con el excitador.</w:t>
      </w:r>
    </w:p>
    <w:p>
      <w:pPr>
        <w:pStyle w:val="BodyText"/>
        <w:jc w:val="both"/>
      </w:pPr>
      <w:r>
        <w:t xml:space="preserve">El freno se alimenta como en la práctica anterior: salida de alterna de la fuente, rectificador y amperímetro en serie (Figura 2). La salida de continua de la fuente se conecta a las dos hembras superiores del motor. El motor no debe recibir más de 650 mA: antes de encenderlo, poner el dial de corriente continua de la fuente en unos 0,65 A; hecho esto, ya puede girarse el dial de tensión hasta su valor máximo.</w:t>
      </w:r>
    </w:p>
    <w:p>
      <w:pPr>
        <w:pStyle w:val="CaptionedFigure"/>
        <w:jc w:val="center"/>
      </w:pPr>
      <w:r>
        <w:drawing>
          <wp:inline>
            <wp:extent cx="4319999" cy="1886896"/>
            <wp:effectExtent b="0" l="0" r="0" t="0"/>
            <wp:docPr descr="Figura 2. Conexiones del freno y del motor." title="" id="27" name="Picture"/>
            <a:graphic>
              <a:graphicData uri="http://schemas.openxmlformats.org/drawingml/2006/picture">
                <pic:pic>
                  <pic:nvPicPr>
                    <pic:cNvPr descr="fig/pohlcon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188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center"/>
      </w:pPr>
      <w:r>
        <w:t xml:space="preserve">Figura 2. Conexiones del freno y del motor.</w:t>
      </w:r>
    </w:p>
    <w:p>
      <w:pPr>
        <w:pStyle w:val="BodyText"/>
        <w:jc w:val="both"/>
      </w:pPr>
      <w:r>
        <w:t xml:space="preserve">La frecuencia del motor se regula con los dos diales de su parte superior: el derecho para el ajuste aproximado y el izquierdo para el fino. El periodo del motor,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, se mide con el cronómetro contando sus vueltas, y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. La amplitud se lee en el anillo graduado, en divisiones. La flecha blanca de la rueda y la flecha negra del excitador permiten ver el desfase entre ambos.</w:t>
      </w:r>
    </w:p>
    <w:p>
      <w:pPr>
        <w:pStyle w:val="BodyText"/>
        <w:jc w:val="both"/>
      </w:pPr>
      <w:r>
        <w:rPr>
          <w:bCs/>
          <w:b/>
        </w:rPr>
        <w:t xml:space="preserve">Precaución:</w:t>
      </w:r>
      <w:r>
        <w:t xml:space="preserve"> </w:t>
      </w:r>
      <w:r>
        <w:t xml:space="preserve">el freno soporta como máximo 1 A (no pase de 10 V de alterna). No trabaje cerca de la resonancia con el freno apagado, porque la amplitud se sale de la escala.</w:t>
      </w:r>
    </w:p>
    <w:bookmarkEnd w:id="29"/>
    <w:bookmarkStart w:id="30" w:name="resultados"/>
    <w:p>
      <w:pPr>
        <w:pStyle w:val="Heading2"/>
        <w:numPr>
          <w:ilvl w:val="0"/>
          <w:numId w:val="0"/>
        </w:numPr>
      </w:pPr>
      <w:r>
        <w:rPr>
          <w:sz w:val="36"/>
        </w:rPr>
        <w:t xml:space="preserve">Resultados</w:t>
      </w:r>
    </w:p>
    <w:p>
      <w:pPr>
        <w:pStyle w:val="FirstParagraph"/>
        <w:jc w:val="both"/>
      </w:pPr>
      <w:r>
        <w:rPr>
          <w:bCs/>
          <w:b/>
        </w:rPr>
        <w:t xml:space="preserve">Parte A. Oscilaciones libres y amortiguadas.</w:t>
      </w:r>
      <w:r>
        <w:t xml:space="preserve"> </w:t>
      </w:r>
      <w:r>
        <w:t xml:space="preserve">Con el motor parado, medir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(cinco veces el tiempo de 20 oscilaciones, freno apagado) y, con el freno a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4 V, las amplitudes de los extremos sucesivos para obtener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como en la práctica anterior. Si ya se hizo esa práctica, pueden usarse sus resultados.</w:t>
      </w:r>
    </w:p>
    <w:p>
      <w:pPr>
        <w:pStyle w:val="BodyText"/>
        <w:jc w:val="both"/>
      </w:pP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( __________ ± __________ ) s</w:t>
      </w:r>
      <w:r>
        <w:t xml:space="preserve"> </w:t>
      </w:r>
      <m:oMath>
        <m:r>
          <m:t>  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( __________ ± __________ ) rad/s</w:t>
      </w:r>
    </w:p>
    <w:p>
      <w:pPr>
        <w:pStyle w:val="BodyText"/>
        <w:jc w:val="both"/>
      </w:pP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(4 V) = __________ A</w:t>
      </w:r>
      <w:r>
        <w:t xml:space="preserve"> </w:t>
      </w:r>
      <m:oMath>
        <m:r>
          <m:t>  </m:t>
        </m:r>
        <m:r>
          <m:t>γ</m:t>
        </m:r>
      </m:oMath>
      <w:r>
        <w:t xml:space="preserve"> </w:t>
      </w:r>
      <w:r>
        <w:t xml:space="preserve">= ( __________ ± __________ ) s⁻¹</w:t>
      </w:r>
    </w:p>
    <w:p>
      <w:pPr>
        <w:pStyle w:val="BodyText"/>
        <w:jc w:val="both"/>
      </w:pPr>
      <w:r>
        <w:rPr>
          <w:bCs/>
          <w:b/>
        </w:rPr>
        <w:t xml:space="preserve">Parte B. Curva de resonancia.</w:t>
      </w:r>
      <w:r>
        <w:t xml:space="preserve"> </w:t>
      </w:r>
      <w:r>
        <w:t xml:space="preserve">Con el freno a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= 4 V, encender el motor y variar lentamente su frecuencia. Para cada valor: medir el tiempo de 5 vueltas del motor para obtener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, esperar a que desaparezca el transitorio (la amplitud deja de cambiar; cerca de la resonancia, 2 o 3 minutos) y anotar las desviaciones máximas a izquierda,</w:t>
      </w:r>
      <w:r>
        <w:t xml:space="preserve"> </w:t>
      </w:r>
      <m:oMath>
        <m:sSup>
          <m:e>
            <m:r>
              <m:t>φ</m:t>
            </m:r>
          </m:e>
          <m:sup>
            <m:r>
              <m:t>i</m:t>
            </m:r>
          </m:sup>
        </m:sSup>
      </m:oMath>
      <w:r>
        <w:t xml:space="preserve">, y a derecha,</w:t>
      </w:r>
      <w:r>
        <w:t xml:space="preserve"> </w:t>
      </w:r>
      <m:oMath>
        <m:sSup>
          <m:e>
            <m:r>
              <m:t>φ</m:t>
            </m:r>
          </m:e>
          <m:sup>
            <m:r>
              <m:t>d</m:t>
            </m:r>
          </m:sup>
        </m:sSup>
      </m:oMath>
      <w:r>
        <w:t xml:space="preserve">. La amplitud es su media,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φ</m:t>
                </m:r>
              </m:e>
              <m:sup>
                <m:r>
                  <m:t>i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φ</m:t>
                </m:r>
              </m:e>
              <m:sup>
                <m:r>
                  <m:t>d</m:t>
                </m:r>
              </m:sup>
            </m:sSup>
          </m:e>
        </m:d>
        <m:r>
          <m:rPr>
            <m:sty m:val="p"/>
          </m:rPr>
          <m:t>/</m:t>
        </m:r>
        <m:r>
          <m:t>2</m:t>
        </m:r>
      </m:oMath>
      <w:r>
        <w:t xml:space="preserve">, porque el punto medio de la oscilación puede no coincidir con el cero. Tomar más medidas en la zona de resonancia (cuando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se acerca a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) y también por encima de ella. Observar el desfase entre las flechas a frecuencias bajas, en la resonancia y a frecuencias altas.</w:t>
      </w:r>
    </w:p>
    <w:tbl>
      <w:tblPr>
        <w:tblW w:type="pct" w:w="500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Row="1" w:lastRow="0" w:firstColumn="0" w:lastColumn="0" w:noHBand="0" w:noVBand="0" w:val="0020"/>
        <w:tblCaption w:val="Tabla 1. Amplitud estacionaria frente a la frecuencia de excitación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rHeight w:val="510" w:hRule="atLeast"/>
          <w:tblHeader w:val="true"/>
        </w:trPr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r>
                <m:t>Ω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(rad/s)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t>i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(div)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p>
                <m:e>
                  <m:r>
                    <m:t>φ</m:t>
                  </m:r>
                </m:e>
                <m:sup>
                  <m:r>
                    <m:t>d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(div)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r>
                <m:t>φ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(div)</w:t>
            </w:r>
          </w:p>
        </w:tc>
        <w:tc>
          <w:tcPr>
            <w:shd w:val="clear" w:color="auto" w:fill="FFF0C1"/>
            <w:vAlign w:val="center"/>
          </w:tcPr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φ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(div)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  <w:tr>
        <w:trPr>
          <w:trHeight w:val="425" w:hRule="atLeast"/>
        </w:trPr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  <w:tc>
          <w:tcPr>
            <w:vAlign w:val="center"/>
          </w:tcPr>
          <w:p>
            <w:pPr>
              <w:pStyle w:val="Compact"/>
              <w:jc w:val="center"/>
            </w:pPr>
            <w:r>
              <w:rPr>
                <w:sz w:val="20"/>
              </w:rPr>
              <w:t xml:space="preserve"> </w:t>
            </w:r>
          </w:p>
        </w:tc>
      </w:tr>
    </w:tbl>
    <w:p>
      <w:pPr>
        <w:pStyle w:val="TableCaption"/>
        <w:jc w:val="center"/>
      </w:pPr>
      <w:r>
        <w:t xml:space="preserve">Tabla 1. Amplitud estacionaria frente a la frecuencia de excitación.</w:t>
      </w:r>
    </w:p>
    <w:bookmarkEnd w:id="30"/>
    <w:bookmarkStart w:id="31" w:name="cuestiones"/>
    <w:p>
      <w:pPr>
        <w:pStyle w:val="Heading2"/>
        <w:numPr>
          <w:ilvl w:val="0"/>
          <w:numId w:val="0"/>
        </w:numPr>
      </w:pPr>
      <w:r>
        <w:rPr>
          <w:sz w:val="36"/>
        </w:rPr>
        <w:t xml:space="preserve">Cuestiones</w:t>
      </w:r>
    </w:p>
    <w:p>
      <w:pPr>
        <w:pStyle w:val="FirstParagraph"/>
        <w:jc w:val="both"/>
      </w:pPr>
      <w:r>
        <w:rPr>
          <w:bCs/>
          <w:b/>
        </w:rPr>
        <w:t xml:space="preserve">1.</w:t>
      </w:r>
      <w:r>
        <w:t xml:space="preserve"> </w:t>
      </w:r>
      <w:r>
        <w:t xml:space="preserve">Inserte la curva de resonancia (</w:t>
      </w:r>
      <m:oMath>
        <m:r>
          <m:t>φ</m:t>
        </m:r>
      </m:oMath>
      <w:r>
        <w:t xml:space="preserve"> </w:t>
      </w:r>
      <w:r>
        <w:t xml:space="preserve">frente a</w:t>
      </w:r>
      <w:r>
        <w:t xml:space="preserve"> </w:t>
      </w:r>
      <m:oMath>
        <m:r>
          <m:t>Ω</m:t>
        </m:r>
      </m:oMath>
      <w:r>
        <w:t xml:space="preserve">), uniendo los puntos con una curva suave. Trace rectas verticales en la frecuencia de resonancia experimental</w:t>
      </w:r>
      <w:r>
        <w:t xml:space="preserve"> </w:t>
      </w:r>
      <m:oMath>
        <m:sSubSup>
          <m:e>
            <m:r>
              <m:t>Ω</m:t>
            </m:r>
          </m:e>
          <m:sub>
            <m:r>
              <m:t>r</m:t>
            </m:r>
          </m:sub>
          <m:sup>
            <m:r>
              <m:t>e</m:t>
            </m:r>
            <m:r>
              <m:t>x</m:t>
            </m:r>
          </m:sup>
        </m:sSubSup>
      </m:oMath>
      <w:r>
        <w:t xml:space="preserve"> </w:t>
      </w:r>
      <w:r>
        <w:t xml:space="preserve">(la del máximo de</w:t>
      </w:r>
      <w:r>
        <w:t xml:space="preserve"> </w:t>
      </w:r>
      <m:oMath>
        <m:r>
          <m:t>φ</m:t>
        </m:r>
      </m:oMath>
      <w:r>
        <w:t xml:space="preserve">), en la teórica</w:t>
      </w:r>
      <w:r>
        <w:t xml:space="preserve"> </w:t>
      </w:r>
      <m:oMath>
        <m:sSubSup>
          <m:e>
            <m:r>
              <m:t>Ω</m:t>
            </m:r>
          </m:e>
          <m:sub>
            <m:r>
              <m:t>r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ω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 </w:t>
      </w:r>
      <w:r>
        <w:t xml:space="preserve">y en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 Marque también</w:t>
      </w:r>
      <w:r>
        <w:t xml:space="preserve"> </w:t>
      </w:r>
      <m:oMath>
        <m:sSub>
          <m:e>
            <m:r>
              <m:t>φ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y la anchura</w:t>
      </w:r>
      <w:r>
        <w:t xml:space="preserve"> </w:t>
      </w:r>
      <m:oMath>
        <m:r>
          <m:t>Δ</m:t>
        </m:r>
        <m:r>
          <m:t>Ω</m:t>
        </m:r>
      </m:oMath>
      <w:r>
        <w:t xml:space="preserve">.</w:t>
      </w:r>
    </w:p>
    <w:tbl>
      <w:tblPr>
        <w:tblW w:type="pct" w:w="500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524"/>
      </w:tblGrid>
      <w:tr>
        <w:trPr>
          <w:trHeight w:val="5103" w:hRule="atLeast"/>
        </w:trPr>
        <w:tc>
          <w:tcPr>
            <w:tcW w:type="dxa" w:w="9524"/>
            <w:vAlign w:val="center"/>
          </w:tcPr>
          <w:p>
            <w:pPr>
              <w:jc w:val="center"/>
            </w:pPr>
            <w:r>
              <w:rPr>
                <w:i/>
                <w:color w:val="999999"/>
                <w:sz w:val="20"/>
              </w:rPr>
              <w:t>Pegue aquí la gráfica</w:t>
            </w:r>
          </w:p>
        </w:tc>
      </w:tr>
    </w:tbl>
    <w:p/>
    <w:p>
      <w:pPr>
        <w:pStyle w:val="BodyText"/>
        <w:jc w:val="both"/>
      </w:pPr>
      <m:oMath>
        <m:sSubSup>
          <m:e>
            <m:r>
              <m:t>Ω</m:t>
            </m:r>
          </m:e>
          <m:sub>
            <m:r>
              <m:t>r</m:t>
            </m:r>
          </m:sub>
          <m:sup>
            <m:r>
              <m:t>e</m:t>
            </m:r>
            <m:r>
              <m:t>x</m:t>
            </m:r>
          </m:sup>
        </m:sSubSup>
      </m:oMath>
      <w:r>
        <w:t xml:space="preserve"> </w:t>
      </w:r>
      <w:r>
        <w:t xml:space="preserve">= ( __________ ± __________ ) rad/s</w:t>
      </w:r>
      <w:r>
        <w:t xml:space="preserve"> </w:t>
      </w:r>
      <m:oMath>
        <m:r>
          <m:t>  </m:t>
        </m:r>
        <m:sSubSup>
          <m:e>
            <m:r>
              <m:t>Ω</m:t>
            </m:r>
          </m:e>
          <m:sub>
            <m:r>
              <m:t>r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= ( __________ ± __________ ) rad/s</w:t>
      </w:r>
      <w:r>
        <w:t xml:space="preserve"> </w:t>
      </w:r>
      <m:oMath>
        <m:r>
          <m:t>  </m:t>
        </m:r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( __________ ± __________ ) rad/s</w:t>
      </w:r>
    </w:p>
    <w:p>
      <w:pPr>
        <w:pStyle w:val="BodyText"/>
        <w:jc w:val="both"/>
      </w:pPr>
      <w:r>
        <w:rPr>
          <w:bCs/>
          <w:b/>
        </w:rPr>
        <w:t xml:space="preserve">2.</w:t>
      </w:r>
      <w:r>
        <w:t xml:space="preserve"> </w:t>
      </w:r>
      <w:r>
        <w:t xml:space="preserve">Obtenga de la gráfica la anchura</w:t>
      </w:r>
      <w:r>
        <w:t xml:space="preserve"> </w:t>
      </w:r>
      <m:oMath>
        <m:r>
          <m:t>Δ</m:t>
        </m:r>
        <m:r>
          <m:t>Ω</m:t>
        </m:r>
      </m:oMath>
      <w:r>
        <w:t xml:space="preserve"> </w:t>
      </w:r>
      <w:r>
        <w:t xml:space="preserve">y, a partir de ella,</w:t>
      </w:r>
      <w:r>
        <w:t xml:space="preserve"> </w:t>
      </w:r>
      <m:oMath>
        <m:sSub>
          <m:e>
            <m:r>
              <m:t>γ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  <m:r>
          <m:rPr>
            <m:sty m:val="p"/>
          </m:rPr>
          <m:t>=</m:t>
        </m:r>
        <m:r>
          <m:t>Δ</m:t>
        </m:r>
        <m:r>
          <m:t>Ω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Sup>
          <m:e>
            <m:r>
              <m:t>Ω</m:t>
            </m:r>
          </m:e>
          <m:sub>
            <m:r>
              <m:t>r</m:t>
            </m:r>
          </m:sub>
          <m:sup>
            <m:r>
              <m:t>e</m:t>
            </m:r>
            <m:r>
              <m:t>x</m:t>
            </m:r>
          </m:sup>
        </m:sSubSup>
        <m:r>
          <m:rPr>
            <m:sty m:val="p"/>
          </m:rPr>
          <m:t>/</m:t>
        </m:r>
        <m:r>
          <m:t>Δ</m:t>
        </m:r>
        <m:r>
          <m:t>Ω</m:t>
        </m:r>
      </m:oMath>
      <w:r>
        <w:t xml:space="preserve">, con sus errores. Compare</w:t>
      </w:r>
      <w:r>
        <w:t xml:space="preserve"> </w:t>
      </w:r>
      <m:oMath>
        <m:sSub>
          <m:e>
            <m:r>
              <m:t>γ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con el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de la Parte A.</w:t>
      </w:r>
    </w:p>
    <w:p>
      <w:pPr>
        <w:pStyle w:val="BodyText"/>
        <w:jc w:val="both"/>
      </w:pPr>
      <m:oMath>
        <m:r>
          <m:t>Δ</m:t>
        </m:r>
        <m:r>
          <m:t>Ω</m:t>
        </m:r>
      </m:oMath>
      <w:r>
        <w:t xml:space="preserve"> </w:t>
      </w:r>
      <w:r>
        <w:t xml:space="preserve">= ( __________ ± __________ ) rad/s</w:t>
      </w:r>
      <w:r>
        <w:t xml:space="preserve"> </w:t>
      </w:r>
      <m:oMath>
        <m:r>
          <m:t>  </m:t>
        </m:r>
        <m:sSub>
          <m:e>
            <m:r>
              <m:t>γ</m:t>
            </m:r>
          </m:e>
          <m:sub>
            <m:r>
              <m:t>r</m:t>
            </m:r>
            <m:r>
              <m:t>e</m:t>
            </m:r>
            <m:r>
              <m:t>s</m:t>
            </m:r>
          </m:sub>
        </m:sSub>
      </m:oMath>
      <w:r>
        <w:t xml:space="preserve"> </w:t>
      </w:r>
      <w:r>
        <w:t xml:space="preserve">= ( __________ ± __________ ) s⁻¹</w:t>
      </w:r>
      <w:r>
        <w:t xml:space="preserve"> </w:t>
      </w:r>
      <m:oMath>
        <m:r>
          <m:t>  </m:t>
        </m:r>
        <m:r>
          <m:t>Q</m:t>
        </m:r>
      </m:oMath>
      <w:r>
        <w:t xml:space="preserve"> </w:t>
      </w:r>
      <w:r>
        <w:t xml:space="preserve">= ( __________ ± __________ )</w:t>
      </w:r>
    </w:p>
    <w:tbl>
      <w:tblPr>
        <w:tblW w:type="pct" w:w="500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524"/>
      </w:tblGrid>
      <w:tr>
        <w:trPr>
          <w:trHeight w:val="1134" w:hRule="atLeast"/>
        </w:trPr>
        <w:tc>
          <w:tcPr>
            <w:tcW w:type="dxa" w:w="9524"/>
          </w:tcPr>
          <w:p/>
        </w:tc>
      </w:tr>
    </w:tbl>
    <w:p/>
    <w:p>
      <w:pPr>
        <w:pStyle w:val="BodyText"/>
        <w:jc w:val="both"/>
      </w:pPr>
      <w:r>
        <w:rPr>
          <w:bCs/>
          <w:b/>
        </w:rPr>
        <w:t xml:space="preserve">3.</w:t>
      </w:r>
      <w:r>
        <w:t xml:space="preserve"> </w:t>
      </w:r>
      <w:r>
        <w:t xml:space="preserve">Describa el desfase observado entre la rueda (flecha blanca) y el excitador (flecha negra) para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muy inferior a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, en la resonancia y para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muy superior. ¿Concuerda con la teoría?</w:t>
      </w:r>
    </w:p>
    <w:tbl>
      <w:tblPr>
        <w:tblW w:type="pct" w:w="500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524"/>
      </w:tblGrid>
      <w:tr>
        <w:trPr>
          <w:trHeight w:val="1134" w:hRule="atLeast"/>
        </w:trPr>
        <w:tc>
          <w:tcPr>
            <w:tcW w:type="dxa" w:w="9524"/>
          </w:tcPr>
          <w:p/>
        </w:tc>
      </w:tr>
    </w:tbl>
    <w:p/>
    <w:p>
      <w:pPr>
        <w:pStyle w:val="BodyText"/>
        <w:jc w:val="both"/>
      </w:pPr>
      <w:r>
        <w:rPr>
          <w:bCs/>
          <w:b/>
        </w:rPr>
        <w:t xml:space="preserve">4.</w:t>
      </w:r>
      <w:r>
        <w:t xml:space="preserve"> </w:t>
      </w:r>
      <w:r>
        <w:t xml:space="preserve">Demuestre las expresiones de</w:t>
      </w:r>
      <w:r>
        <w:t xml:space="preserve"> </w:t>
      </w:r>
      <m:oMath>
        <m:sSub>
          <m:e>
            <m:r>
              <m:t>Ω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A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 partir de la condición de máximo de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.</w:t>
      </w:r>
    </w:p>
    <w:tbl>
      <w:tblPr>
        <w:tblW w:type="pct" w:w="500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ook w:firstColumn="1" w:firstRow="1" w:lastColumn="0" w:lastRow="0" w:noHBand="0" w:noVBand="1" w:val="04A0"/>
      </w:tblPr>
      <w:tblGrid>
        <w:gridCol w:w="9524"/>
      </w:tblGrid>
      <w:tr>
        <w:trPr>
          <w:trHeight w:val="1701" w:hRule="atLeast"/>
        </w:trPr>
        <w:tc>
          <w:tcPr>
            <w:tcW w:type="dxa" w:w="9524"/>
          </w:tcPr>
          <w:p/>
        </w:tc>
      </w:tr>
    </w:tbl>
    <w:p/>
    <w:bookmarkEnd w:id="31"/>
    <w:sectPr>
      <w:headerReference w:type="default" r:id="rId9"/>
      <w:footerReference w:type="default" r:id="rId10"/>
      <w:pgSz w:w="12240" w:h="15840"/>
      <w:pgMar w:left="1276" w:right="1440" w:top="1134" w:bottom="1247" w:header="454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3402" w:val="left"/>
        <w:tab w:pos="6803" w:val="left"/>
      </w:tabs>
    </w:pPr>
    <w:r/>
    <w:r>
      <w:rPr>
        <w:rFonts w:ascii="Times New Roman" w:hAnsi="Times New Roman"/>
        <w:color w:val="FF0000"/>
        <w:sz w:val="22"/>
      </w:rPr>
      <w:t>Alumno 1:</w:t>
      <w:tab/>
      <w:t>Alumno 2:</w:t>
      <w:tab/>
      <w:t>Alumno 3: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60" w:before="60"/>
    </w:pPr>
    <w:qFormat/>
  </w:style>
  <w:style w:customStyle="1" w:styleId="FirstParagraph" w:type="paragraph">
    <w:name w:val="First Paragraph"/>
    <w:basedOn w:val="BodyText"/>
    <w:next w:val="BodyText"/>
    <w:qFormat/>
    <w:pPr>
      <w:spacing w:before="60" w:after="60"/>
    </w:pPr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Arial" w:hAnsi="Arial" w:cs="Arial"/>
      <w:b/>
      <w:bCs/>
      <w:i/>
      <w:color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40"/>
      <w:outlineLvl w:val="1"/>
    </w:pPr>
    <w:rPr>
      <w:rFonts w:ascii="Arial" w:hAnsi="Arial" w:cs="Arial"/>
      <w:b/>
      <w:bCs/>
      <w:i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sz w:val="22"/>
    </w:rPr>
  </w:style>
  <w:style w:customStyle="1" w:styleId="TableCaption" w:type="paragraph">
    <w:name w:val="Table Caption"/>
    <w:basedOn w:val="Caption"/>
    <w:pPr>
      <w:keepNext/>
    </w:pPr>
    <w:rPr>
      <w:i/>
      <w:sz w:val="22"/>
    </w:rPr>
  </w:style>
  <w:style w:customStyle="1" w:styleId="ImageCaption" w:type="paragraph">
    <w:name w:val="Image Caption"/>
    <w:basedOn w:val="Caption"/>
    <w:rPr>
      <w:i/>
      <w:sz w:val="2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3" Type="http://schemas.openxmlformats.org/officeDocument/2006/relationships/image" Target="media/rId23.png"/><Relationship Id="rId26" Type="http://schemas.openxmlformats.org/officeDocument/2006/relationships/image" Target="media/rId26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2026-10-30T15:06:15Z</dcterms:created>
  <dcterms:modified xsi:type="dcterms:W3CDTF">2026-10-30T15:06:15Z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