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722F37"/>
          <w:sz w:val="48"/>
          <w:szCs w:val="48"/>
        </w:rPr>
        <w:t xml:space="preserve">AVENANT AU CAHIER DES CHARGES</w:t>
      </w:r>
    </w:p>
    <w:p>
      <w:pPr>
        <w:spacing w:before="200"/>
        <w:jc w:val="center"/>
      </w:pPr>
      <w:r>
        <w:rPr>
          <w:rFonts w:ascii="Arial" w:cs="Arial" w:eastAsia="Arial" w:hAnsi="Arial"/>
          <w:color w:val="C4A35A"/>
          <w:sz w:val="36"/>
          <w:szCs w:val="36"/>
        </w:rPr>
        <w:t xml:space="preserve">CDC V4.0 → V4.1</w:t>
      </w:r>
    </w:p>
    <w:p>
      <w:pPr>
        <w:spacing w:before="400"/>
        <w:jc w:val="center"/>
      </w:pPr>
      <w:r>
        <w:rPr>
          <w:rFonts w:ascii="Arial" w:cs="Arial" w:eastAsia="Arial" w:hAnsi="Arial"/>
          <w:color w:val="4A4A4A"/>
          <w:sz w:val="28"/>
          <w:szCs w:val="28"/>
        </w:rPr>
        <w:t xml:space="preserve">Plateforme Vins &amp; Conversations</w:t>
      </w:r>
    </w:p>
    <w:p>
      <w:pPr>
        <w:spacing w:before="100"/>
        <w:jc w:val="center"/>
      </w:pPr>
      <w:r>
        <w:rPr>
          <w:rFonts w:ascii="Arial" w:cs="Arial" w:eastAsia="Arial" w:hAnsi="Arial"/>
          <w:i/>
          <w:iCs/>
          <w:color w:val="4A4A4A"/>
          <w:sz w:val="24"/>
          <w:szCs w:val="24"/>
        </w:rPr>
        <w:t xml:space="preserve">Suite à échange client du 13 février 2026</w:t>
      </w:r>
    </w:p>
    <w:p>
      <w:pPr>
        <w:spacing w:before="600"/>
        <w:jc w:val="center"/>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Information</w:t>
            </w:r>
          </w:p>
        </w:tc>
        <w:tc>
          <w:tcPr>
            <w:tcW w:type="dxa" w:w="5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Valeur</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Version</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4.1 — Avenant #1</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Date</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13 février 2026</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Origine</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Échange Nicolas Froment / Mathéo / Jeff</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Statut</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b/>
                <w:bCs/>
                <w:color w:val="E67E22"/>
                <w:sz w:val="20"/>
                <w:szCs w:val="20"/>
              </w:rPr>
              <w:t xml:space="preserve">EN VALIDATION</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Impact tables</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+3 nouvelles tables, 2 tables modifiées</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Impact endpoints</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+8 nouveaux endpoints, 3 endpoints modifiés</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Impact UI</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6 composants modifiés, 2 nouveaux composants</w:t>
            </w:r>
          </w:p>
        </w:tc>
      </w:tr>
    </w:tbl>
    <w:p>
      <w:pPr>
        <w:sectPr>
          <w:pgSz w:w="11906" w:h="16838" w:orient="portrait"/>
          <w:pgMar w:top="1440" w:right="1440" w:bottom="1440" w:left="1440" w:header="708" w:footer="708" w:gutter="0"/>
          <w:pgNumType/>
          <w:docGrid w:linePitch="360"/>
        </w:sectPr>
      </w:pPr>
    </w:p>
    <w:p>
      <w:pPr>
        <w:pStyle w:val="Heading1"/>
        <w:spacing w:before="300" w:after="150"/>
      </w:pPr>
      <w:r>
        <w:rPr>
          <w:rFonts w:ascii="Arial" w:cs="Arial" w:eastAsia="Arial" w:hAnsi="Arial"/>
        </w:rPr>
        <w:t xml:space="preserve">1. Catégories produits dynamiques</w:t>
      </w:r>
    </w:p>
    <w:p>
      <w:pPr>
        <w:pStyle w:val="Heading2"/>
        <w:spacing w:before="300" w:after="150"/>
      </w:pPr>
      <w:r>
        <w:rPr>
          <w:rFonts w:ascii="Arial" w:cs="Arial" w:eastAsia="Arial" w:hAnsi="Arial"/>
        </w:rPr>
        <w:t xml:space="preserve">1.1 Constat</w:t>
      </w:r>
    </w:p>
    <w:p>
      <w:pPr>
        <w:spacing w:after="120"/>
        <w:jc w:val="left"/>
      </w:pPr>
      <w:r>
        <w:rPr>
          <w:rFonts w:ascii="Arial" w:cs="Arial" w:eastAsia="Arial" w:hAnsi="Arial"/>
          <w:sz w:val="22"/>
          <w:szCs w:val="22"/>
        </w:rPr>
        <w:t xml:space="preserve">Dans le CDC V4.0, les catégories produits (Blancs Secs, Blancs Moelleux, Rouges, Effervescents, Coffrets, Sans Alcool) sont implicitement hardcodées. Le champ « category » de la table products est un simple string sans table de référence. Cela signifie que :</w:t>
      </w:r>
    </w:p>
    <w:p>
      <w:pPr>
        <w:pStyle w:val="ListParagraph"/>
        <w:numPr>
          <w:ilvl w:val="0"/>
          <w:numId w:val="2"/>
        </w:numPr>
      </w:pPr>
      <w:r>
        <w:rPr>
          <w:rFonts w:ascii="Arial" w:cs="Arial" w:eastAsia="Arial" w:hAnsi="Arial"/>
          <w:sz w:val="22"/>
          <w:szCs w:val="22"/>
        </w:rPr>
        <w:t xml:space="preserve">Nicolas ne peut pas créer de nouvelle catégorie (ex : Jus de fruit, Rosés, Spiritueux) sans intervention développeur.</w:t>
      </w:r>
    </w:p>
    <w:p>
      <w:pPr>
        <w:pStyle w:val="ListParagraph"/>
        <w:numPr>
          <w:ilvl w:val="0"/>
          <w:numId w:val="2"/>
        </w:numPr>
      </w:pPr>
      <w:r>
        <w:rPr>
          <w:rFonts w:ascii="Arial" w:cs="Arial" w:eastAsia="Arial" w:hAnsi="Arial"/>
          <w:sz w:val="22"/>
          <w:szCs w:val="22"/>
        </w:rPr>
        <w:t xml:space="preserve">Le wizard boutique ne peut pas s'adapter dynamiquement aux catégories existantes.</w:t>
      </w:r>
    </w:p>
    <w:p>
      <w:pPr>
        <w:pStyle w:val="ListParagraph"/>
        <w:numPr>
          <w:ilvl w:val="0"/>
          <w:numId w:val="2"/>
        </w:numPr>
      </w:pPr>
      <w:r>
        <w:rPr>
          <w:rFonts w:ascii="Arial" w:cs="Arial" w:eastAsia="Arial" w:hAnsi="Arial"/>
          <w:sz w:val="22"/>
          <w:szCs w:val="22"/>
        </w:rPr>
        <w:t xml:space="preserve">Le toggle « Mis en avant » par catégorie (demandé ci-dessous) n'a pas de référence pour savoir combien de catégories existent.</w:t>
      </w:r>
    </w:p>
    <w:p>
      <w:pPr>
        <w:pStyle w:val="ListParagraph"/>
        <w:numPr>
          <w:ilvl w:val="0"/>
          <w:numId w:val="2"/>
        </w:numPr>
      </w:pPr>
      <w:r>
        <w:rPr>
          <w:rFonts w:ascii="Arial" w:cs="Arial" w:eastAsia="Arial" w:hAnsi="Arial"/>
          <w:sz w:val="22"/>
          <w:szCs w:val="22"/>
        </w:rPr>
        <w:t xml:space="preserve">Aucun graphe araignée pour les catégories sans alcool (confirmé par le client).</w:t>
      </w:r>
    </w:p>
    <w:p>
      <w:pPr>
        <w:pStyle w:val="Heading2"/>
        <w:spacing w:before="300" w:after="150"/>
      </w:pPr>
      <w:r>
        <w:rPr>
          <w:rFonts w:ascii="Arial" w:cs="Arial" w:eastAsia="Arial" w:hAnsi="Arial"/>
        </w:rPr>
        <w:t xml:space="preserve">1.2 Modification — Nouvelle table product_categories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826"/>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Colonne</w:t>
            </w:r>
          </w:p>
        </w:tc>
        <w:tc>
          <w:tcPr>
            <w:tcW w:type="dxa" w:w="32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8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38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Identifiant unique</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name</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VARCHAR(100) NOT NULL UNIQUE</w:t>
            </w:r>
          </w:p>
        </w:tc>
        <w:tc>
          <w:tcPr>
            <w:tcW w:type="dxa" w:w="38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Nom affiché (ex : Rouges, Blancs Secs, Jus de fruit)</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slug</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VARCHAR(100) NOT NULL UNIQUE</w:t>
            </w:r>
          </w:p>
        </w:tc>
        <w:tc>
          <w:tcPr>
            <w:tcW w:type="dxa" w:w="38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Identifiant technique URL-safe (ex : rouges, blancs-secs)</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type</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ENUM('wine', 'non_alcoholic', 'bundle')</w:t>
            </w:r>
          </w:p>
        </w:tc>
        <w:tc>
          <w:tcPr>
            <w:tcW w:type="dxa" w:w="38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Type de catégorie : détermine si le wizard/matching s'applique</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has_tasting_profile</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BOOLEAN DEFAULT true</w:t>
            </w:r>
          </w:p>
        </w:tc>
        <w:tc>
          <w:tcPr>
            <w:tcW w:type="dxa" w:w="38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Active/désactive le graphe araignée pour cette catégorie</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tasting_axes</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JSONB DEFAULT '[]'</w:t>
            </w:r>
          </w:p>
        </w:tc>
        <w:tc>
          <w:tcPr>
            <w:tcW w:type="dxa" w:w="38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Axes du radar chart (ex : ["Tanins", "Rondeur", "Puissance"] pour wine, [] pour non_alcoholic)</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sort_order</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INTEGER DEFAULT 0</w:t>
            </w:r>
          </w:p>
        </w:tc>
        <w:tc>
          <w:tcPr>
            <w:tcW w:type="dxa" w:w="38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Ordre d'affichage dans la boutique et le wizard</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icon_url</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VARCHAR(500) NULL</w:t>
            </w:r>
          </w:p>
        </w:tc>
        <w:tc>
          <w:tcPr>
            <w:tcW w:type="dxa" w:w="38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Icône optionnelle pour la catégorie</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active</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BOOLEAN DEFAULT true</w:t>
            </w:r>
          </w:p>
        </w:tc>
        <w:tc>
          <w:tcPr>
            <w:tcW w:type="dxa" w:w="38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Permet de masquer une catégorie sans supprimer</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created_at</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TIMESTAMP DEFAULT NOW()</w:t>
            </w:r>
          </w:p>
        </w:tc>
        <w:tc>
          <w:tcPr>
            <w:tcW w:type="dxa" w:w="38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Date de création</w:t>
            </w:r>
          </w:p>
        </w:tc>
      </w:tr>
    </w:tbl>
    <w:p>
      <w:pPr>
        <w:pStyle w:val="Heading2"/>
        <w:spacing w:before="300" w:after="150"/>
      </w:pPr>
      <w:r>
        <w:rPr>
          <w:rFonts w:ascii="Arial" w:cs="Arial" w:eastAsia="Arial" w:hAnsi="Arial"/>
        </w:rPr>
        <w:t xml:space="preserve">1.3 Impact sur la table products</w:t>
      </w:r>
    </w:p>
    <w:p>
      <w:pPr>
        <w:spacing w:after="120"/>
        <w:jc w:val="left"/>
      </w:pPr>
      <w:r>
        <w:rPr>
          <w:rFonts w:ascii="Arial" w:cs="Arial" w:eastAsia="Arial" w:hAnsi="Arial"/>
          <w:sz w:val="22"/>
          <w:szCs w:val="22"/>
        </w:rPr>
        <w:t xml:space="preserve">Le champ « category » (VARCHAR) de la table products est remplacé par « category_id » (FK → product_categories.id). Migration : créer la table product_categories avec les catégories existantes, puis ALTER TABLE products pour ajouter category_id et migrer les données depuis le champ category.</w:t>
      </w:r>
    </w:p>
    <w:p>
      <w:pPr>
        <w:pBdr>
          <w:left w:val="single" w:color="CC3333" w:sz="6"/>
        </w:pBdr>
        <w:spacing w:before="120" w:after="120"/>
        <w:ind w:left="200"/>
      </w:pPr>
      <w:r>
        <w:rPr>
          <w:rFonts w:ascii="Arial" w:cs="Arial" w:eastAsia="Arial" w:hAnsi="Arial"/>
          <w:i/>
          <w:iCs/>
          <w:color w:val="CC3333"/>
          <w:sz w:val="22"/>
          <w:szCs w:val="22"/>
        </w:rPr>
        <w:t xml:space="preserve">⚠️ Backward compatibility : l'API GET /products doit retourner à la fois category_id ET category (string) pendant la phase de transition pour ne pas casser les clients existants.</w:t>
      </w:r>
    </w:p>
    <w:p>
      <w:pPr>
        <w:pStyle w:val="Heading2"/>
        <w:spacing w:before="300" w:after="150"/>
      </w:pPr>
      <w:r>
        <w:rPr>
          <w:rFonts w:ascii="Arial" w:cs="Arial" w:eastAsia="Arial" w:hAnsi="Arial"/>
        </w:rPr>
        <w:t xml:space="preserve">1.4 Impact sur les endpoints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026"/>
      </w:tblGrid>
      <w:tr>
        <w:tc>
          <w:tcPr>
            <w:tcW w:type="dxa" w:w="3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Méthode</w:t>
            </w:r>
          </w:p>
        </w:tc>
        <w:tc>
          <w:tcPr>
            <w:tcW w:type="dxa" w:w="40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/admin/product-categories</w:t>
            </w:r>
          </w:p>
        </w:tc>
        <w:tc>
          <w:tcPr>
            <w:tcW w:type="dxa" w:w="1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Liste toutes les catégories (triées par sort_order)</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/admin/product-categories</w:t>
            </w:r>
          </w:p>
        </w:tc>
        <w:tc>
          <w:tcPr>
            <w:tcW w:type="dxa" w:w="1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POST</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Créer une nouvelle catégorie</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/admin/product-categories/:id</w:t>
            </w:r>
          </w:p>
        </w:tc>
        <w:tc>
          <w:tcPr>
            <w:tcW w:type="dxa" w:w="1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PUT</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Modifier une catégorie (nom, ordre, axes, active)</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/admin/product-categories/:id</w:t>
            </w:r>
          </w:p>
        </w:tc>
        <w:tc>
          <w:tcPr>
            <w:tcW w:type="dxa" w:w="1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DELETE</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Supprimer (uniquement si aucun produit rattaché)</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/products</w:t>
            </w:r>
          </w:p>
        </w:tc>
        <w:tc>
          <w:tcPr>
            <w:tcW w:type="dxa" w:w="1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 (modifié)</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Ajouter le champ category_name dans la réponse (JOIN)</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/campaigns/:id/products</w:t>
            </w:r>
          </w:p>
        </w:tc>
        <w:tc>
          <w:tcPr>
            <w:tcW w:type="dxa" w:w="1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GET (modifié)</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Idem, filtrer par catégorie possible via ?category_id=</w:t>
            </w:r>
          </w:p>
        </w:tc>
      </w:tr>
    </w:tbl>
    <w:p>
      <w:pPr>
        <w:pStyle w:val="Heading2"/>
        <w:spacing w:before="300" w:after="150"/>
      </w:pPr>
      <w:r>
        <w:rPr>
          <w:rFonts w:ascii="Arial" w:cs="Arial" w:eastAsia="Arial" w:hAnsi="Arial"/>
        </w:rPr>
        <w:t xml:space="preserve">1.5 Impact sur le wizard boutique</w:t>
      </w:r>
    </w:p>
    <w:p>
      <w:pPr>
        <w:spacing w:after="120"/>
        <w:jc w:val="left"/>
      </w:pPr>
      <w:r>
        <w:rPr>
          <w:rFonts w:ascii="Arial" w:cs="Arial" w:eastAsia="Arial" w:hAnsi="Arial"/>
          <w:sz w:val="22"/>
          <w:szCs w:val="22"/>
        </w:rPr>
        <w:t xml:space="preserve">Le wizard de sélection de vin sur la boutique publique s'adapte dynamiquement :</w:t>
      </w:r>
    </w:p>
    <w:p>
      <w:pPr>
        <w:pStyle w:val="ListParagraph"/>
        <w:numPr>
          <w:ilvl w:val="0"/>
          <w:numId w:val="2"/>
        </w:numPr>
      </w:pPr>
      <w:r>
        <w:rPr>
          <w:rFonts w:ascii="Arial" w:cs="Arial" w:eastAsia="Arial" w:hAnsi="Arial"/>
          <w:sz w:val="22"/>
          <w:szCs w:val="22"/>
        </w:rPr>
        <w:t xml:space="preserve">Étape 1 : choix entre les catégories de type « wine » (Rouges, Blancs Secs, etc.) + option « Guidez-moi ».</w:t>
      </w:r>
    </w:p>
    <w:p>
      <w:pPr>
        <w:pStyle w:val="ListParagraph"/>
        <w:numPr>
          <w:ilvl w:val="0"/>
          <w:numId w:val="2"/>
        </w:numPr>
      </w:pPr>
      <w:r>
        <w:rPr>
          <w:rFonts w:ascii="Arial" w:cs="Arial" w:eastAsia="Arial" w:hAnsi="Arial"/>
          <w:sz w:val="22"/>
          <w:szCs w:val="22"/>
        </w:rPr>
        <w:t xml:space="preserve">Les catégories de type « non_alcoholic » (Jus de fruit) apparaissent dans une section séparée « Sans Alcool » de la boutique, sans wizard ni matching.</w:t>
      </w:r>
    </w:p>
    <w:p>
      <w:pPr>
        <w:pStyle w:val="ListParagraph"/>
        <w:numPr>
          <w:ilvl w:val="0"/>
          <w:numId w:val="2"/>
        </w:numPr>
      </w:pPr>
      <w:r>
        <w:rPr>
          <w:rFonts w:ascii="Arial" w:cs="Arial" w:eastAsia="Arial" w:hAnsi="Arial"/>
          <w:sz w:val="22"/>
          <w:szCs w:val="22"/>
        </w:rPr>
        <w:t xml:space="preserve">Les catégories de type « bundle » (Coffrets) apparaissent dans une section « Coffrets &amp; Découvertes ».</w:t>
      </w:r>
    </w:p>
    <w:p>
      <w:pPr>
        <w:pStyle w:val="ListParagraph"/>
        <w:numPr>
          <w:ilvl w:val="0"/>
          <w:numId w:val="2"/>
        </w:numPr>
      </w:pPr>
      <w:r>
        <w:rPr>
          <w:rFonts w:ascii="Arial" w:cs="Arial" w:eastAsia="Arial" w:hAnsi="Arial"/>
          <w:sz w:val="22"/>
          <w:szCs w:val="22"/>
        </w:rPr>
        <w:t xml:space="preserve">Les axes du graphe araignée sont lus depuis product_categories.tasting_axes — plus de hardcoding.</w:t>
      </w:r>
    </w:p>
    <w:p>
      <w:pPr>
        <w:pStyle w:val="Heading2"/>
        <w:spacing w:before="300" w:after="150"/>
      </w:pPr>
      <w:r>
        <w:rPr>
          <w:rFonts w:ascii="Arial" w:cs="Arial" w:eastAsia="Arial" w:hAnsi="Arial"/>
        </w:rPr>
        <w:t xml:space="preserve">1.6 Impact sur l'admin Catalogue (Module 11)</w:t>
      </w:r>
    </w:p>
    <w:p>
      <w:pPr>
        <w:spacing w:after="120"/>
        <w:jc w:val="left"/>
      </w:pPr>
      <w:r>
        <w:rPr>
          <w:rFonts w:ascii="Arial" w:cs="Arial" w:eastAsia="Arial" w:hAnsi="Arial"/>
          <w:sz w:val="22"/>
          <w:szCs w:val="22"/>
        </w:rPr>
        <w:t xml:space="preserve">Ajouter un sous-onglet « Catégories » dans le module Catalogue admin avec :</w:t>
      </w:r>
    </w:p>
    <w:p>
      <w:pPr>
        <w:pStyle w:val="ListParagraph"/>
        <w:numPr>
          <w:ilvl w:val="0"/>
          <w:numId w:val="2"/>
        </w:numPr>
      </w:pPr>
      <w:r>
        <w:rPr>
          <w:rFonts w:ascii="Arial" w:cs="Arial" w:eastAsia="Arial" w:hAnsi="Arial"/>
          <w:sz w:val="22"/>
          <w:szCs w:val="22"/>
        </w:rPr>
        <w:t xml:space="preserve">Liste des catégories avec drag-and-drop pour réordonner (sort_order).</w:t>
      </w:r>
    </w:p>
    <w:p>
      <w:pPr>
        <w:pStyle w:val="ListParagraph"/>
        <w:numPr>
          <w:ilvl w:val="0"/>
          <w:numId w:val="2"/>
        </w:numPr>
      </w:pPr>
      <w:r>
        <w:rPr>
          <w:rFonts w:ascii="Arial" w:cs="Arial" w:eastAsia="Arial" w:hAnsi="Arial"/>
          <w:sz w:val="22"/>
          <w:szCs w:val="22"/>
        </w:rPr>
        <w:t xml:space="preserve">Formulaire de création/édition : nom, type (wine/non_alcoholic/bundle), axes de dégustation (ajout/suppression dynamique), icône.</w:t>
      </w:r>
    </w:p>
    <w:p>
      <w:pPr>
        <w:pStyle w:val="ListParagraph"/>
        <w:numPr>
          <w:ilvl w:val="0"/>
          <w:numId w:val="2"/>
        </w:numPr>
      </w:pPr>
      <w:r>
        <w:rPr>
          <w:rFonts w:ascii="Arial" w:cs="Arial" w:eastAsia="Arial" w:hAnsi="Arial"/>
          <w:sz w:val="22"/>
          <w:szCs w:val="22"/>
        </w:rPr>
        <w:t xml:space="preserve">Indicateur du nombre de produits par catégorie.</w:t>
      </w:r>
    </w:p>
    <w:p>
      <w:pPr>
        <w:pStyle w:val="ListParagraph"/>
        <w:numPr>
          <w:ilvl w:val="0"/>
          <w:numId w:val="2"/>
        </w:numPr>
      </w:pPr>
      <w:r>
        <w:rPr>
          <w:rFonts w:ascii="Arial" w:cs="Arial" w:eastAsia="Arial" w:hAnsi="Arial"/>
          <w:sz w:val="22"/>
          <w:szCs w:val="22"/>
        </w:rPr>
        <w:t xml:space="preserve">Protection : impossible de supprimer une catégorie qui contient des produits.</w:t>
      </w:r>
    </w:p>
    <w:p>
      <w:pPr>
        <w:pStyle w:val="Heading2"/>
        <w:spacing w:before="300" w:after="150"/>
      </w:pPr>
      <w:r>
        <w:rPr>
          <w:rFonts w:ascii="Arial" w:cs="Arial" w:eastAsia="Arial" w:hAnsi="Arial"/>
        </w:rPr>
        <w:t xml:space="preserve">1.7 Données de seed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600"/>
        <w:gridCol w:w="1600"/>
        <w:gridCol w:w="2226"/>
      </w:tblGrid>
      <w:tr>
        <w:tc>
          <w:tcPr>
            <w:tcW w:type="dxa" w:w="18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name</w:t>
            </w:r>
          </w:p>
        </w:tc>
        <w:tc>
          <w:tcPr>
            <w:tcW w:type="dxa" w:w="18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slug</w:t>
            </w:r>
          </w:p>
        </w:tc>
        <w:tc>
          <w:tcPr>
            <w:tcW w:type="dxa" w:w="16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16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has_tasting_profile</w:t>
            </w:r>
          </w:p>
        </w:tc>
        <w:tc>
          <w:tcPr>
            <w:tcW w:type="dxa" w:w="22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tasting_axes</w:t>
            </w:r>
          </w:p>
        </w:tc>
      </w:tr>
      <w:tr>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Blancs Secs</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blancs-secs</w:t>
            </w:r>
          </w:p>
        </w:tc>
        <w:tc>
          <w:tcPr>
            <w:tcW w:type="dxa" w:w="16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wine</w:t>
            </w:r>
          </w:p>
        </w:tc>
        <w:tc>
          <w:tcPr>
            <w:tcW w:type="dxa" w:w="16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true</w:t>
            </w:r>
          </w:p>
        </w:tc>
        <w:tc>
          <w:tcPr>
            <w:tcW w:type="dxa" w:w="22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["Fraîcheur", "Minéralité", "Rondeur", "Acidité", "Arômes"]</w:t>
            </w:r>
          </w:p>
        </w:tc>
      </w:tr>
      <w:tr>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Blancs Moelleux</w:t>
            </w:r>
          </w:p>
        </w:tc>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blancs-moelleux</w:t>
            </w:r>
          </w:p>
        </w:tc>
        <w:tc>
          <w:tcPr>
            <w:tcW w:type="dxa" w:w="16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wine</w:t>
            </w:r>
          </w:p>
        </w:tc>
        <w:tc>
          <w:tcPr>
            <w:tcW w:type="dxa" w:w="16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true</w:t>
            </w:r>
          </w:p>
        </w:tc>
        <w:tc>
          <w:tcPr>
            <w:tcW w:type="dxa" w:w="22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["Sucrosité", "Rondeur", "Fraîcheur", "Arômes", "Longueur"]</w:t>
            </w:r>
          </w:p>
        </w:tc>
      </w:tr>
      <w:tr>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Rouges</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rouges</w:t>
            </w:r>
          </w:p>
        </w:tc>
        <w:tc>
          <w:tcPr>
            <w:tcW w:type="dxa" w:w="16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wine</w:t>
            </w:r>
          </w:p>
        </w:tc>
        <w:tc>
          <w:tcPr>
            <w:tcW w:type="dxa" w:w="16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true</w:t>
            </w:r>
          </w:p>
        </w:tc>
        <w:tc>
          <w:tcPr>
            <w:tcW w:type="dxa" w:w="22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["Tanins", "Puissance", "Rondeur", "Arômes", "Longueur"]</w:t>
            </w:r>
          </w:p>
        </w:tc>
      </w:tr>
      <w:tr>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Effervescents</w:t>
            </w:r>
          </w:p>
        </w:tc>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effervescents</w:t>
            </w:r>
          </w:p>
        </w:tc>
        <w:tc>
          <w:tcPr>
            <w:tcW w:type="dxa" w:w="16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wine</w:t>
            </w:r>
          </w:p>
        </w:tc>
        <w:tc>
          <w:tcPr>
            <w:tcW w:type="dxa" w:w="16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true</w:t>
            </w:r>
          </w:p>
        </w:tc>
        <w:tc>
          <w:tcPr>
            <w:tcW w:type="dxa" w:w="22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["Finesse bulles", "Fraîcheur", "Rondeur", "Arômes", "Dosage"]</w:t>
            </w:r>
          </w:p>
        </w:tc>
      </w:tr>
      <w:tr>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Sans Alcool</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sans-alcool</w:t>
            </w:r>
          </w:p>
        </w:tc>
        <w:tc>
          <w:tcPr>
            <w:tcW w:type="dxa" w:w="16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non_alcoholic</w:t>
            </w:r>
          </w:p>
        </w:tc>
        <w:tc>
          <w:tcPr>
            <w:tcW w:type="dxa" w:w="16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false</w:t>
            </w:r>
          </w:p>
        </w:tc>
        <w:tc>
          <w:tcPr>
            <w:tcW w:type="dxa" w:w="22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Coffrets</w:t>
            </w:r>
          </w:p>
        </w:tc>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coffrets</w:t>
            </w:r>
          </w:p>
        </w:tc>
        <w:tc>
          <w:tcPr>
            <w:tcW w:type="dxa" w:w="16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bundle</w:t>
            </w:r>
          </w:p>
        </w:tc>
        <w:tc>
          <w:tcPr>
            <w:tcW w:type="dxa" w:w="16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false</w:t>
            </w:r>
          </w:p>
        </w:tc>
        <w:tc>
          <w:tcPr>
            <w:tcW w:type="dxa" w:w="22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t>
            </w:r>
          </w:p>
        </w:tc>
      </w:tr>
    </w:tbl>
    <w:p>
      <w:r>
        <w:br w:type="page"/>
      </w:r>
    </w:p>
    <w:p>
      <w:pPr>
        <w:pStyle w:val="Heading1"/>
        <w:spacing w:before="300" w:after="150"/>
      </w:pPr>
      <w:r>
        <w:rPr>
          <w:rFonts w:ascii="Arial" w:cs="Arial" w:eastAsia="Arial" w:hAnsi="Arial"/>
        </w:rPr>
        <w:t xml:space="preserve">2. Suppression minimum commande CSE + bug cache</w:t>
      </w:r>
    </w:p>
    <w:p>
      <w:pPr>
        <w:pStyle w:val="Heading2"/>
        <w:spacing w:before="300" w:after="150"/>
      </w:pPr>
      <w:r>
        <w:rPr>
          <w:rFonts w:ascii="Arial" w:cs="Arial" w:eastAsia="Arial" w:hAnsi="Arial"/>
        </w:rPr>
        <w:t xml:space="preserve">2.1 Constat</w:t>
      </w:r>
    </w:p>
    <w:p>
      <w:pPr>
        <w:spacing w:after="120"/>
        <w:jc w:val="left"/>
      </w:pPr>
      <w:r>
        <w:rPr>
          <w:rFonts w:ascii="Arial" w:cs="Arial" w:eastAsia="Arial" w:hAnsi="Arial"/>
          <w:sz w:val="22"/>
          <w:szCs w:val="22"/>
        </w:rPr>
        <w:t xml:space="preserve">Le CDC V4.0, section 3.1, définit la pricing_rule CSE avec min_order: 200. L'échange client confirme : il n'y a PAS de minimum de commande pour les CSE. Chaque salarié commande individuellement, même pour 1-2 bouteilles. De plus, modifier la valeur à 0 dans l'admin ne se répercute pas côté boutique CSE (bug de cache ou de route).</w:t>
      </w:r>
    </w:p>
    <w:p>
      <w:pPr>
        <w:pStyle w:val="Heading2"/>
        <w:spacing w:before="300" w:after="150"/>
      </w:pPr>
      <w:r>
        <w:rPr>
          <w:rFonts w:ascii="Arial" w:cs="Arial" w:eastAsia="Arial" w:hAnsi="Arial"/>
        </w:rPr>
        <w:t xml:space="preserve">2.2 Modifications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13"/>
        <w:gridCol w:w="3513"/>
      </w:tblGrid>
      <w:tr>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Élément</w:t>
            </w:r>
          </w:p>
        </w:tc>
        <w:tc>
          <w:tcPr>
            <w:tcW w:type="dxa" w:w="3013"/>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Avant (V4.0)</w:t>
            </w:r>
          </w:p>
        </w:tc>
        <w:tc>
          <w:tcPr>
            <w:tcW w:type="dxa" w:w="3513"/>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Après (V4.1)</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pricing_rules JSONB (client_type CSE)</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 ..., min_order: 200 }</w:t>
            </w:r>
          </w:p>
        </w:tc>
        <w:tc>
          <w:tcPr>
            <w:tcW w:type="dxa" w:w="35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 ..., min_order: 0 }</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Template wizard CSE</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min_order pré-rempli à 200</w:t>
            </w:r>
          </w:p>
        </w:tc>
        <w:tc>
          <w:tcPr>
            <w:tcW w:type="dxa" w:w="35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min_order pré-rempli à 0</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Section 4.4 CDC</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"Commande minimum 200€"</w:t>
            </w:r>
          </w:p>
        </w:tc>
        <w:tc>
          <w:tcPr>
            <w:tcW w:type="dxa" w:w="35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"Pas de commande minimum"</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Section 3.1 CDC</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"min_order: 200" dans l'exemple JSONB</w:t>
            </w:r>
          </w:p>
        </w:tc>
        <w:tc>
          <w:tcPr>
            <w:tcW w:type="dxa" w:w="35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"min_order: 0" dans l'exemple JSONB</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Phase 3 description</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"commande min 200€"</w:t>
            </w:r>
          </w:p>
        </w:tc>
        <w:tc>
          <w:tcPr>
            <w:tcW w:type="dxa" w:w="35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"pas de commande minimum"</w:t>
            </w:r>
          </w:p>
        </w:tc>
      </w:tr>
    </w:tbl>
    <w:p>
      <w:pPr>
        <w:pStyle w:val="Heading2"/>
        <w:spacing w:before="300" w:after="150"/>
      </w:pPr>
      <w:r>
        <w:rPr>
          <w:rFonts w:ascii="Arial" w:cs="Arial" w:eastAsia="Arial" w:hAnsi="Arial"/>
        </w:rPr>
        <w:t xml:space="preserve">2.3 Bug à corriger</w:t>
      </w:r>
    </w:p>
    <w:p>
      <w:pPr>
        <w:spacing w:after="120"/>
        <w:jc w:val="left"/>
      </w:pPr>
      <w:r>
        <w:rPr>
          <w:rFonts w:ascii="Arial" w:cs="Arial" w:eastAsia="Arial" w:hAnsi="Arial"/>
          <w:sz w:val="22"/>
          <w:szCs w:val="22"/>
        </w:rPr>
        <w:t xml:space="preserve">Quand l'admin modifie les pricing_rules d'un client_type, le changement doit être immédiatement effectif côté boutique. Vérifier :</w:t>
      </w:r>
    </w:p>
    <w:p>
      <w:pPr>
        <w:pStyle w:val="ListParagraph"/>
        <w:numPr>
          <w:ilvl w:val="0"/>
          <w:numId w:val="3"/>
        </w:numPr>
      </w:pPr>
      <w:r>
        <w:rPr>
          <w:rFonts w:ascii="Arial" w:cs="Arial" w:eastAsia="Arial" w:hAnsi="Arial"/>
          <w:sz w:val="22"/>
          <w:szCs w:val="22"/>
        </w:rPr>
        <w:t xml:space="preserve">La route PUT /admin/client-types/:id doit invalider le cache des règles (si Redis/mémoire).</w:t>
      </w:r>
    </w:p>
    <w:p>
      <w:pPr>
        <w:pStyle w:val="ListParagraph"/>
        <w:numPr>
          <w:ilvl w:val="0"/>
          <w:numId w:val="3"/>
        </w:numPr>
      </w:pPr>
      <w:r>
        <w:rPr>
          <w:rFonts w:ascii="Arial" w:cs="Arial" w:eastAsia="Arial" w:hAnsi="Arial"/>
          <w:sz w:val="22"/>
          <w:szCs w:val="22"/>
        </w:rPr>
        <w:t xml:space="preserve">La route GET /dashboard/cse doit relire les pricing_rules depuis la base, pas depuis un cache périmé.</w:t>
      </w:r>
    </w:p>
    <w:p>
      <w:pPr>
        <w:pStyle w:val="ListParagraph"/>
        <w:numPr>
          <w:ilvl w:val="0"/>
          <w:numId w:val="3"/>
        </w:numPr>
      </w:pPr>
      <w:r>
        <w:rPr>
          <w:rFonts w:ascii="Arial" w:cs="Arial" w:eastAsia="Arial" w:hAnsi="Arial"/>
          <w:sz w:val="22"/>
          <w:szCs w:val="22"/>
        </w:rPr>
        <w:t xml:space="preserve">La route POST /orders doit valider le min_order au moment de la soumission, pas avec une valeur cachée.</w:t>
      </w:r>
    </w:p>
    <w:p>
      <w:pPr>
        <w:pStyle w:val="ListParagraph"/>
        <w:numPr>
          <w:ilvl w:val="0"/>
          <w:numId w:val="3"/>
        </w:numPr>
      </w:pPr>
      <w:r>
        <w:rPr>
          <w:rFonts w:ascii="Arial" w:cs="Arial" w:eastAsia="Arial" w:hAnsi="Arial"/>
          <w:sz w:val="22"/>
          <w:szCs w:val="22"/>
        </w:rPr>
        <w:t xml:space="preserve">Le front CSE doit refetcher les conditions à chaque chargement de page (pas de localStorage périmé).</w:t>
      </w:r>
    </w:p>
    <w:p>
      <w:r>
        <w:br w:type="page"/>
      </w:r>
    </w:p>
    <w:p>
      <w:pPr>
        <w:pStyle w:val="Heading1"/>
        <w:spacing w:before="300" w:after="150"/>
      </w:pPr>
      <w:r>
        <w:rPr>
          <w:rFonts w:ascii="Arial" w:cs="Arial" w:eastAsia="Arial" w:hAnsi="Arial"/>
        </w:rPr>
        <w:t xml:space="preserve">3. Logos paramétrables (principal + partenaires)</w:t>
      </w:r>
    </w:p>
    <w:p>
      <w:pPr>
        <w:pStyle w:val="Heading2"/>
        <w:spacing w:before="300" w:after="150"/>
      </w:pPr>
      <w:r>
        <w:rPr>
          <w:rFonts w:ascii="Arial" w:cs="Arial" w:eastAsia="Arial" w:hAnsi="Arial"/>
        </w:rPr>
        <w:t xml:space="preserve">3.1 Constat</w:t>
      </w:r>
    </w:p>
    <w:p>
      <w:pPr>
        <w:spacing w:after="120"/>
        <w:jc w:val="left"/>
      </w:pPr>
      <w:r>
        <w:rPr>
          <w:rFonts w:ascii="Arial" w:cs="Arial" w:eastAsia="Arial" w:hAnsi="Arial"/>
          <w:sz w:val="22"/>
          <w:szCs w:val="22"/>
        </w:rPr>
        <w:t xml:space="preserve">Le logo Vins &amp; Conversations est actuellement hardcodé dans le code. Il doit être paramétrable dans les réglages de l'application. De plus, chaque campagne (CSE, école, challenge) doit pouvoir afficher le logo de son partenaire.</w:t>
      </w:r>
    </w:p>
    <w:p>
      <w:pPr>
        <w:pStyle w:val="Heading2"/>
        <w:spacing w:before="300" w:after="150"/>
      </w:pPr>
      <w:r>
        <w:rPr>
          <w:rFonts w:ascii="Arial" w:cs="Arial" w:eastAsia="Arial" w:hAnsi="Arial"/>
        </w:rPr>
        <w:t xml:space="preserve">3.2 Modification — Paramètres globaux</w:t>
      </w:r>
    </w:p>
    <w:p>
      <w:pPr>
        <w:spacing w:after="120"/>
        <w:jc w:val="left"/>
      </w:pPr>
      <w:r>
        <w:rPr>
          <w:rFonts w:ascii="Arial" w:cs="Arial" w:eastAsia="Arial" w:hAnsi="Arial"/>
          <w:sz w:val="22"/>
          <w:szCs w:val="22"/>
        </w:rPr>
        <w:t xml:space="preserve">Créer une table ou un espace de configuration globale « app_settings » (si elle n'existe pas déjà)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Clé</w:t>
            </w:r>
          </w:p>
        </w:tc>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app_logo_url</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VARCHAR(500)</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Logo principal V&amp;C affiché partout (header, footer, PDF, BL, factures)</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app_name</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VARCHAR(200)</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Nom de l'application (pour les titres, emails)</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app_primary_color</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VARCHAR(7)</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Couleur principale (#722F37 par défaut)</w:t>
            </w:r>
          </w:p>
        </w:tc>
      </w:tr>
    </w:tbl>
    <w:p>
      <w:pPr>
        <w:pStyle w:val="Heading2"/>
        <w:spacing w:before="300" w:after="150"/>
      </w:pPr>
      <w:r>
        <w:rPr>
          <w:rFonts w:ascii="Arial" w:cs="Arial" w:eastAsia="Arial" w:hAnsi="Arial"/>
        </w:rPr>
        <w:t xml:space="preserve">3.3 Modification — Logo partenaire par campagne/organisation</w:t>
      </w:r>
    </w:p>
    <w:p>
      <w:pPr>
        <w:spacing w:after="120"/>
        <w:jc w:val="left"/>
      </w:pPr>
      <w:r>
        <w:rPr>
          <w:rFonts w:ascii="Arial" w:cs="Arial" w:eastAsia="Arial" w:hAnsi="Arial"/>
          <w:sz w:val="22"/>
          <w:szCs w:val="22"/>
        </w:rPr>
        <w:t xml:space="preserve">Ajouter un champ logo_url à la table organizations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500"/>
        <w:gridCol w:w="2726"/>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18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Nouveau champ</w:t>
            </w:r>
          </w:p>
        </w:tc>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7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Usage</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organizations</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logo_url</w:t>
            </w:r>
          </w:p>
        </w:tc>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VARCHAR(500) NULL</w:t>
            </w:r>
          </w:p>
        </w:tc>
        <w:tc>
          <w:tcPr>
            <w:tcW w:type="dxa" w:w="27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Logo de l'entreprise/école partenaire</w:t>
            </w:r>
          </w:p>
        </w:tc>
      </w:tr>
    </w:tbl>
    <w:p>
      <w:pPr>
        <w:spacing w:after="120"/>
        <w:jc w:val="left"/>
      </w:pPr>
      <w:r>
        <w:rPr>
          <w:rFonts w:ascii="Arial" w:cs="Arial" w:eastAsia="Arial" w:hAnsi="Arial"/>
          <w:sz w:val="22"/>
          <w:szCs w:val="22"/>
        </w:rPr>
        <w:t xml:space="preserve">Le logo partenaire est hérité par les campagnes via la relation campaign.org_id → organizations.logo_url.</w:t>
      </w:r>
    </w:p>
    <w:p>
      <w:pPr>
        <w:pStyle w:val="Heading2"/>
        <w:spacing w:before="300" w:after="150"/>
      </w:pPr>
      <w:r>
        <w:rPr>
          <w:rFonts w:ascii="Arial" w:cs="Arial" w:eastAsia="Arial" w:hAnsi="Arial"/>
        </w:rPr>
        <w:t xml:space="preserve">3.4 Propagation du logo — Cartographie complète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c>
          <w:tcPr>
            <w:tcW w:type="dxa" w:w="3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Emplacement</w:t>
            </w:r>
          </w:p>
        </w:tc>
        <w:tc>
          <w:tcPr>
            <w:tcW w:type="dxa" w:w="3013"/>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Logo V&amp;C (app_settings)</w:t>
            </w:r>
          </w:p>
        </w:tc>
        <w:tc>
          <w:tcPr>
            <w:tcW w:type="dxa" w:w="3013"/>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Logo partenaire (organizations)</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Header boutique publique</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Toujours affiché</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Footer boutique publique</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Toujours affiché</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Header boutique CSE</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Affiché à côté du logo partenaire</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Affiché en grand</w:t>
            </w:r>
          </w:p>
        </w:tc>
      </w:tr>
      <w:tr>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Header boutique école</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Affiché à côté du logo partenaire</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Affiché en grand</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Dashboard étudiant</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Header</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Badge campagne</w:t>
            </w:r>
          </w:p>
        </w:tc>
      </w:tr>
      <w:tr>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Dashboard ambassadeur</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Header</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BL (PDF)</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En-tête gauche</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En-tête droite</w:t>
            </w:r>
          </w:p>
        </w:tc>
      </w:tr>
      <w:tr>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Facture (PDF)</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En-tête gauche</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En-tête droite</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Catalogue PDF</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Couverture</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Emails / Notifications</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Header email</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Page de login</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Centré</w:t>
            </w:r>
          </w:p>
        </w:tc>
        <w:tc>
          <w:tcPr>
            <w:tcW w:type="dxa" w:w="3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w:t>
            </w:r>
          </w:p>
        </w:tc>
      </w:tr>
      <w:tr>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Wizard création campagne</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w:t>
            </w:r>
          </w:p>
        </w:tc>
        <w:tc>
          <w:tcPr>
            <w:tcW w:type="dxa" w:w="3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Étape « Identité visuelle » (upload)</w:t>
            </w:r>
          </w:p>
        </w:tc>
      </w:tr>
    </w:tbl>
    <w:p>
      <w:pPr>
        <w:pStyle w:val="Heading2"/>
        <w:spacing w:before="300" w:after="150"/>
      </w:pPr>
      <w:r>
        <w:rPr>
          <w:rFonts w:ascii="Arial" w:cs="Arial" w:eastAsia="Arial" w:hAnsi="Arial"/>
        </w:rPr>
        <w:t xml:space="preserve">3.5 Impact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3726"/>
      </w:tblGrid>
      <w:tr>
        <w:tc>
          <w:tcPr>
            <w:tcW w:type="dxa" w:w="3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8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Méthode</w:t>
            </w:r>
          </w:p>
        </w:tc>
        <w:tc>
          <w:tcPr>
            <w:tcW w:type="dxa" w:w="37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/admin/settings</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GET/PUT</w:t>
            </w:r>
          </w:p>
        </w:tc>
        <w:tc>
          <w:tcPr>
            <w:tcW w:type="dxa" w:w="37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CRUD paramètres globaux (dont logo)</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/admin/organizations/:id</w:t>
            </w:r>
          </w:p>
        </w:tc>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PUT (modifié)</w:t>
            </w:r>
          </w:p>
        </w:tc>
        <w:tc>
          <w:tcPr>
            <w:tcW w:type="dxa" w:w="37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Ajouter le champ logo_url dans le payload</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Wizard campagne</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Étape ajoutée</w:t>
            </w:r>
          </w:p>
        </w:tc>
        <w:tc>
          <w:tcPr>
            <w:tcW w:type="dxa" w:w="37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Upload logo partenaire → enregistré dans organizations.logo_url</w:t>
            </w:r>
          </w:p>
        </w:tc>
      </w:tr>
    </w:tbl>
    <w:p>
      <w:pPr>
        <w:pStyle w:val="Heading2"/>
        <w:spacing w:before="300" w:after="150"/>
      </w:pPr>
      <w:r>
        <w:rPr>
          <w:rFonts w:ascii="Arial" w:cs="Arial" w:eastAsia="Arial" w:hAnsi="Arial"/>
        </w:rPr>
        <w:t xml:space="preserve">3.6 Impact UI</w:t>
      </w:r>
    </w:p>
    <w:p>
      <w:pPr>
        <w:pStyle w:val="ListParagraph"/>
        <w:numPr>
          <w:ilvl w:val="0"/>
          <w:numId w:val="2"/>
        </w:numPr>
      </w:pPr>
      <w:r>
        <w:rPr>
          <w:rFonts w:ascii="Arial" w:cs="Arial" w:eastAsia="Arial" w:hAnsi="Arial"/>
          <w:sz w:val="22"/>
          <w:szCs w:val="22"/>
        </w:rPr>
        <w:t xml:space="preserve">Module admin « Paramètres » : section branding avec upload du logo V&amp;C + aperçu.</w:t>
      </w:r>
    </w:p>
    <w:p>
      <w:pPr>
        <w:pStyle w:val="ListParagraph"/>
        <w:numPr>
          <w:ilvl w:val="0"/>
          <w:numId w:val="2"/>
        </w:numPr>
      </w:pPr>
      <w:r>
        <w:rPr>
          <w:rFonts w:ascii="Arial" w:cs="Arial" w:eastAsia="Arial" w:hAnsi="Arial"/>
          <w:sz w:val="22"/>
          <w:szCs w:val="22"/>
        </w:rPr>
        <w:t xml:space="preserve">Wizard de création campagne : nouvelle étape « Identité visuelle » avec upload logo partenaire.</w:t>
      </w:r>
    </w:p>
    <w:p>
      <w:pPr>
        <w:pStyle w:val="ListParagraph"/>
        <w:numPr>
          <w:ilvl w:val="0"/>
          <w:numId w:val="2"/>
        </w:numPr>
      </w:pPr>
      <w:r>
        <w:rPr>
          <w:rFonts w:ascii="Arial" w:cs="Arial" w:eastAsia="Arial" w:hAnsi="Arial"/>
          <w:sz w:val="22"/>
          <w:szCs w:val="22"/>
        </w:rPr>
        <w:t xml:space="preserve">Tous les composants qui affichent un logo doivent lire depuis l'API, pas depuis un import statique.</w:t>
      </w:r>
    </w:p>
    <w:p>
      <w:r>
        <w:br w:type="page"/>
      </w:r>
    </w:p>
    <w:p>
      <w:pPr>
        <w:pStyle w:val="Heading1"/>
        <w:spacing w:before="300" w:after="150"/>
      </w:pPr>
      <w:r>
        <w:rPr>
          <w:rFonts w:ascii="Arial" w:cs="Arial" w:eastAsia="Arial" w:hAnsi="Arial"/>
        </w:rPr>
        <w:t xml:space="preserve">4. Double cagnotte étudiante + cochon tirelire</w:t>
      </w:r>
    </w:p>
    <w:p>
      <w:pPr>
        <w:pStyle w:val="Heading2"/>
        <w:spacing w:before="300" w:after="150"/>
      </w:pPr>
      <w:r>
        <w:rPr>
          <w:rFonts w:ascii="Arial" w:cs="Arial" w:eastAsia="Arial" w:hAnsi="Arial"/>
        </w:rPr>
        <w:t xml:space="preserve">4.1 Constat</w:t>
      </w:r>
    </w:p>
    <w:p>
      <w:pPr>
        <w:spacing w:after="120"/>
        <w:jc w:val="left"/>
      </w:pPr>
      <w:r>
        <w:rPr>
          <w:rFonts w:ascii="Arial" w:cs="Arial" w:eastAsia="Arial" w:hAnsi="Arial"/>
          <w:sz w:val="22"/>
          <w:szCs w:val="22"/>
        </w:rPr>
        <w:t xml:space="preserve">Le CDC V4.0 section 3.2 mentionne une commission association de 5% et une commission étudiant en bouteilles gratuites. L'échange client révèle que :</w:t>
      </w:r>
    </w:p>
    <w:p>
      <w:pPr>
        <w:pStyle w:val="ListParagraph"/>
        <w:numPr>
          <w:ilvl w:val="0"/>
          <w:numId w:val="2"/>
        </w:numPr>
      </w:pPr>
      <w:r>
        <w:rPr>
          <w:rFonts w:ascii="Arial" w:cs="Arial" w:eastAsia="Arial" w:hAnsi="Arial"/>
          <w:sz w:val="22"/>
          <w:szCs w:val="22"/>
        </w:rPr>
        <w:t xml:space="preserve">Il y a en réalité deux cagnottes distinctes visibles par l'étudiant : la cagnotte collective (association/école) et la cagnotte individuelle (carte cadeau étudiant).</w:t>
      </w:r>
    </w:p>
    <w:p>
      <w:pPr>
        <w:pStyle w:val="ListParagraph"/>
        <w:numPr>
          <w:ilvl w:val="0"/>
          <w:numId w:val="2"/>
        </w:numPr>
      </w:pPr>
      <w:r>
        <w:rPr>
          <w:rFonts w:ascii="Arial" w:cs="Arial" w:eastAsia="Arial" w:hAnsi="Arial"/>
          <w:sz w:val="22"/>
          <w:szCs w:val="22"/>
        </w:rPr>
        <w:t xml:space="preserve">La répartition est paramétrable par campagne (ex : 5%+5%, 10%+0%, 0%+10%).</w:t>
      </w:r>
    </w:p>
    <w:p>
      <w:pPr>
        <w:pStyle w:val="ListParagraph"/>
        <w:numPr>
          <w:ilvl w:val="0"/>
          <w:numId w:val="2"/>
        </w:numPr>
      </w:pPr>
      <w:r>
        <w:rPr>
          <w:rFonts w:ascii="Arial" w:cs="Arial" w:eastAsia="Arial" w:hAnsi="Arial"/>
          <w:sz w:val="22"/>
          <w:szCs w:val="22"/>
        </w:rPr>
        <w:t xml:space="preserve">Le montant carte cadeau est un affichage informatif uniquement (pas de génération de bons).</w:t>
      </w:r>
    </w:p>
    <w:p>
      <w:pPr>
        <w:pStyle w:val="ListParagraph"/>
        <w:numPr>
          <w:ilvl w:val="0"/>
          <w:numId w:val="2"/>
        </w:numPr>
      </w:pPr>
      <w:r>
        <w:rPr>
          <w:rFonts w:ascii="Arial" w:cs="Arial" w:eastAsia="Arial" w:hAnsi="Arial"/>
          <w:sz w:val="22"/>
          <w:szCs w:val="22"/>
        </w:rPr>
        <w:t xml:space="preserve">L'élément visuel de la cagnotte est un cochon tirelire qui se remplit de vin avec un effet de vague animé.</w:t>
      </w:r>
    </w:p>
    <w:p>
      <w:pPr>
        <w:pStyle w:val="Heading2"/>
        <w:spacing w:before="300" w:after="150"/>
      </w:pPr>
      <w:r>
        <w:rPr>
          <w:rFonts w:ascii="Arial" w:cs="Arial" w:eastAsia="Arial" w:hAnsi="Arial"/>
        </w:rPr>
        <w:t xml:space="preserve">4.2 Modification — commission_rules JSONB</w:t>
      </w:r>
    </w:p>
    <w:p>
      <w:pPr>
        <w:spacing w:after="120"/>
        <w:jc w:val="left"/>
      </w:pPr>
      <w:r>
        <w:rPr>
          <w:rFonts w:ascii="Arial" w:cs="Arial" w:eastAsia="Arial" w:hAnsi="Arial"/>
          <w:sz w:val="22"/>
          <w:szCs w:val="22"/>
        </w:rPr>
        <w:t xml:space="preserve">La structure commission_rules dans client_types évolue pour supporter la double cagnotte :</w:t>
      </w:r>
    </w:p>
    <w:p>
      <w:pPr>
        <w:spacing w:after="120"/>
        <w:jc w:val="left"/>
      </w:pPr>
      <w:r>
        <w:rPr>
          <w:rFonts w:ascii="Arial" w:cs="Arial" w:eastAsia="Arial" w:hAnsi="Arial"/>
          <w:b/>
          <w:bCs/>
          <w:sz w:val="22"/>
          <w:szCs w:val="22"/>
        </w:rPr>
        <w:t xml:space="preserve">Avant (V4.0) :</w:t>
      </w:r>
    </w:p>
    <w:p>
      <w:pPr>
        <w:spacing w:after="120"/>
        <w:jc w:val="left"/>
      </w:pPr>
      <w:r>
        <w:rPr>
          <w:rFonts w:ascii="Arial" w:cs="Arial" w:eastAsia="Arial" w:hAnsi="Arial"/>
          <w:sz w:val="20"/>
          <w:szCs w:val="20"/>
        </w:rPr>
        <w:t xml:space="preserve">{ "association": { "type": "percentage", "value": 5, "base": "ca_ht_campaign" }, "student": { "type": "free_bottle", "trigger": "every_12_sold" } }</w:t>
      </w:r>
    </w:p>
    <w:p>
      <w:pPr>
        <w:spacing w:after="120"/>
        <w:jc w:val="left"/>
      </w:pPr>
      <w:r>
        <w:rPr>
          <w:rFonts w:ascii="Arial" w:cs="Arial" w:eastAsia="Arial" w:hAnsi="Arial"/>
          <w:b/>
          <w:bCs/>
          <w:sz w:val="22"/>
          <w:szCs w:val="22"/>
        </w:rPr>
        <w:t xml:space="preserve">Après (V4.1) :</w:t>
      </w:r>
    </w:p>
    <w:p>
      <w:pPr>
        <w:spacing w:after="120"/>
        <w:jc w:val="left"/>
      </w:pPr>
      <w:r>
        <w:rPr>
          <w:rFonts w:ascii="Arial" w:cs="Arial" w:eastAsia="Arial" w:hAnsi="Arial"/>
          <w:sz w:val="20"/>
          <w:szCs w:val="20"/>
        </w:rPr>
        <w:t xml:space="preserve">{ "fund_collective": { "type": "percentage", "value": 5, "base": "ca_ht_campaign", "label": "Cagnotte association" }, "fund_individual": { "type": "percentage", "value": 5, "base": "ca_ht_student", "label": "Ma carte cadeau", "display_only": true }, "student_reward": { "type": "free_bottle", "trigger": "every_12_sold" } }</w:t>
      </w:r>
    </w:p>
    <w:p>
      <w:pPr>
        <w:pBdr>
          <w:left w:val="single" w:color="CC3333" w:sz="6"/>
        </w:pBdr>
        <w:spacing w:before="120" w:after="120"/>
        <w:ind w:left="200"/>
      </w:pPr>
      <w:r>
        <w:rPr>
          <w:rFonts w:ascii="Arial" w:cs="Arial" w:eastAsia="Arial" w:hAnsi="Arial"/>
          <w:i/>
          <w:iCs/>
          <w:color w:val="CC3333"/>
          <w:sz w:val="22"/>
          <w:szCs w:val="22"/>
        </w:rPr>
        <w:t xml:space="preserve">⚠️ Les deux fonds (collectif et individuel) sont indépendants de la reward bouteille gratuite. Un étudiant peut avoir : des bouteilles gratuites + un montant carte cadeau + contribuer à la cagnotte collective.</w:t>
      </w:r>
    </w:p>
    <w:p>
      <w:pPr>
        <w:pStyle w:val="Heading2"/>
        <w:spacing w:before="300" w:after="150"/>
      </w:pPr>
      <w:r>
        <w:rPr>
          <w:rFonts w:ascii="Arial" w:cs="Arial" w:eastAsia="Arial" w:hAnsi="Arial"/>
        </w:rPr>
        <w:t xml:space="preserve">4.3 Impact sur le wizard de création campagne</w:t>
      </w:r>
    </w:p>
    <w:p>
      <w:pPr>
        <w:spacing w:after="120"/>
        <w:jc w:val="left"/>
      </w:pPr>
      <w:r>
        <w:rPr>
          <w:rFonts w:ascii="Arial" w:cs="Arial" w:eastAsia="Arial" w:hAnsi="Arial"/>
          <w:sz w:val="22"/>
          <w:szCs w:val="22"/>
        </w:rPr>
        <w:t xml:space="preserve">Ajouter dans l'étape « Commissions &amp; Récompenses » du wizard :</w:t>
      </w:r>
    </w:p>
    <w:p>
      <w:pPr>
        <w:pStyle w:val="ListParagraph"/>
        <w:numPr>
          <w:ilvl w:val="0"/>
          <w:numId w:val="2"/>
        </w:numPr>
      </w:pPr>
      <w:r>
        <w:rPr>
          <w:rFonts w:ascii="Arial" w:cs="Arial" w:eastAsia="Arial" w:hAnsi="Arial"/>
          <w:sz w:val="22"/>
          <w:szCs w:val="22"/>
        </w:rPr>
        <w:t xml:space="preserve">Champ « % cagnotte collective » (défaut 5%, modifiable de 0 à 100%).</w:t>
      </w:r>
    </w:p>
    <w:p>
      <w:pPr>
        <w:pStyle w:val="ListParagraph"/>
        <w:numPr>
          <w:ilvl w:val="0"/>
          <w:numId w:val="2"/>
        </w:numPr>
      </w:pPr>
      <w:r>
        <w:rPr>
          <w:rFonts w:ascii="Arial" w:cs="Arial" w:eastAsia="Arial" w:hAnsi="Arial"/>
          <w:sz w:val="22"/>
          <w:szCs w:val="22"/>
        </w:rPr>
        <w:t xml:space="preserve">Champ « % carte cadeau étudiant » (défaut 5%, modifiable de 0 à 100%).</w:t>
      </w:r>
    </w:p>
    <w:p>
      <w:pPr>
        <w:pStyle w:val="ListParagraph"/>
        <w:numPr>
          <w:ilvl w:val="0"/>
          <w:numId w:val="2"/>
        </w:numPr>
      </w:pPr>
      <w:r>
        <w:rPr>
          <w:rFonts w:ascii="Arial" w:cs="Arial" w:eastAsia="Arial" w:hAnsi="Arial"/>
          <w:sz w:val="22"/>
          <w:szCs w:val="22"/>
        </w:rPr>
        <w:t xml:space="preserve">Champ « Label cagnotte collective » (défaut : nom de l'organisation rattachée, modifiable).</w:t>
      </w:r>
    </w:p>
    <w:p>
      <w:pPr>
        <w:pStyle w:val="ListParagraph"/>
        <w:numPr>
          <w:ilvl w:val="0"/>
          <w:numId w:val="2"/>
        </w:numPr>
      </w:pPr>
      <w:r>
        <w:rPr>
          <w:rFonts w:ascii="Arial" w:cs="Arial" w:eastAsia="Arial" w:hAnsi="Arial"/>
          <w:sz w:val="22"/>
          <w:szCs w:val="22"/>
        </w:rPr>
        <w:t xml:space="preserve">Validation : total ≤ 100%. Alerte si total &gt; 15% (marges potentiellement insuffisantes).</w:t>
      </w:r>
    </w:p>
    <w:p>
      <w:pPr>
        <w:pStyle w:val="Heading2"/>
        <w:spacing w:before="300" w:after="150"/>
      </w:pPr>
      <w:r>
        <w:rPr>
          <w:rFonts w:ascii="Arial" w:cs="Arial" w:eastAsia="Arial" w:hAnsi="Arial"/>
        </w:rPr>
        <w:t xml:space="preserve">4.4 Impact sur le dashboard étudiant (section 4.2 CDC)</w:t>
      </w:r>
    </w:p>
    <w:p>
      <w:pPr>
        <w:spacing w:after="120"/>
        <w:jc w:val="left"/>
      </w:pPr>
      <w:r>
        <w:rPr>
          <w:rFonts w:ascii="Arial" w:cs="Arial" w:eastAsia="Arial" w:hAnsi="Arial"/>
          <w:sz w:val="22"/>
          <w:szCs w:val="22"/>
        </w:rPr>
        <w:t xml:space="preserve">L'onglet « Accueil » du dashboard étudiant est modifié. Remplacement de la simple barre de progression par deux composants cochon tirelire :</w:t>
      </w:r>
    </w:p>
    <w:p>
      <w:pPr>
        <w:pStyle w:val="ListParagraph"/>
        <w:numPr>
          <w:ilvl w:val="0"/>
          <w:numId w:val="2"/>
        </w:numPr>
      </w:pPr>
      <w:r>
        <w:rPr>
          <w:rFonts w:ascii="Arial" w:cs="Arial" w:eastAsia="Arial" w:hAnsi="Arial"/>
          <w:sz w:val="22"/>
          <w:szCs w:val="22"/>
        </w:rPr>
        <w:t xml:space="preserve">Cochon tirelire 1 (gauche) : « Cagnotte [nom association] ». Remplissage = CA HT campagne × % collectif / objectif campagne. Couleur vin : bordeaux.</w:t>
      </w:r>
    </w:p>
    <w:p>
      <w:pPr>
        <w:pStyle w:val="ListParagraph"/>
        <w:numPr>
          <w:ilvl w:val="0"/>
          <w:numId w:val="2"/>
        </w:numPr>
      </w:pPr>
      <w:r>
        <w:rPr>
          <w:rFonts w:ascii="Arial" w:cs="Arial" w:eastAsia="Arial" w:hAnsi="Arial"/>
          <w:sz w:val="22"/>
          <w:szCs w:val="22"/>
        </w:rPr>
        <w:t xml:space="preserve">Cochon tirelire 2 (droite) : « Ma carte cadeau ». Remplissage = CA HT personnel × % individuel / montant max (à définir ou plafond libre). Couleur vin : doré.</w:t>
      </w:r>
    </w:p>
    <w:p>
      <w:pPr>
        <w:pStyle w:val="ListParagraph"/>
        <w:numPr>
          <w:ilvl w:val="0"/>
          <w:numId w:val="2"/>
        </w:numPr>
      </w:pPr>
      <w:r>
        <w:rPr>
          <w:rFonts w:ascii="Arial" w:cs="Arial" w:eastAsia="Arial" w:hAnsi="Arial"/>
          <w:sz w:val="22"/>
          <w:szCs w:val="22"/>
        </w:rPr>
        <w:t xml:space="preserve">Sous chaque cochon : montant en € et pourcentage. Ex : « 450€ collectés » / « 55€ carte cadeau ».</w:t>
      </w:r>
    </w:p>
    <w:p>
      <w:pPr>
        <w:pStyle w:val="ListParagraph"/>
        <w:numPr>
          <w:ilvl w:val="0"/>
          <w:numId w:val="2"/>
        </w:numPr>
      </w:pPr>
      <w:r>
        <w:rPr>
          <w:rFonts w:ascii="Arial" w:cs="Arial" w:eastAsia="Arial" w:hAnsi="Arial"/>
          <w:sz w:val="22"/>
          <w:szCs w:val="22"/>
        </w:rPr>
        <w:t xml:space="preserve">Si l'un des deux % est à 0 dans la campagne, le cochon correspondant ne s'affiche pas.</w:t>
      </w:r>
    </w:p>
    <w:p>
      <w:pPr>
        <w:pStyle w:val="Heading2"/>
        <w:spacing w:before="300" w:after="150"/>
      </w:pPr>
      <w:r>
        <w:rPr>
          <w:rFonts w:ascii="Arial" w:cs="Arial" w:eastAsia="Arial" w:hAnsi="Arial"/>
        </w:rPr>
        <w:t xml:space="preserve">4.5 Composant React — WinePiggyBank</w:t>
      </w:r>
    </w:p>
    <w:p>
      <w:pPr>
        <w:spacing w:after="120"/>
        <w:jc w:val="left"/>
      </w:pPr>
      <w:r>
        <w:rPr>
          <w:rFonts w:ascii="Arial" w:cs="Arial" w:eastAsia="Arial" w:hAnsi="Arial"/>
          <w:sz w:val="22"/>
          <w:szCs w:val="22"/>
        </w:rPr>
        <w:t xml:space="preserve">Composant SVG animé réutilisable. Props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Prop</w:t>
            </w:r>
          </w:p>
        </w:tc>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fillPercent</w:t>
            </w:r>
          </w:p>
        </w:tc>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number (0-100)</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Niveau de remplissage du vin dans le cochon</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label</w:t>
            </w:r>
          </w:p>
        </w:tc>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string</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Texte sous le cochon (ex : « Cagnotte Rêve »)</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amount</w:t>
            </w:r>
          </w:p>
        </w:tc>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string</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Montant affiché (ex : « 450€ »)</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color</w:t>
            </w:r>
          </w:p>
        </w:tc>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string</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Couleur du vin (bordeaux #722F37 ou doré #C4A35A)</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animated</w:t>
            </w:r>
          </w:p>
        </w:tc>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boolean</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Active/désactive l'ondulation du vin</w:t>
            </w:r>
          </w:p>
        </w:tc>
      </w:tr>
    </w:tbl>
    <w:p>
      <w:pPr>
        <w:spacing w:after="120"/>
        <w:jc w:val="left"/>
      </w:pPr>
      <w:r>
        <w:rPr>
          <w:rFonts w:ascii="Arial" w:cs="Arial" w:eastAsia="Arial" w:hAnsi="Arial"/>
          <w:sz w:val="22"/>
          <w:szCs w:val="22"/>
        </w:rPr>
        <w:t xml:space="preserve">Technique : SVG avec clipPath en forme de cochon. Le liquide est un rectangle positionné selon fillPercent avec un path ondulé animé en CSS (@keyframes). L'animation de vague utilise une sinusoïde déplacée horizontalement en boucle.</w:t>
      </w:r>
    </w:p>
    <w:p>
      <w:pPr>
        <w:pBdr>
          <w:left w:val="single" w:color="2980B9" w:sz="6"/>
        </w:pBdr>
        <w:spacing w:before="120" w:after="120"/>
        <w:ind w:left="200"/>
      </w:pPr>
      <w:r>
        <w:rPr>
          <w:rFonts w:ascii="Arial" w:cs="Arial" w:eastAsia="Arial" w:hAnsi="Arial"/>
          <w:i/>
          <w:iCs/>
          <w:color w:val="2980B9"/>
          <w:sz w:val="22"/>
          <w:szCs w:val="22"/>
        </w:rPr>
        <w:t xml:space="preserve">⚠️ La page de login NE CHANGE PAS. Le cochon tirelire n'est utilisé que sur le dashboard étudiant.</w:t>
      </w:r>
    </w:p>
    <w:p>
      <w:pPr>
        <w:pStyle w:val="Heading2"/>
        <w:spacing w:before="300" w:after="150"/>
      </w:pPr>
      <w:r>
        <w:rPr>
          <w:rFonts w:ascii="Arial" w:cs="Arial" w:eastAsia="Arial" w:hAnsi="Arial"/>
        </w:rPr>
        <w:t xml:space="preserve">4.6 Impact sur l'endpoint /dashboard/student</w:t>
      </w:r>
    </w:p>
    <w:p>
      <w:pPr>
        <w:spacing w:after="120"/>
        <w:jc w:val="left"/>
      </w:pPr>
      <w:r>
        <w:rPr>
          <w:rFonts w:ascii="Arial" w:cs="Arial" w:eastAsia="Arial" w:hAnsi="Arial"/>
          <w:sz w:val="22"/>
          <w:szCs w:val="22"/>
        </w:rPr>
        <w:t xml:space="preserve">Le endpoint GET /dashboard/student retourne deux champs supplémentaires :</w:t>
      </w:r>
    </w:p>
    <w:p>
      <w:pPr>
        <w:spacing w:after="120"/>
        <w:jc w:val="left"/>
      </w:pPr>
      <w:r>
        <w:rPr>
          <w:rFonts w:ascii="Arial" w:cs="Arial" w:eastAsia="Arial" w:hAnsi="Arial"/>
          <w:sz w:val="20"/>
          <w:szCs w:val="20"/>
        </w:rPr>
        <w:t xml:space="preserve">{ ..., "fund_collective": { "label": "Cagnotte Rêve", "amount": 450.00, "percent": 36, "target": 1250.00 }, "fund_individual": { "label": "Ma carte cadeau", "amount": 55.00, "percent": 100, "display_only": true } }</w:t>
      </w:r>
    </w:p>
    <w:p>
      <w:pPr>
        <w:pStyle w:val="Heading2"/>
        <w:spacing w:before="300" w:after="150"/>
      </w:pPr>
      <w:r>
        <w:rPr>
          <w:rFonts w:ascii="Arial" w:cs="Arial" w:eastAsia="Arial" w:hAnsi="Arial"/>
        </w:rPr>
        <w:t xml:space="preserve">4.7 Impact sur le dashboard enseignant</w:t>
      </w:r>
    </w:p>
    <w:p>
      <w:pPr>
        <w:pBdr>
          <w:left w:val="single" w:color="CC3333" w:sz="6"/>
        </w:pBdr>
        <w:spacing w:before="120" w:after="120"/>
        <w:ind w:left="200"/>
      </w:pPr>
      <w:r>
        <w:rPr>
          <w:rFonts w:ascii="Arial" w:cs="Arial" w:eastAsia="Arial" w:hAnsi="Arial"/>
          <w:i/>
          <w:iCs/>
          <w:color w:val="CC3333"/>
          <w:sz w:val="22"/>
          <w:szCs w:val="22"/>
        </w:rPr>
        <w:t xml:space="preserve">⚠️ Rappel section 4.6 CDC : l'enseignant ne voit AUCUN montant en €. Le dashboard enseignant affiche la cagnotte collective en % d'avancement uniquement (sans montant €). La cagnotte individuelle n'est PAS visible par l'enseignant.</w:t>
      </w:r>
    </w:p>
    <w:p>
      <w:pPr>
        <w:pStyle w:val="Heading2"/>
        <w:spacing w:before="300" w:after="150"/>
      </w:pPr>
      <w:r>
        <w:rPr>
          <w:rFonts w:ascii="Arial" w:cs="Arial" w:eastAsia="Arial" w:hAnsi="Arial"/>
        </w:rPr>
        <w:t xml:space="preserve">4.8 Impact sur les exports</w:t>
      </w:r>
    </w:p>
    <w:p>
      <w:pPr>
        <w:spacing w:after="120"/>
        <w:jc w:val="left"/>
      </w:pPr>
      <w:r>
        <w:rPr>
          <w:rFonts w:ascii="Arial" w:cs="Arial" w:eastAsia="Arial" w:hAnsi="Arial"/>
          <w:sz w:val="22"/>
          <w:szCs w:val="22"/>
        </w:rPr>
        <w:t xml:space="preserve">L'export « Récap commissions » (section Module 15) doit intégrer les deux lignes : commission collective + commission individuelle par campagne et par étudiant.</w:t>
      </w:r>
    </w:p>
    <w:p>
      <w:r>
        <w:br w:type="page"/>
      </w:r>
    </w:p>
    <w:p>
      <w:pPr>
        <w:pStyle w:val="Heading1"/>
        <w:spacing w:before="300" w:after="150"/>
      </w:pPr>
      <w:r>
        <w:rPr>
          <w:rFonts w:ascii="Arial" w:cs="Arial" w:eastAsia="Arial" w:hAnsi="Arial"/>
        </w:rPr>
        <w:t xml:space="preserve">5. Lien de partage étudiant (referral)</w:t>
      </w:r>
    </w:p>
    <w:p>
      <w:pPr>
        <w:pStyle w:val="Heading2"/>
        <w:spacing w:before="300" w:after="150"/>
      </w:pPr>
      <w:r>
        <w:rPr>
          <w:rFonts w:ascii="Arial" w:cs="Arial" w:eastAsia="Arial" w:hAnsi="Arial"/>
        </w:rPr>
        <w:t xml:space="preserve">5.1 Constat</w:t>
      </w:r>
    </w:p>
    <w:p>
      <w:pPr>
        <w:spacing w:after="120"/>
        <w:jc w:val="left"/>
      </w:pPr>
      <w:r>
        <w:rPr>
          <w:rFonts w:ascii="Arial" w:cs="Arial" w:eastAsia="Arial" w:hAnsi="Arial"/>
          <w:sz w:val="22"/>
          <w:szCs w:val="22"/>
        </w:rPr>
        <w:t xml:space="preserve">Nicolas demande que les étudiants puissent partager un lien vers leur boutique. L'entourage (parents, voisins) clique, arrive sur la boutique, passe commande et paie. Le CA est attribué à l'étudiant qui a partagé.</w:t>
      </w:r>
    </w:p>
    <w:p>
      <w:pPr>
        <w:spacing w:after="120"/>
        <w:jc w:val="left"/>
      </w:pPr>
      <w:r>
        <w:rPr>
          <w:rFonts w:ascii="Arial" w:cs="Arial" w:eastAsia="Arial" w:hAnsi="Arial"/>
          <w:sz w:val="22"/>
          <w:szCs w:val="22"/>
        </w:rPr>
        <w:t xml:space="preserve">Ce mécanisme est similaire au lien de parrainage ambassadeur (section 4.5 CDC) mais appliqué aux étudiants. Mutualiser la logique.</w:t>
      </w:r>
    </w:p>
    <w:p>
      <w:pPr>
        <w:pStyle w:val="Heading2"/>
        <w:spacing w:before="300" w:after="150"/>
      </w:pPr>
      <w:r>
        <w:rPr>
          <w:rFonts w:ascii="Arial" w:cs="Arial" w:eastAsia="Arial" w:hAnsi="Arial"/>
        </w:rPr>
        <w:t xml:space="preserve">5.2 Modification — Table participations</w:t>
      </w:r>
    </w:p>
    <w:p>
      <w:pPr>
        <w:spacing w:after="120"/>
        <w:jc w:val="left"/>
      </w:pPr>
      <w:r>
        <w:rPr>
          <w:rFonts w:ascii="Arial" w:cs="Arial" w:eastAsia="Arial" w:hAnsi="Arial"/>
          <w:sz w:val="22"/>
          <w:szCs w:val="22"/>
        </w:rPr>
        <w:t xml:space="preserve">Ajouter un champ referral_code à la table participations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026"/>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18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Nouveau champ</w:t>
            </w:r>
          </w:p>
        </w:tc>
        <w:tc>
          <w:tcPr>
            <w:tcW w:type="dxa" w:w="22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0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participations</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referral_code</w:t>
            </w:r>
          </w:p>
        </w:tc>
        <w:tc>
          <w:tcPr>
            <w:tcW w:type="dxa" w:w="2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VARCHAR(20) UNIQUE</w:t>
            </w:r>
          </w:p>
        </w:tc>
        <w:tc>
          <w:tcPr>
            <w:tcW w:type="dxa" w:w="3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Code unique généré automatiquement à l'inscription</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participations</w:t>
            </w:r>
          </w:p>
        </w:tc>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referral_url</w:t>
            </w:r>
          </w:p>
        </w:tc>
        <w:tc>
          <w:tcPr>
            <w:tcW w:type="dxa" w:w="2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COMPUTED</w:t>
            </w:r>
          </w:p>
        </w:tc>
        <w:tc>
          <w:tcPr>
            <w:tcW w:type="dxa" w:w="3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URL = {base_url}/shop/{campaign_slug}?ref={referral_code}</w:t>
            </w:r>
          </w:p>
        </w:tc>
      </w:tr>
    </w:tbl>
    <w:p>
      <w:pPr>
        <w:pStyle w:val="Heading2"/>
        <w:spacing w:before="300" w:after="150"/>
      </w:pPr>
      <w:r>
        <w:rPr>
          <w:rFonts w:ascii="Arial" w:cs="Arial" w:eastAsia="Arial" w:hAnsi="Arial"/>
        </w:rPr>
        <w:t xml:space="preserve">5.3 Modification — Table orders</w:t>
      </w:r>
    </w:p>
    <w:p>
      <w:pPr>
        <w:spacing w:after="120"/>
        <w:jc w:val="left"/>
      </w:pPr>
      <w:r>
        <w:rPr>
          <w:rFonts w:ascii="Arial" w:cs="Arial" w:eastAsia="Arial" w:hAnsi="Arial"/>
          <w:sz w:val="22"/>
          <w:szCs w:val="22"/>
        </w:rPr>
        <w:t xml:space="preserve">Ajouter un champ pour tracer l'attribution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2526"/>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Nouveau champ</w:t>
            </w:r>
          </w:p>
        </w:tc>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2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orders</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referred_by</w:t>
            </w:r>
          </w:p>
        </w:tc>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INTEGER NULL FK → users.id</w:t>
            </w:r>
          </w:p>
        </w:tc>
        <w:tc>
          <w:tcPr>
            <w:tcW w:type="dxa" w:w="2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L'étudiant/ambassadeur dont le lien a généré la commande</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orders</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referral_code_used</w:t>
            </w:r>
          </w:p>
        </w:tc>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VARCHAR(20) NULL</w:t>
            </w:r>
          </w:p>
        </w:tc>
        <w:tc>
          <w:tcPr>
            <w:tcW w:type="dxa" w:w="2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Le code de parrainage utilisé (pour audit)</w:t>
            </w:r>
          </w:p>
        </w:tc>
      </w:tr>
    </w:tbl>
    <w:p>
      <w:pPr>
        <w:pStyle w:val="Heading2"/>
        <w:spacing w:before="300" w:after="150"/>
      </w:pPr>
      <w:r>
        <w:rPr>
          <w:rFonts w:ascii="Arial" w:cs="Arial" w:eastAsia="Arial" w:hAnsi="Arial"/>
        </w:rPr>
        <w:t xml:space="preserve">5.4 Parcours UX complet</w:t>
      </w:r>
    </w:p>
    <w:p>
      <w:pPr>
        <w:pStyle w:val="ListParagraph"/>
        <w:numPr>
          <w:ilvl w:val="0"/>
          <w:numId w:val="3"/>
        </w:numPr>
      </w:pPr>
      <w:r>
        <w:rPr>
          <w:rFonts w:ascii="Arial" w:cs="Arial" w:eastAsia="Arial" w:hAnsi="Arial"/>
          <w:sz w:val="22"/>
          <w:szCs w:val="22"/>
        </w:rPr>
        <w:t xml:space="preserve">L'étudiant va dans son profil → section « Partager ma boutique » → voit son lien unique + QR code + bouton copier.</w:t>
      </w:r>
    </w:p>
    <w:p>
      <w:pPr>
        <w:pStyle w:val="ListParagraph"/>
        <w:numPr>
          <w:ilvl w:val="0"/>
          <w:numId w:val="3"/>
        </w:numPr>
      </w:pPr>
      <w:r>
        <w:rPr>
          <w:rFonts w:ascii="Arial" w:cs="Arial" w:eastAsia="Arial" w:hAnsi="Arial"/>
          <w:sz w:val="22"/>
          <w:szCs w:val="22"/>
        </w:rPr>
        <w:t xml:space="preserve">L'étudiant partage le lien (SMS, WhatsApp, email).</w:t>
      </w:r>
    </w:p>
    <w:p>
      <w:pPr>
        <w:pStyle w:val="ListParagraph"/>
        <w:numPr>
          <w:ilvl w:val="0"/>
          <w:numId w:val="3"/>
        </w:numPr>
      </w:pPr>
      <w:r>
        <w:rPr>
          <w:rFonts w:ascii="Arial" w:cs="Arial" w:eastAsia="Arial" w:hAnsi="Arial"/>
          <w:sz w:val="22"/>
          <w:szCs w:val="22"/>
        </w:rPr>
        <w:t xml:space="preserve">Le client externe clique → arrive sur la boutique de la campagne avec le ref= en paramètre.</w:t>
      </w:r>
    </w:p>
    <w:p>
      <w:pPr>
        <w:pStyle w:val="ListParagraph"/>
        <w:numPr>
          <w:ilvl w:val="0"/>
          <w:numId w:val="3"/>
        </w:numPr>
      </w:pPr>
      <w:r>
        <w:rPr>
          <w:rFonts w:ascii="Arial" w:cs="Arial" w:eastAsia="Arial" w:hAnsi="Arial"/>
          <w:sz w:val="22"/>
          <w:szCs w:val="22"/>
        </w:rPr>
        <w:t xml:space="preserve">Le client crée un compte léger (nom, email, téléphone, adresse) — PAS de mot de passe complexe, compte client simplifié.</w:t>
      </w:r>
    </w:p>
    <w:p>
      <w:pPr>
        <w:pStyle w:val="ListParagraph"/>
        <w:numPr>
          <w:ilvl w:val="0"/>
          <w:numId w:val="3"/>
        </w:numPr>
      </w:pPr>
      <w:r>
        <w:rPr>
          <w:rFonts w:ascii="Arial" w:cs="Arial" w:eastAsia="Arial" w:hAnsi="Arial"/>
          <w:sz w:val="22"/>
          <w:szCs w:val="22"/>
        </w:rPr>
        <w:t xml:space="preserve">Le client passe commande et paie par CB (Stripe).</w:t>
      </w:r>
    </w:p>
    <w:p>
      <w:pPr>
        <w:pStyle w:val="ListParagraph"/>
        <w:numPr>
          <w:ilvl w:val="0"/>
          <w:numId w:val="3"/>
        </w:numPr>
      </w:pPr>
      <w:r>
        <w:rPr>
          <w:rFonts w:ascii="Arial" w:cs="Arial" w:eastAsia="Arial" w:hAnsi="Arial"/>
          <w:sz w:val="22"/>
          <w:szCs w:val="22"/>
        </w:rPr>
        <w:t xml:space="preserve">La commande est enregistrée avec referred_by = étudiant.id.</w:t>
      </w:r>
    </w:p>
    <w:p>
      <w:pPr>
        <w:pStyle w:val="ListParagraph"/>
        <w:numPr>
          <w:ilvl w:val="0"/>
          <w:numId w:val="3"/>
        </w:numPr>
      </w:pPr>
      <w:r>
        <w:rPr>
          <w:rFonts w:ascii="Arial" w:cs="Arial" w:eastAsia="Arial" w:hAnsi="Arial"/>
          <w:sz w:val="22"/>
          <w:szCs w:val="22"/>
        </w:rPr>
        <w:t xml:space="preserve">Le CA de la commande est attribué à l'étudiant dans les calculs (classement, cagnottes, bouteilles gratuites).</w:t>
      </w:r>
    </w:p>
    <w:p>
      <w:pPr>
        <w:pStyle w:val="ListParagraph"/>
        <w:numPr>
          <w:ilvl w:val="0"/>
          <w:numId w:val="3"/>
        </w:numPr>
      </w:pPr>
      <w:r>
        <w:rPr>
          <w:rFonts w:ascii="Arial" w:cs="Arial" w:eastAsia="Arial" w:hAnsi="Arial"/>
          <w:sz w:val="22"/>
          <w:szCs w:val="22"/>
        </w:rPr>
        <w:t xml:space="preserve">L'étudiant voit sur son dashboard : ses commandes directes + les commandes référées (distinguées visuellement).</w:t>
      </w:r>
    </w:p>
    <w:p>
      <w:pPr>
        <w:pStyle w:val="Heading2"/>
        <w:spacing w:before="300" w:after="150"/>
      </w:pPr>
      <w:r>
        <w:rPr>
          <w:rFonts w:ascii="Arial" w:cs="Arial" w:eastAsia="Arial" w:hAnsi="Arial"/>
        </w:rPr>
        <w:t xml:space="preserve">5.5 Impact sur le dashboard étudiant</w:t>
      </w:r>
    </w:p>
    <w:p>
      <w:pPr>
        <w:pStyle w:val="ListParagraph"/>
        <w:numPr>
          <w:ilvl w:val="0"/>
          <w:numId w:val="2"/>
        </w:numPr>
      </w:pPr>
      <w:r>
        <w:rPr>
          <w:rFonts w:ascii="Arial" w:cs="Arial" w:eastAsia="Arial" w:hAnsi="Arial"/>
          <w:sz w:val="22"/>
          <w:szCs w:val="22"/>
        </w:rPr>
        <w:t xml:space="preserve">Nouvel onglet ou section dans Profil : « Ma boutique partagée » avec lien, QR code, stats (clics, commandes, CA généré).</w:t>
      </w:r>
    </w:p>
    <w:p>
      <w:pPr>
        <w:pStyle w:val="ListParagraph"/>
        <w:numPr>
          <w:ilvl w:val="0"/>
          <w:numId w:val="2"/>
        </w:numPr>
      </w:pPr>
      <w:r>
        <w:rPr>
          <w:rFonts w:ascii="Arial" w:cs="Arial" w:eastAsia="Arial" w:hAnsi="Arial"/>
          <w:sz w:val="22"/>
          <w:szCs w:val="22"/>
        </w:rPr>
        <w:t xml:space="preserve">Dans l'historique commandes : distinguer « Mes commandes » vs « Commandes de mon réseau » avec une icône ou un tag.</w:t>
      </w:r>
    </w:p>
    <w:p>
      <w:pPr>
        <w:pStyle w:val="ListParagraph"/>
        <w:numPr>
          <w:ilvl w:val="0"/>
          <w:numId w:val="2"/>
        </w:numPr>
      </w:pPr>
      <w:r>
        <w:rPr>
          <w:rFonts w:ascii="Arial" w:cs="Arial" w:eastAsia="Arial" w:hAnsi="Arial"/>
          <w:sz w:val="22"/>
          <w:szCs w:val="22"/>
        </w:rPr>
        <w:t xml:space="preserve">Le CA total = commandes directes + commandes référées.</w:t>
      </w:r>
    </w:p>
    <w:p>
      <w:pPr>
        <w:pStyle w:val="Heading2"/>
        <w:spacing w:before="300" w:after="150"/>
      </w:pPr>
      <w:r>
        <w:rPr>
          <w:rFonts w:ascii="Arial" w:cs="Arial" w:eastAsia="Arial" w:hAnsi="Arial"/>
        </w:rPr>
        <w:t xml:space="preserve">5.6 Impact sur le classement</w:t>
      </w:r>
    </w:p>
    <w:p>
      <w:pPr>
        <w:pBdr>
          <w:left w:val="single" w:color="2980B9" w:sz="6"/>
        </w:pBdr>
        <w:spacing w:before="120" w:after="120"/>
        <w:ind w:left="200"/>
      </w:pPr>
      <w:r>
        <w:rPr>
          <w:rFonts w:ascii="Arial" w:cs="Arial" w:eastAsia="Arial" w:hAnsi="Arial"/>
          <w:i/>
          <w:iCs/>
          <w:color w:val="2980B9"/>
          <w:sz w:val="22"/>
          <w:szCs w:val="22"/>
        </w:rPr>
        <w:t xml:space="preserve">⚠️ Le CA des commandes référées compte dans le classement de l'étudiant. Un étudiant qui a un bon réseau peut monter au classement sans vendre directement. C'est voulu et cohérent avec le modèle ambassadeur.</w:t>
      </w:r>
    </w:p>
    <w:p>
      <w:pPr>
        <w:pStyle w:val="Heading2"/>
        <w:spacing w:before="300" w:after="150"/>
      </w:pPr>
      <w:r>
        <w:rPr>
          <w:rFonts w:ascii="Arial" w:cs="Arial" w:eastAsia="Arial" w:hAnsi="Arial"/>
        </w:rPr>
        <w:t xml:space="preserve">5.7 Impact CRM</w:t>
      </w:r>
    </w:p>
    <w:p>
      <w:pPr>
        <w:spacing w:after="120"/>
        <w:jc w:val="left"/>
      </w:pPr>
      <w:r>
        <w:rPr>
          <w:rFonts w:ascii="Arial" w:cs="Arial" w:eastAsia="Arial" w:hAnsi="Arial"/>
          <w:sz w:val="22"/>
          <w:szCs w:val="22"/>
        </w:rPr>
        <w:t xml:space="preserve">Chaque client externe qui commande via un lien de parrainage est automatiquement créé dans la table contacts avec source = « referral:{student_name} ». Cela alimente le CRM pour les campagnes futures.</w:t>
      </w:r>
    </w:p>
    <w:p>
      <w:pPr>
        <w:pStyle w:val="Heading2"/>
        <w:spacing w:before="300" w:after="150"/>
      </w:pPr>
      <w:r>
        <w:rPr>
          <w:rFonts w:ascii="Arial" w:cs="Arial" w:eastAsia="Arial" w:hAnsi="Arial"/>
        </w:rPr>
        <w:t xml:space="preserve">5.8 Nouveaux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4826"/>
      </w:tblGrid>
      <w:tr>
        <w:tc>
          <w:tcPr>
            <w:tcW w:type="dxa" w:w="3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2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Méthode</w:t>
            </w:r>
          </w:p>
        </w:tc>
        <w:tc>
          <w:tcPr>
            <w:tcW w:type="dxa" w:w="48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/shop/:campaign_slug</w:t>
            </w:r>
          </w:p>
        </w:tc>
        <w:tc>
          <w:tcPr>
            <w:tcW w:type="dxa" w:w="1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8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Boutique publique d'une campagne (accepte ?ref=)</w:t>
            </w:r>
          </w:p>
        </w:tc>
      </w:tr>
      <w:tr>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/shop/register</w:t>
            </w:r>
          </w:p>
        </w:tc>
        <w:tc>
          <w:tcPr>
            <w:tcW w:type="dxa" w:w="1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POST</w:t>
            </w:r>
          </w:p>
        </w:tc>
        <w:tc>
          <w:tcPr>
            <w:tcW w:type="dxa" w:w="48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Inscription client léger (nom, email, tel, adresse)</w:t>
            </w:r>
          </w:p>
        </w:tc>
      </w:tr>
      <w:tr>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/referral/stats</w:t>
            </w:r>
          </w:p>
        </w:tc>
        <w:tc>
          <w:tcPr>
            <w:tcW w:type="dxa" w:w="1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w:t>
            </w:r>
          </w:p>
        </w:tc>
        <w:tc>
          <w:tcPr>
            <w:tcW w:type="dxa" w:w="48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Stats de parrainage pour l'utilisateur connecté</w:t>
            </w:r>
          </w:p>
        </w:tc>
      </w:tr>
    </w:tbl>
    <w:p>
      <w:r>
        <w:br w:type="page"/>
      </w:r>
    </w:p>
    <w:p>
      <w:pPr>
        <w:pStyle w:val="Heading1"/>
        <w:spacing w:before="300" w:after="150"/>
      </w:pPr>
      <w:r>
        <w:rPr>
          <w:rFonts w:ascii="Arial" w:cs="Arial" w:eastAsia="Arial" w:hAnsi="Arial"/>
        </w:rPr>
        <w:t xml:space="preserve">6. Grille tarifaire transport</w:t>
      </w:r>
    </w:p>
    <w:p>
      <w:pPr>
        <w:pStyle w:val="Heading2"/>
        <w:spacing w:before="300" w:after="150"/>
      </w:pPr>
      <w:r>
        <w:rPr>
          <w:rFonts w:ascii="Arial" w:cs="Arial" w:eastAsia="Arial" w:hAnsi="Arial"/>
        </w:rPr>
        <w:t xml:space="preserve">6.1 Constat</w:t>
      </w:r>
    </w:p>
    <w:p>
      <w:pPr>
        <w:spacing w:after="120"/>
        <w:jc w:val="left"/>
      </w:pPr>
      <w:r>
        <w:rPr>
          <w:rFonts w:ascii="Arial" w:cs="Arial" w:eastAsia="Arial" w:hAnsi="Arial"/>
          <w:sz w:val="22"/>
          <w:szCs w:val="22"/>
        </w:rPr>
        <w:t xml:space="preserve">Nicolas gère actuellement les frais de livraison manuellement avec un fichier Excel du transporteur, par département et par tranche de bouteilles. Il faut intégrer ce calcul dans l'application pour l'automatiser à la commande.</w:t>
      </w:r>
    </w:p>
    <w:p>
      <w:pPr>
        <w:pStyle w:val="Heading2"/>
        <w:spacing w:before="300" w:after="150"/>
      </w:pPr>
      <w:r>
        <w:rPr>
          <w:rFonts w:ascii="Arial" w:cs="Arial" w:eastAsia="Arial" w:hAnsi="Arial"/>
        </w:rPr>
        <w:t xml:space="preserve">6.2 Nouvelles tables</w:t>
      </w:r>
    </w:p>
    <w:p>
      <w:pPr>
        <w:spacing w:after="120"/>
        <w:jc w:val="left"/>
      </w:pPr>
      <w:r>
        <w:rPr>
          <w:rFonts w:ascii="Arial" w:cs="Arial" w:eastAsia="Arial" w:hAnsi="Arial"/>
          <w:sz w:val="22"/>
          <w:szCs w:val="22"/>
        </w:rPr>
        <w:t xml:space="preserve">Table shipping_zones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Colonne</w:t>
            </w:r>
          </w:p>
        </w:tc>
        <w:tc>
          <w:tcPr>
            <w:tcW w:type="dxa" w:w="3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w:t>
            </w:r>
          </w:p>
        </w:tc>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Identifiant unique</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code</w:t>
            </w:r>
          </w:p>
        </w:tc>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VARCHAR(5) NOT NULL UNIQUE</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Code département (49, 53, 72, etc.)</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label</w:t>
            </w:r>
          </w:p>
        </w:tc>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VARCHAR(100)</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Libellé (Maine-et-Loire, Mayenne, etc.)</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active</w:t>
            </w:r>
          </w:p>
        </w:tc>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BOOLEAN DEFAULT true</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Zone active/inactive</w:t>
            </w:r>
          </w:p>
        </w:tc>
      </w:tr>
    </w:tbl>
    <w:p>
      <w:pPr>
        <w:spacing w:after="120"/>
        <w:jc w:val="left"/>
      </w:pPr>
      <w:r>
        <w:rPr>
          <w:rFonts w:ascii="Arial" w:cs="Arial" w:eastAsia="Arial" w:hAnsi="Arial"/>
          <w:sz w:val="22"/>
          <w:szCs w:val="22"/>
        </w:rPr>
        <w:t xml:space="preserve">Table shipping_rates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Colonne</w:t>
            </w:r>
          </w:p>
        </w:tc>
        <w:tc>
          <w:tcPr>
            <w:tcW w:type="dxa" w:w="3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40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Identifiant unique</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zone_id</w:t>
            </w:r>
          </w:p>
        </w:tc>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FK → shipping_zones.id</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Zone de livraison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min_qty</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INTEGER NOT NULL</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Quantité minimum de bouteilles (inclus)</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max_qty</w:t>
            </w:r>
          </w:p>
        </w:tc>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INTEGER NOT NULL</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Quantité maximum de bouteilles (inclus)</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price_ht</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DECIMAL(10,2) NOT NULL</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Prix HT livraison</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price_ttc</w:t>
            </w:r>
          </w:p>
        </w:tc>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DECIMAL(10,2) NOT NULL</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Prix TTC livraison</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valid_from</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DATE NOT NULL</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Date de début de validité</w:t>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valid_to</w:t>
            </w:r>
          </w:p>
        </w:tc>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DATE NULL</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Date de fin (NULL = toujours valide)</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TIMESTAMP DEFAULT NOW()</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Historisation</w:t>
            </w:r>
          </w:p>
        </w:tc>
      </w:tr>
    </w:tbl>
    <w:p>
      <w:pPr>
        <w:pStyle w:val="Heading2"/>
        <w:spacing w:before="300" w:after="150"/>
      </w:pPr>
      <w:r>
        <w:rPr>
          <w:rFonts w:ascii="Arial" w:cs="Arial" w:eastAsia="Arial" w:hAnsi="Arial"/>
        </w:rPr>
        <w:t xml:space="preserve">6.3 Logique de calcul</w:t>
      </w:r>
    </w:p>
    <w:p>
      <w:pPr>
        <w:pStyle w:val="ListParagraph"/>
        <w:numPr>
          <w:ilvl w:val="0"/>
          <w:numId w:val="3"/>
        </w:numPr>
      </w:pPr>
      <w:r>
        <w:rPr>
          <w:rFonts w:ascii="Arial" w:cs="Arial" w:eastAsia="Arial" w:hAnsi="Arial"/>
          <w:sz w:val="22"/>
          <w:szCs w:val="22"/>
        </w:rPr>
        <w:t xml:space="preserve">À la commande : extraire le département depuis le code postal de l'adresse de livraison (2 premiers chiffres, sauf Corse 2A/2B et DOM-TOM).</w:t>
      </w:r>
    </w:p>
    <w:p>
      <w:pPr>
        <w:pStyle w:val="ListParagraph"/>
        <w:numPr>
          <w:ilvl w:val="0"/>
          <w:numId w:val="3"/>
        </w:numPr>
      </w:pPr>
      <w:r>
        <w:rPr>
          <w:rFonts w:ascii="Arial" w:cs="Arial" w:eastAsia="Arial" w:hAnsi="Arial"/>
          <w:sz w:val="22"/>
          <w:szCs w:val="22"/>
        </w:rPr>
        <w:t xml:space="preserve">Lookup dans shipping_zones pour trouver la zone.</w:t>
      </w:r>
    </w:p>
    <w:p>
      <w:pPr>
        <w:pStyle w:val="ListParagraph"/>
        <w:numPr>
          <w:ilvl w:val="0"/>
          <w:numId w:val="3"/>
        </w:numPr>
      </w:pPr>
      <w:r>
        <w:rPr>
          <w:rFonts w:ascii="Arial" w:cs="Arial" w:eastAsia="Arial" w:hAnsi="Arial"/>
          <w:sz w:val="22"/>
          <w:szCs w:val="22"/>
        </w:rPr>
        <w:t xml:space="preserve">Compter le nombre total de bouteilles dans la commande.</w:t>
      </w:r>
    </w:p>
    <w:p>
      <w:pPr>
        <w:pStyle w:val="ListParagraph"/>
        <w:numPr>
          <w:ilvl w:val="0"/>
          <w:numId w:val="3"/>
        </w:numPr>
      </w:pPr>
      <w:r>
        <w:rPr>
          <w:rFonts w:ascii="Arial" w:cs="Arial" w:eastAsia="Arial" w:hAnsi="Arial"/>
          <w:sz w:val="22"/>
          <w:szCs w:val="22"/>
        </w:rPr>
        <w:t xml:space="preserve">Lookup dans shipping_rates : zone_id + qty BETWEEN min_qty AND max_qty + valid_from ≤ NOW() + (valid_to IS NULL OR valid_to ≥ NOW()).</w:t>
      </w:r>
    </w:p>
    <w:p>
      <w:pPr>
        <w:pStyle w:val="ListParagraph"/>
        <w:numPr>
          <w:ilvl w:val="0"/>
          <w:numId w:val="3"/>
        </w:numPr>
      </w:pPr>
      <w:r>
        <w:rPr>
          <w:rFonts w:ascii="Arial" w:cs="Arial" w:eastAsia="Arial" w:hAnsi="Arial"/>
          <w:sz w:val="22"/>
          <w:szCs w:val="22"/>
        </w:rPr>
        <w:t xml:space="preserve">Ajouter le montant au total de la commande (ligne séparée sur la commande et la facture).</w:t>
      </w:r>
    </w:p>
    <w:p>
      <w:pPr>
        <w:pStyle w:val="Heading2"/>
        <w:spacing w:before="300" w:after="150"/>
      </w:pPr>
      <w:r>
        <w:rPr>
          <w:rFonts w:ascii="Arial" w:cs="Arial" w:eastAsia="Arial" w:hAnsi="Arial"/>
        </w:rPr>
        <w:t xml:space="preserve">6.4 Impact sur la commande</w:t>
      </w:r>
    </w:p>
    <w:p>
      <w:pPr>
        <w:spacing w:after="120"/>
        <w:jc w:val="left"/>
      </w:pPr>
      <w:r>
        <w:rPr>
          <w:rFonts w:ascii="Arial" w:cs="Arial" w:eastAsia="Arial" w:hAnsi="Arial"/>
          <w:sz w:val="22"/>
          <w:szCs w:val="22"/>
        </w:rPr>
        <w:t xml:space="preserve">La table orders et le JSONB items doivent inclure une ligne de frais de port. La table order_items peut inclure un type « shipping » en plus de « product ». Le total_ttc de la commande = total produits + frais de port.</w:t>
      </w:r>
    </w:p>
    <w:p>
      <w:pPr>
        <w:spacing w:after="120"/>
        <w:jc w:val="left"/>
      </w:pPr>
      <w:r>
        <w:rPr>
          <w:rFonts w:ascii="Arial" w:cs="Arial" w:eastAsia="Arial" w:hAnsi="Arial"/>
          <w:sz w:val="22"/>
          <w:szCs w:val="22"/>
        </w:rPr>
        <w:t xml:space="preserve">Le récapitulatif panier affiche les frais de port dès que l'adresse de livraison est renseignée. Si le département n'est pas paramétré, afficher « Frais de port : nous contacter ».</w:t>
      </w:r>
    </w:p>
    <w:p>
      <w:pPr>
        <w:pStyle w:val="Heading2"/>
        <w:spacing w:before="300" w:after="150"/>
      </w:pPr>
      <w:r>
        <w:rPr>
          <w:rFonts w:ascii="Arial" w:cs="Arial" w:eastAsia="Arial" w:hAnsi="Arial"/>
        </w:rPr>
        <w:t xml:space="preserve">6.5 Impact admin</w:t>
      </w:r>
    </w:p>
    <w:p>
      <w:pPr>
        <w:spacing w:after="120"/>
        <w:jc w:val="left"/>
      </w:pPr>
      <w:r>
        <w:rPr>
          <w:rFonts w:ascii="Arial" w:cs="Arial" w:eastAsia="Arial" w:hAnsi="Arial"/>
          <w:sz w:val="22"/>
          <w:szCs w:val="22"/>
        </w:rPr>
        <w:t xml:space="preserve">Nouveau module admin « Paramètres &gt; Transport » avec :</w:t>
      </w:r>
    </w:p>
    <w:p>
      <w:pPr>
        <w:pStyle w:val="ListParagraph"/>
        <w:numPr>
          <w:ilvl w:val="0"/>
          <w:numId w:val="2"/>
        </w:numPr>
      </w:pPr>
      <w:r>
        <w:rPr>
          <w:rFonts w:ascii="Arial" w:cs="Arial" w:eastAsia="Arial" w:hAnsi="Arial"/>
          <w:sz w:val="22"/>
          <w:szCs w:val="22"/>
        </w:rPr>
        <w:t xml:space="preserve">Tableau croisé dynamique : départements en lignes, tranches de bouteilles en colonnes, prix dans les cellules. Éditable in-line.</w:t>
      </w:r>
    </w:p>
    <w:p>
      <w:pPr>
        <w:pStyle w:val="ListParagraph"/>
        <w:numPr>
          <w:ilvl w:val="0"/>
          <w:numId w:val="2"/>
        </w:numPr>
      </w:pPr>
      <w:r>
        <w:rPr>
          <w:rFonts w:ascii="Arial" w:cs="Arial" w:eastAsia="Arial" w:hAnsi="Arial"/>
          <w:sz w:val="22"/>
          <w:szCs w:val="22"/>
        </w:rPr>
        <w:t xml:space="preserve">Import CSV de la grille du transporteur.</w:t>
      </w:r>
    </w:p>
    <w:p>
      <w:pPr>
        <w:pStyle w:val="ListParagraph"/>
        <w:numPr>
          <w:ilvl w:val="0"/>
          <w:numId w:val="2"/>
        </w:numPr>
      </w:pPr>
      <w:r>
        <w:rPr>
          <w:rFonts w:ascii="Arial" w:cs="Arial" w:eastAsia="Arial" w:hAnsi="Arial"/>
          <w:sz w:val="22"/>
          <w:szCs w:val="22"/>
        </w:rPr>
        <w:t xml:space="preserve">Historisation : quand une nouvelle grille est importée, l'ancienne est close (valid_to = date import) et la nouvelle commence (valid_from = date import).</w:t>
      </w:r>
    </w:p>
    <w:p>
      <w:pPr>
        <w:pStyle w:val="ListParagraph"/>
        <w:numPr>
          <w:ilvl w:val="0"/>
          <w:numId w:val="2"/>
        </w:numPr>
      </w:pPr>
      <w:r>
        <w:rPr>
          <w:rFonts w:ascii="Arial" w:cs="Arial" w:eastAsia="Arial" w:hAnsi="Arial"/>
          <w:sz w:val="22"/>
          <w:szCs w:val="22"/>
        </w:rPr>
        <w:t xml:space="preserve">Consultation des grilles historiques pour traçabilité en cas de réclamation.</w:t>
      </w:r>
    </w:p>
    <w:p>
      <w:pPr>
        <w:pStyle w:val="Heading2"/>
        <w:spacing w:before="300" w:after="150"/>
      </w:pPr>
      <w:r>
        <w:rPr>
          <w:rFonts w:ascii="Arial" w:cs="Arial" w:eastAsia="Arial" w:hAnsi="Arial"/>
        </w:rPr>
        <w:t xml:space="preserve">6.6 Nouveaux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4026"/>
      </w:tblGrid>
      <w:tr>
        <w:tc>
          <w:tcPr>
            <w:tcW w:type="dxa" w:w="32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18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Méthode</w:t>
            </w:r>
          </w:p>
        </w:tc>
        <w:tc>
          <w:tcPr>
            <w:tcW w:type="dxa" w:w="40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/admin/shipping-zones</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GET/POST/PUT</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CRUD zones de livraison</w:t>
            </w:r>
          </w:p>
        </w:tc>
      </w:tr>
      <w:tr>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/admin/shipping-rates</w:t>
            </w:r>
          </w:p>
        </w:tc>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GET/POST/PUT</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CRUD grille tarifaire</w:t>
            </w:r>
          </w:p>
        </w:tc>
      </w:tr>
      <w:tr>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/admin/shipping-rates/import</w:t>
            </w:r>
          </w:p>
        </w:tc>
        <w:tc>
          <w:tcPr>
            <w:tcW w:type="dxa" w:w="1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POST</w:t>
            </w:r>
          </w:p>
        </w:tc>
        <w:tc>
          <w:tcPr>
            <w:tcW w:type="dxa" w:w="40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Import CSV grille transporteur</w:t>
            </w:r>
          </w:p>
        </w:tc>
      </w:tr>
      <w:tr>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/shipping/calculate</w:t>
            </w:r>
          </w:p>
        </w:tc>
        <w:tc>
          <w:tcPr>
            <w:tcW w:type="dxa" w:w="1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POST</w:t>
            </w:r>
          </w:p>
        </w:tc>
        <w:tc>
          <w:tcPr>
            <w:tcW w:type="dxa" w:w="40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Calcul frais de port (postal_code + qty) — public</w:t>
            </w:r>
          </w:p>
        </w:tc>
      </w:tr>
    </w:tbl>
    <w:p>
      <w:pPr>
        <w:pStyle w:val="Heading2"/>
        <w:spacing w:before="300" w:after="150"/>
      </w:pPr>
      <w:r>
        <w:rPr>
          <w:rFonts w:ascii="Arial" w:cs="Arial" w:eastAsia="Arial" w:hAnsi="Arial"/>
        </w:rPr>
        <w:t xml:space="preserve">6.7 Données : en attente</w:t>
      </w:r>
    </w:p>
    <w:p>
      <w:pPr>
        <w:pBdr>
          <w:left w:val="single" w:color="E67E22" w:sz="6"/>
        </w:pBdr>
        <w:spacing w:before="120" w:after="120"/>
        <w:ind w:left="200"/>
      </w:pPr>
      <w:r>
        <w:rPr>
          <w:rFonts w:ascii="Arial" w:cs="Arial" w:eastAsia="Arial" w:hAnsi="Arial"/>
          <w:i/>
          <w:iCs/>
          <w:color w:val="E67E22"/>
          <w:sz w:val="22"/>
          <w:szCs w:val="22"/>
        </w:rPr>
        <w:t xml:space="preserve">⚠️ Nicolas doit fournir la grille de son transporteur. La structure est prête, les valeurs seront saisies par Nicolas ou importées par CSV.</w:t>
      </w:r>
    </w:p>
    <w:p>
      <w:r>
        <w:br w:type="page"/>
      </w:r>
    </w:p>
    <w:p>
      <w:pPr>
        <w:pStyle w:val="Heading1"/>
        <w:spacing w:before="300" w:after="150"/>
      </w:pPr>
      <w:r>
        <w:rPr>
          <w:rFonts w:ascii="Arial" w:cs="Arial" w:eastAsia="Arial" w:hAnsi="Arial"/>
        </w:rPr>
        <w:t xml:space="preserve">7. Toggle « Sélection du moment »</w:t>
      </w:r>
    </w:p>
    <w:p>
      <w:pPr>
        <w:pStyle w:val="Heading2"/>
        <w:spacing w:before="300" w:after="150"/>
      </w:pPr>
      <w:r>
        <w:rPr>
          <w:rFonts w:ascii="Arial" w:cs="Arial" w:eastAsia="Arial" w:hAnsi="Arial"/>
        </w:rPr>
        <w:t xml:space="preserve">7.1 Modification — Table products</w:t>
      </w:r>
    </w:p>
    <w:p>
      <w:pPr>
        <w:spacing w:after="120"/>
        <w:jc w:val="left"/>
      </w:pPr>
      <w:r>
        <w:rPr>
          <w:rFonts w:ascii="Arial" w:cs="Arial" w:eastAsia="Arial" w:hAnsi="Arial"/>
          <w:sz w:val="22"/>
          <w:szCs w:val="22"/>
        </w:rPr>
        <w:t xml:space="preserve">Ajouter un champ à la table products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Champ</w:t>
            </w:r>
          </w:p>
        </w:tc>
        <w:tc>
          <w:tcPr>
            <w:tcW w:type="dxa" w:w="3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is_featured</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BOOLEAN DEFAULT false</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Produit mis en avant sur la boutique</w:t>
            </w:r>
          </w:p>
        </w:tc>
      </w:tr>
    </w:tbl>
    <w:p>
      <w:pPr>
        <w:spacing w:after="120"/>
        <w:jc w:val="left"/>
      </w:pPr>
      <w:r>
        <w:rPr>
          <w:rFonts w:ascii="Arial" w:cs="Arial" w:eastAsia="Arial" w:hAnsi="Arial"/>
          <w:sz w:val="22"/>
          <w:szCs w:val="22"/>
        </w:rPr>
        <w:t xml:space="preserve">Contrainte métier : maximum 1 produit « featured » par catégorie (product_categories.id). Quand on active le toggle sur un produit, le toggle de l'ancien produit featured de la même catégorie se désactive automatiquement.</w:t>
      </w:r>
    </w:p>
    <w:p>
      <w:pPr>
        <w:pStyle w:val="Heading2"/>
        <w:spacing w:before="300" w:after="150"/>
      </w:pPr>
      <w:r>
        <w:rPr>
          <w:rFonts w:ascii="Arial" w:cs="Arial" w:eastAsia="Arial" w:hAnsi="Arial"/>
        </w:rPr>
        <w:t xml:space="preserve">7.2 Impact boutique</w:t>
      </w:r>
    </w:p>
    <w:p>
      <w:pPr>
        <w:spacing w:after="120"/>
        <w:jc w:val="left"/>
      </w:pPr>
      <w:r>
        <w:rPr>
          <w:rFonts w:ascii="Arial" w:cs="Arial" w:eastAsia="Arial" w:hAnsi="Arial"/>
          <w:sz w:val="22"/>
          <w:szCs w:val="22"/>
        </w:rPr>
        <w:t xml:space="preserve">Nouvelle section sur la page d'accueil de la boutique : « Notre sélection du moment » affichant les produits featured, un par catégorie active. Si aucun produit n'est featured, la section ne s'affiche pas.</w:t>
      </w:r>
    </w:p>
    <w:p>
      <w:pPr>
        <w:pStyle w:val="Heading2"/>
        <w:spacing w:before="300" w:after="150"/>
      </w:pPr>
      <w:r>
        <w:rPr>
          <w:rFonts w:ascii="Arial" w:cs="Arial" w:eastAsia="Arial" w:hAnsi="Arial"/>
        </w:rPr>
        <w:t xml:space="preserve">7.3 Impact admin Catalogue</w:t>
      </w:r>
    </w:p>
    <w:p>
      <w:pPr>
        <w:spacing w:after="120"/>
        <w:jc w:val="left"/>
      </w:pPr>
      <w:r>
        <w:rPr>
          <w:rFonts w:ascii="Arial" w:cs="Arial" w:eastAsia="Arial" w:hAnsi="Arial"/>
          <w:sz w:val="22"/>
          <w:szCs w:val="22"/>
        </w:rPr>
        <w:t xml:space="preserve">Dans la fiche produit admin, ajouter un toggle « Mettre en avant ». Comportement : au clic, appel PUT /admin/products/:id avec is_featured=true. Le backend désactive automatiquement l'ancien featured de la même catégorie et logge l'action dans audit_log.</w:t>
      </w:r>
    </w:p>
    <w:p>
      <w:pPr>
        <w:pStyle w:val="Heading1"/>
        <w:spacing w:before="300" w:after="150"/>
      </w:pPr>
      <w:r>
        <w:rPr>
          <w:rFonts w:ascii="Arial" w:cs="Arial" w:eastAsia="Arial" w:hAnsi="Arial"/>
        </w:rPr>
        <w:t xml:space="preserve">8. Espace ressources par campagne</w:t>
      </w:r>
    </w:p>
    <w:p>
      <w:pPr>
        <w:pStyle w:val="Heading2"/>
        <w:spacing w:before="300" w:after="150"/>
      </w:pPr>
      <w:r>
        <w:rPr>
          <w:rFonts w:ascii="Arial" w:cs="Arial" w:eastAsia="Arial" w:hAnsi="Arial"/>
        </w:rPr>
        <w:t xml:space="preserve">8.1 Constat</w:t>
      </w:r>
    </w:p>
    <w:p>
      <w:pPr>
        <w:spacing w:after="120"/>
        <w:jc w:val="left"/>
      </w:pPr>
      <w:r>
        <w:rPr>
          <w:rFonts w:ascii="Arial" w:cs="Arial" w:eastAsia="Arial" w:hAnsi="Arial"/>
          <w:sz w:val="22"/>
          <w:szCs w:val="22"/>
        </w:rPr>
        <w:t xml:space="preserve">Nicolas souhaite pouvoir ajouter des outils d'aide à la vente (PDF, vidéos, liens) dans chaque campagne, visibles par les participants. Les quiz sont gérés par une application externe ; l'intégration se fait par lien.</w:t>
      </w:r>
    </w:p>
    <w:p>
      <w:pPr>
        <w:pStyle w:val="Heading2"/>
        <w:spacing w:before="300" w:after="150"/>
      </w:pPr>
      <w:r>
        <w:rPr>
          <w:rFonts w:ascii="Arial" w:cs="Arial" w:eastAsia="Arial" w:hAnsi="Arial"/>
        </w:rPr>
        <w:t xml:space="preserve">8.2 Modification — Nouvelle table campaign_resources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c>
          <w:tcPr>
            <w:tcW w:type="dxa" w:w="22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Colonne</w:t>
            </w:r>
          </w:p>
        </w:tc>
        <w:tc>
          <w:tcPr>
            <w:tcW w:type="dxa" w:w="32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Type</w:t>
            </w:r>
          </w:p>
        </w:tc>
        <w:tc>
          <w:tcPr>
            <w:tcW w:type="dxa" w:w="36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2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SERIAL PK</w:t>
            </w:r>
          </w:p>
        </w:tc>
        <w:tc>
          <w:tcPr>
            <w:tcW w:type="dxa" w:w="36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Identifiant unique</w:t>
            </w:r>
          </w:p>
        </w:tc>
      </w:tr>
      <w:tr>
        <w:tc>
          <w:tcPr>
            <w:tcW w:type="dxa" w:w="2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campaign_id</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FK → campaigns.id</w:t>
            </w:r>
          </w:p>
        </w:tc>
        <w:tc>
          <w:tcPr>
            <w:tcW w:type="dxa" w:w="36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Campagne associée</w:t>
            </w:r>
          </w:p>
        </w:tc>
      </w:tr>
      <w:tr>
        <w:tc>
          <w:tcPr>
            <w:tcW w:type="dxa" w:w="2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title</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VARCHAR(200) NOT NULL</w:t>
            </w:r>
          </w:p>
        </w:tc>
        <w:tc>
          <w:tcPr>
            <w:tcW w:type="dxa" w:w="36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Titre de la ressource</w:t>
            </w:r>
          </w:p>
        </w:tc>
      </w:tr>
      <w:tr>
        <w:tc>
          <w:tcPr>
            <w:tcW w:type="dxa" w:w="2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type</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ENUM('pdf', 'video', 'link', 'quiz')</w:t>
            </w:r>
          </w:p>
        </w:tc>
        <w:tc>
          <w:tcPr>
            <w:tcW w:type="dxa" w:w="36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Type de ressource</w:t>
            </w:r>
          </w:p>
        </w:tc>
      </w:tr>
      <w:tr>
        <w:tc>
          <w:tcPr>
            <w:tcW w:type="dxa" w:w="2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url</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VARCHAR(500) NOT NULL</w:t>
            </w:r>
          </w:p>
        </w:tc>
        <w:tc>
          <w:tcPr>
            <w:tcW w:type="dxa" w:w="36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URL du fichier ou du lien externe</w:t>
            </w:r>
          </w:p>
        </w:tc>
      </w:tr>
      <w:tr>
        <w:tc>
          <w:tcPr>
            <w:tcW w:type="dxa" w:w="2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description</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TEXT NULL</w:t>
            </w:r>
          </w:p>
        </w:tc>
        <w:tc>
          <w:tcPr>
            <w:tcW w:type="dxa" w:w="36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Description optionnelle</w:t>
            </w:r>
          </w:p>
        </w:tc>
      </w:tr>
      <w:tr>
        <w:tc>
          <w:tcPr>
            <w:tcW w:type="dxa" w:w="2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sort_order</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INTEGER DEFAULT 0</w:t>
            </w:r>
          </w:p>
        </w:tc>
        <w:tc>
          <w:tcPr>
            <w:tcW w:type="dxa" w:w="36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Ordre d'affichage</w:t>
            </w:r>
          </w:p>
        </w:tc>
      </w:tr>
      <w:tr>
        <w:tc>
          <w:tcPr>
            <w:tcW w:type="dxa" w:w="2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visible_to_roles</w:t>
            </w:r>
          </w:p>
        </w:tc>
        <w:tc>
          <w:tcPr>
            <w:tcW w:type="dxa" w:w="32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JSONB DEFAULT '["student", "bts"]'</w:t>
            </w:r>
          </w:p>
        </w:tc>
        <w:tc>
          <w:tcPr>
            <w:tcW w:type="dxa" w:w="36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Rôles qui voient cette ressource</w:t>
            </w:r>
          </w:p>
        </w:tc>
      </w:tr>
      <w:tr>
        <w:tc>
          <w:tcPr>
            <w:tcW w:type="dxa" w:w="2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created_at</w:t>
            </w:r>
          </w:p>
        </w:tc>
        <w:tc>
          <w:tcPr>
            <w:tcW w:type="dxa" w:w="32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TIMESTAMP DEFAULT NOW()</w:t>
            </w:r>
          </w:p>
        </w:tc>
        <w:tc>
          <w:tcPr>
            <w:tcW w:type="dxa" w:w="36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Date d'ajout</w:t>
            </w:r>
          </w:p>
        </w:tc>
      </w:tr>
    </w:tbl>
    <w:p>
      <w:pPr>
        <w:pStyle w:val="Heading2"/>
        <w:spacing w:before="300" w:after="150"/>
      </w:pPr>
      <w:r>
        <w:rPr>
          <w:rFonts w:ascii="Arial" w:cs="Arial" w:eastAsia="Arial" w:hAnsi="Arial"/>
        </w:rPr>
        <w:t xml:space="preserve">8.3 Impact UI</w:t>
      </w:r>
    </w:p>
    <w:p>
      <w:pPr>
        <w:pStyle w:val="ListParagraph"/>
        <w:numPr>
          <w:ilvl w:val="0"/>
          <w:numId w:val="2"/>
        </w:numPr>
      </w:pPr>
      <w:r>
        <w:rPr>
          <w:rFonts w:ascii="Arial" w:cs="Arial" w:eastAsia="Arial" w:hAnsi="Arial"/>
          <w:sz w:val="22"/>
          <w:szCs w:val="22"/>
        </w:rPr>
        <w:t xml:space="preserve">Dashboard étudiant / BTS : nouvel onglet « Ressources » avec liste des documents/liens de la campagne.</w:t>
      </w:r>
    </w:p>
    <w:p>
      <w:pPr>
        <w:pStyle w:val="ListParagraph"/>
        <w:numPr>
          <w:ilvl w:val="0"/>
          <w:numId w:val="2"/>
        </w:numPr>
      </w:pPr>
      <w:r>
        <w:rPr>
          <w:rFonts w:ascii="Arial" w:cs="Arial" w:eastAsia="Arial" w:hAnsi="Arial"/>
          <w:sz w:val="22"/>
          <w:szCs w:val="22"/>
        </w:rPr>
        <w:t xml:space="preserve">Admin campagne : section « Ressources » avec upload de fichiers et ajout de liens.</w:t>
      </w:r>
    </w:p>
    <w:p>
      <w:pPr>
        <w:pStyle w:val="ListParagraph"/>
        <w:numPr>
          <w:ilvl w:val="0"/>
          <w:numId w:val="2"/>
        </w:numPr>
      </w:pPr>
      <w:r>
        <w:rPr>
          <w:rFonts w:ascii="Arial" w:cs="Arial" w:eastAsia="Arial" w:hAnsi="Arial"/>
          <w:sz w:val="22"/>
          <w:szCs w:val="22"/>
        </w:rPr>
        <w:t xml:space="preserve">L'enseignant peut voir les ressources (si visible_to_roles inclut « teacher ») pour suivre ce qui est mis à disposition.</w:t>
      </w:r>
    </w:p>
    <w:p>
      <w:pPr>
        <w:pStyle w:val="Heading2"/>
        <w:spacing w:before="300" w:after="150"/>
      </w:pPr>
      <w:r>
        <w:rPr>
          <w:rFonts w:ascii="Arial" w:cs="Arial" w:eastAsia="Arial" w:hAnsi="Arial"/>
        </w:rPr>
        <w:t xml:space="preserve">8.4 Nouveaux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Méthode</w:t>
            </w:r>
          </w:p>
        </w:tc>
        <w:tc>
          <w:tcPr>
            <w:tcW w:type="dxa" w:w="3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/campaigns/:id/resources</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Liste des ressources (filtré par rôle)</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/admin/campaigns/:id/resources</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POST/PUT/DELETE</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CRUD ressources campagne</w:t>
            </w:r>
          </w:p>
        </w:tc>
      </w:tr>
    </w:tbl>
    <w:p>
      <w:r>
        <w:br w:type="page"/>
      </w:r>
    </w:p>
    <w:p>
      <w:pPr>
        <w:pStyle w:val="Heading1"/>
        <w:spacing w:before="300" w:after="150"/>
      </w:pPr>
      <w:r>
        <w:rPr>
          <w:rFonts w:ascii="Arial" w:cs="Arial" w:eastAsia="Arial" w:hAnsi="Arial"/>
        </w:rPr>
        <w:t xml:space="preserve">9. Récapitulatif d'impact global</w:t>
      </w:r>
    </w:p>
    <w:p>
      <w:pPr>
        <w:pStyle w:val="Heading2"/>
        <w:spacing w:before="300" w:after="150"/>
      </w:pPr>
      <w:r>
        <w:rPr>
          <w:rFonts w:ascii="Arial" w:cs="Arial" w:eastAsia="Arial" w:hAnsi="Arial"/>
        </w:rPr>
        <w:t xml:space="preserve">9.1 Nouvelles tables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526"/>
      </w:tblGrid>
      <w:tr>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Domaine</w:t>
            </w:r>
          </w:p>
        </w:tc>
        <w:tc>
          <w:tcPr>
            <w:tcW w:type="dxa" w:w="4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Justification</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product_categories</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Catalogue</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Catégories dynamiques (remplace string hardcodé)</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shipping_zones</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Livraison</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Zones tarifaires par département</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shipping_rates</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Livraison</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Grille tarifaire transport (historisée)</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campaign_resources</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Campagnes</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Pièces jointes et liens par campagne</w:t>
            </w:r>
          </w:p>
        </w:tc>
      </w:tr>
    </w:tbl>
    <w:p>
      <w:pPr>
        <w:spacing w:after="120"/>
        <w:jc w:val="left"/>
      </w:pPr>
      <w:r>
        <w:rPr>
          <w:rFonts w:ascii="Arial" w:cs="Arial" w:eastAsia="Arial" w:hAnsi="Arial"/>
          <w:i/>
          <w:iCs/>
          <w:sz w:val="22"/>
          <w:szCs w:val="22"/>
        </w:rPr>
        <w:t xml:space="preserve">Note : app_settings peut être implémentée comme table dédiée ou comme entrées dans une table key-value existante.</w:t>
      </w:r>
    </w:p>
    <w:p>
      <w:pPr>
        <w:pStyle w:val="Heading2"/>
        <w:spacing w:before="300" w:after="150"/>
      </w:pPr>
      <w:r>
        <w:rPr>
          <w:rFonts w:ascii="Arial" w:cs="Arial" w:eastAsia="Arial" w:hAnsi="Arial"/>
        </w:rPr>
        <w:t xml:space="preserve">9.2 Tables modifiées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Table</w:t>
            </w:r>
          </w:p>
        </w:tc>
        <w:tc>
          <w:tcPr>
            <w:tcW w:type="dxa" w:w="6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Modification</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products</w:t>
            </w:r>
          </w:p>
        </w:tc>
        <w:tc>
          <w:tcPr>
            <w:tcW w:type="dxa" w:w="6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category → category_id (FK), ajout is_featured BOOLEAN</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organizations</w:t>
            </w:r>
          </w:p>
        </w:tc>
        <w:tc>
          <w:tcPr>
            <w:tcW w:type="dxa" w:w="6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ajout logo_url VARCHAR(500)</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participations</w:t>
            </w:r>
          </w:p>
        </w:tc>
        <w:tc>
          <w:tcPr>
            <w:tcW w:type="dxa" w:w="6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ajout referral_code VARCHAR(20) UNIQUE</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orders</w:t>
            </w:r>
          </w:p>
        </w:tc>
        <w:tc>
          <w:tcPr>
            <w:tcW w:type="dxa" w:w="6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ajout referred_by (FK users.id), referral_code_used VARCHAR(20)</w:t>
            </w:r>
          </w:p>
        </w:tc>
      </w:tr>
      <w:tr>
        <w:tc>
          <w:tcPr>
            <w:tcW w:type="dxa" w:w="2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client_types</w:t>
            </w:r>
          </w:p>
        </w:tc>
        <w:tc>
          <w:tcPr>
            <w:tcW w:type="dxa" w:w="6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commission_rules JSONB : structure enrichie (fund_collective + fund_individual)</w:t>
            </w:r>
          </w:p>
        </w:tc>
      </w:tr>
      <w:tr>
        <w:tc>
          <w:tcPr>
            <w:tcW w:type="dxa" w:w="2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order_items</w:t>
            </w:r>
          </w:p>
        </w:tc>
        <w:tc>
          <w:tcPr>
            <w:tcW w:type="dxa" w:w="6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ajout type ENUM('product', 'shipping') pour distinguer frais de port</w:t>
            </w:r>
          </w:p>
        </w:tc>
      </w:tr>
    </w:tbl>
    <w:p>
      <w:pPr>
        <w:pStyle w:val="Heading2"/>
        <w:spacing w:before="300" w:after="150"/>
      </w:pPr>
      <w:r>
        <w:rPr>
          <w:rFonts w:ascii="Arial" w:cs="Arial" w:eastAsia="Arial" w:hAnsi="Arial"/>
        </w:rPr>
        <w:t xml:space="preserve">9.3 Nouveaux endpoints (+11)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500"/>
        <w:gridCol w:w="3526"/>
      </w:tblGrid>
      <w:tr>
        <w:tc>
          <w:tcPr>
            <w:tcW w:type="dxa" w:w="5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3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Groupe</w:t>
            </w:r>
          </w:p>
        </w:tc>
      </w:tr>
      <w:tr>
        <w:tc>
          <w:tcPr>
            <w:tcW w:type="dxa" w:w="5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/admin/product-categories (CRUD)</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Catalogue</w:t>
            </w:r>
          </w:p>
        </w:tc>
      </w:tr>
      <w:tr>
        <w:tc>
          <w:tcPr>
            <w:tcW w:type="dxa" w:w="5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/admin/settings (GET/PUT)</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w:t>
            </w:r>
          </w:p>
        </w:tc>
      </w:tr>
      <w:tr>
        <w:tc>
          <w:tcPr>
            <w:tcW w:type="dxa" w:w="5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/admin/shipping-zones (CRUD)</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Transport</w:t>
            </w:r>
          </w:p>
        </w:tc>
      </w:tr>
      <w:tr>
        <w:tc>
          <w:tcPr>
            <w:tcW w:type="dxa" w:w="5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/admin/shipping-rates (CRUD + import CSV)</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Transport</w:t>
            </w:r>
          </w:p>
        </w:tc>
      </w:tr>
      <w:tr>
        <w:tc>
          <w:tcPr>
            <w:tcW w:type="dxa" w:w="5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/shipping/calculate (POST)</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Transport (public)</w:t>
            </w:r>
          </w:p>
        </w:tc>
      </w:tr>
      <w:tr>
        <w:tc>
          <w:tcPr>
            <w:tcW w:type="dxa" w:w="5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/shop/:campaign_slug (GET)</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Boutique publique</w:t>
            </w:r>
          </w:p>
        </w:tc>
      </w:tr>
      <w:tr>
        <w:tc>
          <w:tcPr>
            <w:tcW w:type="dxa" w:w="5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/shop/register (POST)</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Inscription client externe</w:t>
            </w:r>
          </w:p>
        </w:tc>
      </w:tr>
      <w:tr>
        <w:tc>
          <w:tcPr>
            <w:tcW w:type="dxa" w:w="5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/referral/stats (GET)</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Parrainage étudiant</w:t>
            </w:r>
          </w:p>
        </w:tc>
      </w:tr>
      <w:tr>
        <w:tc>
          <w:tcPr>
            <w:tcW w:type="dxa" w:w="5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/campaigns/:id/resources (GET)</w:t>
            </w:r>
          </w:p>
        </w:tc>
        <w:tc>
          <w:tcPr>
            <w:tcW w:type="dxa" w:w="3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Ressources</w:t>
            </w:r>
          </w:p>
        </w:tc>
      </w:tr>
      <w:tr>
        <w:tc>
          <w:tcPr>
            <w:tcW w:type="dxa" w:w="5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/admin/campaigns/:id/resources (CRUD)</w:t>
            </w:r>
          </w:p>
        </w:tc>
        <w:tc>
          <w:tcPr>
            <w:tcW w:type="dxa" w:w="3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Ressources admin</w:t>
            </w:r>
          </w:p>
        </w:tc>
      </w:tr>
    </w:tbl>
    <w:p>
      <w:pPr>
        <w:pStyle w:val="Heading2"/>
        <w:spacing w:before="300" w:after="150"/>
      </w:pPr>
      <w:r>
        <w:rPr>
          <w:rFonts w:ascii="Arial" w:cs="Arial" w:eastAsia="Arial" w:hAnsi="Arial"/>
        </w:rPr>
        <w:t xml:space="preserve">9.4 Endpoints modifiés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Endpoint</w:t>
            </w:r>
          </w:p>
        </w:tc>
        <w:tc>
          <w:tcPr>
            <w:tcW w:type="dxa" w:w="5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Modification</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 /products</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JOIN product_categories, retourne category_id + category_name</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GET /campaigns/:id/products</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Filtre ?category_id=, retourne catégorie enrichie</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PUT /admin/client-types/:id</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Invalidation cache après modification</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GET /dashboard/student</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Ajout fund_collective, fund_individual, referral_stats</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 /dashboard/teacher</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Ajout fund_collective en % uniquement (pas de montant €)</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POST /orders</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Calcul frais de port, champ referred_by, validation min_order depuis DB live</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GET /admin/exports/commissions</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Ventilation collective + individuelle</w:t>
            </w:r>
          </w:p>
        </w:tc>
      </w:tr>
    </w:tbl>
    <w:p>
      <w:pPr>
        <w:pStyle w:val="Heading2"/>
        <w:spacing w:before="300" w:after="150"/>
      </w:pPr>
      <w:r>
        <w:rPr>
          <w:rFonts w:ascii="Arial" w:cs="Arial" w:eastAsia="Arial" w:hAnsi="Arial"/>
        </w:rPr>
        <w:t xml:space="preserve">9.5 Composants UI impactés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Composant</w:t>
            </w:r>
          </w:p>
        </w:tc>
        <w:tc>
          <w:tcPr>
            <w:tcW w:type="dxa" w:w="5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Modification</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Boutique publique — Wizard</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Catégories dynamiques, section Sans Alcool séparée</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Boutique publique — Accueil</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Section « Sélection du moment »</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Boutique CSE — Header</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Affichage logo partenaire</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Dashboard étudiant — Accueil</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Double cochon tirelire (cagnottes)</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Dashboard étudiant — Profil</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Section partage boutique (lien, QR, stats)</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Dashboard étudiant — Commandes</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Distinction commandes directes / référées</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Dashboard enseignant</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Cagnotte collective en % (sans montant)</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 — Catalogue</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Sous-onglet Catégories, toggle Featured</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 — Paramètres</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Section Branding (logo), section Transport (grille)</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 — Wizard campagne</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Étape identité visuelle, étape commissions enrichie</w:t>
            </w:r>
          </w:p>
        </w:tc>
      </w:tr>
      <w:tr>
        <w:tc>
          <w:tcPr>
            <w:tcW w:type="dxa" w:w="3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Admin — Campagne detail</w:t>
            </w:r>
          </w:p>
        </w:tc>
        <w:tc>
          <w:tcPr>
            <w:tcW w:type="dxa" w:w="5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Section Ressources</w:t>
            </w:r>
          </w:p>
        </w:tc>
      </w:tr>
      <w:tr>
        <w:tc>
          <w:tcPr>
            <w:tcW w:type="dxa" w:w="3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Panier / Checkout</w:t>
            </w:r>
          </w:p>
        </w:tc>
        <w:tc>
          <w:tcPr>
            <w:tcW w:type="dxa" w:w="5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Ligne frais de port calculée dynamiquement</w:t>
            </w:r>
          </w:p>
        </w:tc>
      </w:tr>
    </w:tbl>
    <w:p>
      <w:r>
        <w:br w:type="page"/>
      </w:r>
    </w:p>
    <w:p>
      <w:pPr>
        <w:pStyle w:val="Heading1"/>
        <w:spacing w:before="300" w:after="150"/>
      </w:pPr>
      <w:r>
        <w:rPr>
          <w:rFonts w:ascii="Arial" w:cs="Arial" w:eastAsia="Arial" w:hAnsi="Arial"/>
        </w:rPr>
        <w:t xml:space="preserve">10. Nouveaux critères de recette</w:t>
      </w:r>
    </w:p>
    <w:p>
      <w:pPr>
        <w:spacing w:after="120"/>
        <w:jc w:val="left"/>
      </w:pPr>
      <w:r>
        <w:rPr>
          <w:rFonts w:ascii="Arial" w:cs="Arial" w:eastAsia="Arial" w:hAnsi="Arial"/>
          <w:sz w:val="22"/>
          <w:szCs w:val="22"/>
        </w:rPr>
        <w:t xml:space="preserve">Ces critères s'ajoutent à ceux de la section 9 du CDC V4.0.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Critère</w:t>
            </w:r>
          </w:p>
        </w:tc>
        <w:tc>
          <w:tcPr>
            <w:tcW w:type="dxa" w:w="45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Vérification</w:t>
            </w:r>
          </w:p>
        </w:tc>
      </w:tr>
      <w:tr>
        <w:tc>
          <w:tcPr>
            <w:tcW w:type="dxa" w:w="4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L'admin peut créer une catégorie « Rosés » et elle apparaît dans le wizard boutique</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Créer catégorie type=wine → vérifier wizard → vérifier fiche produit utilise les axes</w:t>
            </w:r>
          </w:p>
        </w:tc>
      </w:tr>
      <w:tr>
        <w:tc>
          <w:tcPr>
            <w:tcW w:type="dxa" w:w="4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L'admin peut créer une catégorie « Jus de fruit » sans graphe araignée</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Créer catégorie type=non_alcoholic → vérifier wizard (section séparée) → vérifier pas de radar</w:t>
            </w:r>
          </w:p>
        </w:tc>
      </w:tr>
      <w:tr>
        <w:tc>
          <w:tcPr>
            <w:tcW w:type="dxa" w:w="4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Un salarié CSE peut commander 1 bouteille sans minimum</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Connexion CSE → panier 1 bouteille → valider commande → succès</w:t>
            </w:r>
          </w:p>
        </w:tc>
      </w:tr>
      <w:tr>
        <w:tc>
          <w:tcPr>
            <w:tcW w:type="dxa" w:w="4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Modifier min_order dans l'admin se répercute immédiatement</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PUT client-type min_order=50 → refresh boutique → vérifier blocage à 50</w:t>
            </w:r>
          </w:p>
        </w:tc>
      </w:tr>
      <w:tr>
        <w:tc>
          <w:tcPr>
            <w:tcW w:type="dxa" w:w="4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Le logo V&amp;C paramétré dans settings apparaît sur la boutique et les PDF</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PUT logo → vérifier header boutique + générer un BL → vérifier en-tête PDF</w:t>
            </w:r>
          </w:p>
        </w:tc>
      </w:tr>
      <w:tr>
        <w:tc>
          <w:tcPr>
            <w:tcW w:type="dxa" w:w="4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Le logo partenaire CSE apparaît sur la boutique CSE</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Upload logo dans org → vérifier header boutique CSE</w:t>
            </w:r>
          </w:p>
        </w:tc>
      </w:tr>
      <w:tr>
        <w:tc>
          <w:tcPr>
            <w:tcW w:type="dxa" w:w="4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L'étudiant voit deux cochons tirelire avec les bons montants</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Connexion étudiant → vérifier cagnotte collective + individuelle → vérifier calculs</w:t>
            </w:r>
          </w:p>
        </w:tc>
      </w:tr>
      <w:tr>
        <w:tc>
          <w:tcPr>
            <w:tcW w:type="dxa" w:w="4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Si % carte cadeau = 0, le cochon individuel ne s'affiche pas</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Configurer campagne 10%+0% → connexion étudiant → vérifier 1 seul cochon</w:t>
            </w:r>
          </w:p>
        </w:tc>
      </w:tr>
      <w:tr>
        <w:tc>
          <w:tcPr>
            <w:tcW w:type="dxa" w:w="4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L'enseignant ne voit PAS les montants des cagnottes</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Connexion enseignant → audit API /dashboard/teacher → aucun champ amount</w:t>
            </w:r>
          </w:p>
        </w:tc>
      </w:tr>
      <w:tr>
        <w:tc>
          <w:tcPr>
            <w:tcW w:type="dxa" w:w="4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Le lien de parrainage étudiant génère une commande attribuée</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Partager lien → client externe commande → vérifier CA étudiant mis à jour</w:t>
            </w:r>
          </w:p>
        </w:tc>
      </w:tr>
      <w:tr>
        <w:tc>
          <w:tcPr>
            <w:tcW w:type="dxa" w:w="4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Les frais de port se calculent à la commande</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Saisir adresse dept 72 + 12 bouteilles → vérifier frais affichés et corrects</w:t>
            </w:r>
          </w:p>
        </w:tc>
      </w:tr>
      <w:tr>
        <w:tc>
          <w:tcPr>
            <w:tcW w:type="dxa" w:w="4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L'import CSV grille transport fonctionne</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Importer CSV → vérifier grille affichée → passer commande → vérifier calcul</w:t>
            </w:r>
          </w:p>
        </w:tc>
      </w:tr>
      <w:tr>
        <w:tc>
          <w:tcPr>
            <w:tcW w:type="dxa" w:w="4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Le toggle Featured met en avant un produit par catégorie</w:t>
            </w:r>
          </w:p>
        </w:tc>
        <w:tc>
          <w:tcPr>
            <w:tcW w:type="dxa" w:w="45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Activer featured sur 2 rouges → vérifier que seul le dernier est featured</w:t>
            </w:r>
          </w:p>
        </w:tc>
      </w:tr>
      <w:tr>
        <w:tc>
          <w:tcPr>
            <w:tcW w:type="dxa" w:w="4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L'étudiant voit les ressources de sa campagne</w:t>
            </w:r>
          </w:p>
        </w:tc>
        <w:tc>
          <w:tcPr>
            <w:tcW w:type="dxa" w:w="45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Admin ajoute PDF → connexion étudiant → onglet Ressources → fichier visible</w:t>
            </w:r>
          </w:p>
        </w:tc>
      </w:tr>
    </w:tbl>
    <w:p>
      <w:pPr>
        <w:pStyle w:val="Heading1"/>
        <w:spacing w:before="300" w:after="150"/>
      </w:pPr>
      <w:r>
        <w:rPr>
          <w:rFonts w:ascii="Arial" w:cs="Arial" w:eastAsia="Arial" w:hAnsi="Arial"/>
        </w:rPr>
        <w:t xml:space="preserve">11. Priorisation et planning d'intégration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1500"/>
        <w:gridCol w:w="2000"/>
        <w:gridCol w:w="2226"/>
      </w:tblGrid>
      <w:tr>
        <w:tc>
          <w:tcPr>
            <w:tcW w:type="dxa" w:w="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28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Modification</w:t>
            </w:r>
          </w:p>
        </w:tc>
        <w:tc>
          <w:tcPr>
            <w:tcW w:type="dxa" w:w="15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 estimé</w:t>
            </w:r>
          </w:p>
        </w:tc>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Phase CDC</w:t>
            </w:r>
          </w:p>
        </w:tc>
        <w:tc>
          <w:tcPr>
            <w:tcW w:type="dxa" w:w="2226"/>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Priorité</w:t>
            </w:r>
          </w:p>
        </w:tc>
      </w:tr>
      <w:tr>
        <w:tc>
          <w:tcPr>
            <w:tcW w:type="dxa" w:w="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1</w:t>
            </w:r>
          </w:p>
        </w:tc>
        <w:tc>
          <w:tcPr>
            <w:tcW w:type="dxa" w:w="2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Catégories produits dynamiques</w:t>
            </w:r>
          </w:p>
        </w:tc>
        <w:tc>
          <w:tcPr>
            <w:tcW w:type="dxa" w:w="1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2-3 jours</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P1 (Catalogue)</w:t>
            </w:r>
          </w:p>
        </w:tc>
        <w:tc>
          <w:tcPr>
            <w:tcW w:type="dxa" w:w="22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b/>
                <w:bCs/>
                <w:color w:val="CC3333"/>
                <w:sz w:val="20"/>
                <w:szCs w:val="20"/>
              </w:rPr>
              <w:t xml:space="preserve">HAUTE</w:t>
            </w:r>
          </w:p>
        </w:tc>
      </w:tr>
      <w:tr>
        <w:tc>
          <w:tcPr>
            <w:tcW w:type="dxa" w:w="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2</w:t>
            </w:r>
          </w:p>
        </w:tc>
        <w:tc>
          <w:tcPr>
            <w:tcW w:type="dxa" w:w="2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Bug min_order CSE + correction</w:t>
            </w:r>
          </w:p>
        </w:tc>
        <w:tc>
          <w:tcPr>
            <w:tcW w:type="dxa" w:w="1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0.5 jour</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P3 (CSE)</w:t>
            </w:r>
          </w:p>
        </w:tc>
        <w:tc>
          <w:tcPr>
            <w:tcW w:type="dxa" w:w="22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b/>
                <w:bCs/>
                <w:color w:val="CC3333"/>
                <w:sz w:val="20"/>
                <w:szCs w:val="20"/>
              </w:rPr>
              <w:t xml:space="preserve">URGENT</w:t>
            </w:r>
          </w:p>
        </w:tc>
      </w:tr>
      <w:tr>
        <w:tc>
          <w:tcPr>
            <w:tcW w:type="dxa" w:w="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3</w:t>
            </w:r>
          </w:p>
        </w:tc>
        <w:tc>
          <w:tcPr>
            <w:tcW w:type="dxa" w:w="2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Logos paramétrables</w:t>
            </w:r>
          </w:p>
        </w:tc>
        <w:tc>
          <w:tcPr>
            <w:tcW w:type="dxa" w:w="1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2 jours</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P1-P2</w:t>
            </w:r>
          </w:p>
        </w:tc>
        <w:tc>
          <w:tcPr>
            <w:tcW w:type="dxa" w:w="22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b/>
                <w:bCs/>
                <w:color w:val="E67E22"/>
                <w:sz w:val="20"/>
                <w:szCs w:val="20"/>
              </w:rPr>
              <w:t xml:space="preserve">HAUTE</w:t>
            </w:r>
          </w:p>
        </w:tc>
      </w:tr>
      <w:tr>
        <w:tc>
          <w:tcPr>
            <w:tcW w:type="dxa" w:w="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4</w:t>
            </w:r>
          </w:p>
        </w:tc>
        <w:tc>
          <w:tcPr>
            <w:tcW w:type="dxa" w:w="2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Double cagnotte + cochon tirelire</w:t>
            </w:r>
          </w:p>
        </w:tc>
        <w:tc>
          <w:tcPr>
            <w:tcW w:type="dxa" w:w="1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3-4 jours</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P1 (Dashboard)</w:t>
            </w:r>
          </w:p>
        </w:tc>
        <w:tc>
          <w:tcPr>
            <w:tcW w:type="dxa" w:w="22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b/>
                <w:bCs/>
                <w:color w:val="E67E22"/>
                <w:sz w:val="20"/>
                <w:szCs w:val="20"/>
              </w:rPr>
              <w:t xml:space="preserve">HAUTE</w:t>
            </w:r>
          </w:p>
        </w:tc>
      </w:tr>
      <w:tr>
        <w:tc>
          <w:tcPr>
            <w:tcW w:type="dxa" w:w="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5</w:t>
            </w:r>
          </w:p>
        </w:tc>
        <w:tc>
          <w:tcPr>
            <w:tcW w:type="dxa" w:w="2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Lien partage étudiant (referral)</w:t>
            </w:r>
          </w:p>
        </w:tc>
        <w:tc>
          <w:tcPr>
            <w:tcW w:type="dxa" w:w="1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3-4 jours</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P1-P2</w:t>
            </w:r>
          </w:p>
        </w:tc>
        <w:tc>
          <w:tcPr>
            <w:tcW w:type="dxa" w:w="22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b/>
                <w:bCs/>
                <w:color w:val="2980B9"/>
                <w:sz w:val="20"/>
                <w:szCs w:val="20"/>
              </w:rPr>
              <w:t xml:space="preserve">MOYENNE</w:t>
            </w:r>
          </w:p>
        </w:tc>
      </w:tr>
      <w:tr>
        <w:tc>
          <w:tcPr>
            <w:tcW w:type="dxa" w:w="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6</w:t>
            </w:r>
          </w:p>
        </w:tc>
        <w:tc>
          <w:tcPr>
            <w:tcW w:type="dxa" w:w="2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Grille tarifaire transport</w:t>
            </w:r>
          </w:p>
        </w:tc>
        <w:tc>
          <w:tcPr>
            <w:tcW w:type="dxa" w:w="1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2-3 jours</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P2-P3</w:t>
            </w:r>
          </w:p>
        </w:tc>
        <w:tc>
          <w:tcPr>
            <w:tcW w:type="dxa" w:w="22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b/>
                <w:bCs/>
                <w:color w:val="2980B9"/>
                <w:sz w:val="20"/>
                <w:szCs w:val="20"/>
              </w:rPr>
              <w:t xml:space="preserve">MOYENNE</w:t>
            </w:r>
          </w:p>
        </w:tc>
      </w:tr>
      <w:tr>
        <w:tc>
          <w:tcPr>
            <w:tcW w:type="dxa" w:w="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7</w:t>
            </w:r>
          </w:p>
        </w:tc>
        <w:tc>
          <w:tcPr>
            <w:tcW w:type="dxa" w:w="28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Toggle sélection du moment</w:t>
            </w:r>
          </w:p>
        </w:tc>
        <w:tc>
          <w:tcPr>
            <w:tcW w:type="dxa" w:w="15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0.5 jour</w:t>
            </w:r>
          </w:p>
        </w:tc>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P1 (Catalogue)</w:t>
            </w:r>
          </w:p>
        </w:tc>
        <w:tc>
          <w:tcPr>
            <w:tcW w:type="dxa" w:w="2226"/>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b/>
                <w:bCs/>
                <w:color w:val="27AE60"/>
                <w:sz w:val="20"/>
                <w:szCs w:val="20"/>
              </w:rPr>
              <w:t xml:space="preserve">BASSE</w:t>
            </w:r>
          </w:p>
        </w:tc>
      </w:tr>
      <w:tr>
        <w:tc>
          <w:tcPr>
            <w:tcW w:type="dxa" w:w="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8</w:t>
            </w:r>
          </w:p>
        </w:tc>
        <w:tc>
          <w:tcPr>
            <w:tcW w:type="dxa" w:w="28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Espace ressources campagne</w:t>
            </w:r>
          </w:p>
        </w:tc>
        <w:tc>
          <w:tcPr>
            <w:tcW w:type="dxa" w:w="15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1-2 jours</w:t>
            </w:r>
          </w:p>
        </w:tc>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P4 (BTS/Formation)</w:t>
            </w:r>
          </w:p>
        </w:tc>
        <w:tc>
          <w:tcPr>
            <w:tcW w:type="dxa" w:w="2226"/>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b/>
                <w:bCs/>
                <w:color w:val="27AE60"/>
                <w:sz w:val="20"/>
                <w:szCs w:val="20"/>
              </w:rPr>
              <w:t xml:space="preserve">BASSE</w:t>
            </w:r>
          </w:p>
        </w:tc>
      </w:tr>
    </w:tbl>
    <w:p>
      <w:pPr>
        <w:spacing w:after="120"/>
        <w:jc w:val="left"/>
      </w:pPr>
      <w:r>
        <w:rPr>
          <w:rFonts w:ascii="Arial" w:cs="Arial" w:eastAsia="Arial" w:hAnsi="Arial"/>
          <w:b/>
          <w:bCs/>
          <w:sz w:val="22"/>
          <w:szCs w:val="22"/>
        </w:rPr>
        <w:t xml:space="preserve">Estimation totale ajoutée : 14-19 jours de dev soit environ 3-4 semaines supplémentaires.</w:t>
      </w:r>
    </w:p>
    <w:p>
      <w:pPr>
        <w:pBdr>
          <w:left w:val="single" w:color="CC3333" w:sz="6"/>
        </w:pBdr>
        <w:spacing w:before="120" w:after="120"/>
        <w:ind w:left="200"/>
      </w:pPr>
      <w:r>
        <w:rPr>
          <w:rFonts w:ascii="Arial" w:cs="Arial" w:eastAsia="Arial" w:hAnsi="Arial"/>
          <w:i/>
          <w:iCs/>
          <w:color w:val="CC3333"/>
          <w:sz w:val="22"/>
          <w:szCs w:val="22"/>
        </w:rPr>
        <w:t xml:space="preserve">⚠️ Cet avenant ajoute 3-4 semaines au planning initial. L'estimation globale passe de 8-9 semaines à 11-13 semaines. Le MVP (Phase 0-2) passe de 4-5 semaines à 6-7 semaines. Il est impératif de valider cette extension avec Nicolas avant de démarrer.</w:t>
      </w:r>
    </w:p>
    <w:p>
      <w:r>
        <w:br w:type="page"/>
      </w:r>
    </w:p>
    <w:p>
      <w:pPr>
        <w:pStyle w:val="Heading1"/>
        <w:spacing w:before="300" w:after="150"/>
      </w:pPr>
      <w:r>
        <w:rPr>
          <w:rFonts w:ascii="Arial" w:cs="Arial" w:eastAsia="Arial" w:hAnsi="Arial"/>
        </w:rPr>
        <w:t xml:space="preserve">12. Validation</w:t>
      </w:r>
    </w:p>
    <w:p>
      <w:pPr>
        <w:spacing w:after="120"/>
        <w:jc w:val="left"/>
      </w:pPr>
      <w:r>
        <w:rPr>
          <w:rFonts w:ascii="Arial" w:cs="Arial" w:eastAsia="Arial" w:hAnsi="Arial"/>
          <w:sz w:val="22"/>
          <w:szCs w:val="22"/>
        </w:rPr>
        <w:t xml:space="preserve">Cet avenant modifie le périmètre du CDC V4.0 sur la base de l'échange client du 13 février 2026. Les modifications décrites ci-dessus sont exhaustives et tracées à travers toutes les couches (données, API, logique métier, UI, tests).</w:t>
      </w:r>
    </w:p>
    <w:p>
      <w:pPr>
        <w:spacing w:after="120"/>
        <w:jc w:val="left"/>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2013"/>
        <w:gridCol w:w="2013"/>
      </w:tblGrid>
      <w:tr>
        <w:tc>
          <w:tcPr>
            <w:tcW w:type="dxa" w:w="2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
            </w:r>
          </w:p>
        </w:tc>
        <w:tc>
          <w:tcPr>
            <w:tcW w:type="dxa" w:w="3000"/>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Nom</w:t>
            </w:r>
          </w:p>
        </w:tc>
        <w:tc>
          <w:tcPr>
            <w:tcW w:type="dxa" w:w="2013"/>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013"/>
            <w:tcBorders>
              <w:top w:val="single" w:color="D5D0CB" w:sz="1"/>
              <w:left w:val="single" w:color="D5D0CB" w:sz="1"/>
              <w:bottom w:val="single" w:color="D5D0CB" w:sz="1"/>
              <w:right w:val="single" w:color="D5D0CB" w:sz="1"/>
            </w:tcBorders>
            <w:shd w:fill="722F37" w:val="clear"/>
            <w:tcMar>
              <w:top w:type="dxa" w:w="60"/>
              <w:left w:type="dxa" w:w="100"/>
              <w:bottom w:type="dxa" w:w="60"/>
              <w:right w:type="dxa" w:w="100"/>
            </w:tcMar>
            <w:vAlign w:val="center"/>
          </w:tcPr>
          <w:p>
            <w:r>
              <w:rPr>
                <w:rFonts w:ascii="Arial" w:cs="Arial" w:eastAsia="Arial" w:hAnsi="Arial"/>
                <w:b/>
                <w:bCs/>
                <w:color w:val="FFFFFF"/>
                <w:sz w:val="20"/>
                <w:szCs w:val="20"/>
              </w:rPr>
              <w:t xml:space="preserve">Signature</w:t>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Commanditaire</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Nicolas Froment</w:t>
            </w:r>
          </w:p>
        </w:tc>
        <w:tc>
          <w:tcPr>
            <w:tcW w:type="dxa" w:w="2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
            </w:r>
          </w:p>
        </w:tc>
        <w:tc>
          <w:tcPr>
            <w:tcW w:type="dxa" w:w="2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Chef de projet</w:t>
            </w:r>
          </w:p>
        </w:tc>
        <w:tc>
          <w:tcPr>
            <w:tcW w:type="dxa" w:w="3000"/>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Mathéo</w:t>
            </w:r>
          </w:p>
        </w:tc>
        <w:tc>
          <w:tcPr>
            <w:tcW w:type="dxa" w:w="2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
            </w:r>
          </w:p>
        </w:tc>
        <w:tc>
          <w:tcPr>
            <w:tcW w:type="dxa" w:w="2013"/>
            <w:tcBorders>
              <w:top w:val="single" w:color="D5D0CB" w:sz="1"/>
              <w:left w:val="single" w:color="D5D0CB" w:sz="1"/>
              <w:bottom w:val="single" w:color="D5D0CB" w:sz="1"/>
              <w:right w:val="single" w:color="D5D0CB" w:sz="1"/>
            </w:tcBorders>
            <w:shd w:fill="FAF7F4" w:val="clear"/>
            <w:tcMar>
              <w:top w:type="dxa" w:w="60"/>
              <w:left w:type="dxa" w:w="100"/>
              <w:bottom w:type="dxa" w:w="60"/>
              <w:right w:type="dxa" w:w="100"/>
            </w:tcMar>
          </w:tcPr>
          <w:p>
            <w:r>
              <w:rPr>
                <w:rFonts w:ascii="Arial" w:cs="Arial" w:eastAsia="Arial" w:hAnsi="Arial"/>
                <w:sz w:val="20"/>
                <w:szCs w:val="20"/>
              </w:rPr>
              <w:t xml:space="preserve"/>
            </w:r>
          </w:p>
        </w:tc>
      </w:tr>
      <w:tr>
        <w:tc>
          <w:tcPr>
            <w:tcW w:type="dxa" w:w="2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Développeur</w:t>
            </w:r>
          </w:p>
        </w:tc>
        <w:tc>
          <w:tcPr>
            <w:tcW w:type="dxa" w:w="3000"/>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
            </w:r>
          </w:p>
        </w:tc>
        <w:tc>
          <w:tcPr>
            <w:tcW w:type="dxa" w:w="2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
            </w:r>
          </w:p>
        </w:tc>
        <w:tc>
          <w:tcPr>
            <w:tcW w:type="dxa" w:w="2013"/>
            <w:tcBorders>
              <w:top w:val="single" w:color="D5D0CB" w:sz="1"/>
              <w:left w:val="single" w:color="D5D0CB" w:sz="1"/>
              <w:bottom w:val="single" w:color="D5D0CB" w:sz="1"/>
              <w:right w:val="single" w:color="D5D0CB" w:sz="1"/>
            </w:tcBorders>
            <w:tcMar>
              <w:top w:type="dxa" w:w="60"/>
              <w:left w:type="dxa" w:w="100"/>
              <w:bottom w:type="dxa" w:w="60"/>
              <w:right w:type="dxa" w:w="100"/>
            </w:tcMar>
          </w:tcPr>
          <w:p>
            <w:r>
              <w:rPr>
                <w:rFonts w:ascii="Arial" w:cs="Arial" w:eastAsia="Arial" w:hAnsi="Arial"/>
                <w:sz w:val="20"/>
                <w:szCs w:val="20"/>
              </w:rPr>
              <w:t xml:space="preserve"/>
            </w:r>
          </w:p>
        </w:tc>
      </w:tr>
    </w:tbl>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Avenant CDC V4.1 — Vins &amp; Conversations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722F37"/>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A4A4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2026-02-13T16:37:18.498Z</dcterms:created>
  <dcterms:modified xsi:type="dcterms:W3CDTF">2026-02-13T16:37:18.499Z</dcterms:modified>
</cp:coreProperties>
</file>

<file path=docProps/custom.xml><?xml version="1.0" encoding="utf-8"?>
<Properties xmlns="http://schemas.openxmlformats.org/officeDocument/2006/custom-properties" xmlns:vt="http://schemas.openxmlformats.org/officeDocument/2006/docPropsVTypes"/>
</file>