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tkinson Hyperlegible" w:cs="Atkinson Hyperlegible" w:eastAsia="Atkinson Hyperlegible" w:hAnsi="Atkinson Hyperlegib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tkinson Hyperlegible" w:cs="Atkinson Hyperlegible" w:eastAsia="Atkinson Hyperlegible" w:hAnsi="Atkinson Hyperlegible"/>
          <w:sz w:val="32"/>
          <w:szCs w:val="32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sz w:val="32"/>
          <w:szCs w:val="32"/>
          <w:rtl w:val="0"/>
        </w:rPr>
        <w:t xml:space="preserve">EVALUACIÓN ORDINARIA/EXTRAORDINARIA</w:t>
      </w:r>
    </w:p>
    <w:p w:rsidR="00000000" w:rsidDel="00000000" w:rsidP="00000000" w:rsidRDefault="00000000" w:rsidRPr="00000000" w14:paraId="00000004">
      <w:pPr>
        <w:jc w:val="center"/>
        <w:rPr>
          <w:rFonts w:ascii="Atkinson Hyperlegible" w:cs="Atkinson Hyperlegible" w:eastAsia="Atkinson Hyperlegible" w:hAnsi="Atkinson Hyperlegib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tkinson Hyperlegible" w:cs="Atkinson Hyperlegible" w:eastAsia="Atkinson Hyperlegible" w:hAnsi="Atkinson Hyperlegible"/>
          <w:b w:val="1"/>
          <w:sz w:val="32"/>
          <w:szCs w:val="32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sz w:val="32"/>
          <w:szCs w:val="32"/>
          <w:rtl w:val="0"/>
        </w:rPr>
        <w:t xml:space="preserve">Convocatoria de prueba de evaluación </w:t>
      </w:r>
    </w:p>
    <w:p w:rsidR="00000000" w:rsidDel="00000000" w:rsidP="00000000" w:rsidRDefault="00000000" w:rsidRPr="00000000" w14:paraId="00000006">
      <w:pPr>
        <w:jc w:val="center"/>
        <w:rPr>
          <w:rFonts w:ascii="Atkinson Hyperlegible" w:cs="Atkinson Hyperlegible" w:eastAsia="Atkinson Hyperlegible" w:hAnsi="Atkinson Hyperlegib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tkinson Hyperlegible" w:cs="Atkinson Hyperlegible" w:eastAsia="Atkinson Hyperlegible" w:hAnsi="Atkinson Hyperlegib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Atkinson Hyperlegible" w:cs="Atkinson Hyperlegible" w:eastAsia="Atkinson Hyperlegible" w:hAnsi="Atkinson Hyperlegible"/>
          <w:sz w:val="28"/>
          <w:szCs w:val="28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sz w:val="28"/>
          <w:szCs w:val="28"/>
          <w:rtl w:val="0"/>
        </w:rPr>
        <w:t xml:space="preserve">Asignatura: 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Atkinson Hyperlegible" w:cs="Atkinson Hyperlegible" w:eastAsia="Atkinson Hyperlegible" w:hAnsi="Atkinson Hyperlegible"/>
          <w:sz w:val="28"/>
          <w:szCs w:val="28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sz w:val="28"/>
          <w:szCs w:val="28"/>
          <w:rtl w:val="0"/>
        </w:rPr>
        <w:t xml:space="preserve">Curso/Grupo: 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Atkinson Hyperlegible" w:cs="Atkinson Hyperlegible" w:eastAsia="Atkinson Hyperlegible" w:hAnsi="Atkinson Hyperlegible"/>
          <w:sz w:val="28"/>
          <w:szCs w:val="28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sz w:val="28"/>
          <w:szCs w:val="28"/>
          <w:rtl w:val="0"/>
        </w:rPr>
        <w:t xml:space="preserve">Titulación: 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Atkinson Hyperlegible" w:cs="Atkinson Hyperlegible" w:eastAsia="Atkinson Hyperlegible" w:hAnsi="Atkinson Hyperlegible"/>
          <w:sz w:val="28"/>
          <w:szCs w:val="28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sz w:val="28"/>
          <w:szCs w:val="28"/>
          <w:rtl w:val="0"/>
        </w:rPr>
        <w:t xml:space="preserve">Fecha: 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Atkinson Hyperlegible" w:cs="Atkinson Hyperlegible" w:eastAsia="Atkinson Hyperlegible" w:hAnsi="Atkinson Hyperlegible"/>
          <w:sz w:val="28"/>
          <w:szCs w:val="28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sz w:val="28"/>
          <w:szCs w:val="28"/>
          <w:rtl w:val="0"/>
        </w:rPr>
        <w:t xml:space="preserve">Hora inicio: </w:t>
      </w:r>
    </w:p>
    <w:p w:rsidR="00000000" w:rsidDel="00000000" w:rsidP="00000000" w:rsidRDefault="00000000" w:rsidRPr="00000000" w14:paraId="0000000D">
      <w:pPr>
        <w:tabs>
          <w:tab w:val="left" w:leader="none" w:pos="6705"/>
        </w:tabs>
        <w:spacing w:line="276" w:lineRule="auto"/>
        <w:rPr>
          <w:rFonts w:ascii="Atkinson Hyperlegible" w:cs="Atkinson Hyperlegible" w:eastAsia="Atkinson Hyperlegible" w:hAnsi="Atkinson Hyperlegible"/>
          <w:sz w:val="28"/>
          <w:szCs w:val="28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sz w:val="28"/>
          <w:szCs w:val="28"/>
          <w:rtl w:val="0"/>
        </w:rPr>
        <w:t xml:space="preserve">Hora fin:</w:t>
        <w:tab/>
      </w:r>
    </w:p>
    <w:p w:rsidR="00000000" w:rsidDel="00000000" w:rsidP="00000000" w:rsidRDefault="00000000" w:rsidRPr="00000000" w14:paraId="0000000E">
      <w:pPr>
        <w:spacing w:line="276" w:lineRule="auto"/>
        <w:rPr>
          <w:rFonts w:ascii="Atkinson Hyperlegible" w:cs="Atkinson Hyperlegible" w:eastAsia="Atkinson Hyperlegible" w:hAnsi="Atkinson Hyperlegible"/>
          <w:sz w:val="28"/>
          <w:szCs w:val="28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sz w:val="28"/>
          <w:szCs w:val="28"/>
          <w:rtl w:val="0"/>
        </w:rPr>
        <w:t xml:space="preserve">Hora fin (estudiantes con NEAE/discapacidad): XXX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Atkinson Hyperlegible" w:cs="Atkinson Hyperlegible" w:eastAsia="Atkinson Hyperlegible" w:hAnsi="Atkinson Hyperlegible"/>
          <w:sz w:val="28"/>
          <w:szCs w:val="28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sz w:val="28"/>
          <w:szCs w:val="28"/>
          <w:rtl w:val="0"/>
        </w:rPr>
        <w:t xml:space="preserve">Otras adaptaciones: 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Atkinson Hyperlegible" w:cs="Atkinson Hyperlegible" w:eastAsia="Atkinson Hyperlegible" w:hAnsi="Atkinson Hyperlegible"/>
          <w:sz w:val="28"/>
          <w:szCs w:val="28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sz w:val="28"/>
          <w:szCs w:val="28"/>
          <w:rtl w:val="0"/>
        </w:rPr>
        <w:t xml:space="preserve">Modalidad: Presencial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Atkinson Hyperlegible" w:cs="Atkinson Hyperlegible" w:eastAsia="Atkinson Hyperlegible" w:hAnsi="Atkinson Hyperlegible"/>
          <w:sz w:val="28"/>
          <w:szCs w:val="28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sz w:val="28"/>
          <w:szCs w:val="28"/>
          <w:rtl w:val="0"/>
        </w:rPr>
        <w:t xml:space="preserve">Lugar: 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Atkinson Hyperlegible" w:cs="Atkinson Hyperlegible" w:eastAsia="Atkinson Hyperlegible" w:hAnsi="Atkinson Hyperlegible"/>
          <w:sz w:val="28"/>
          <w:szCs w:val="28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sz w:val="28"/>
          <w:szCs w:val="28"/>
          <w:rtl w:val="0"/>
        </w:rPr>
        <w:t xml:space="preserve">Estructura: 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Atkinson Hyperlegible" w:cs="Atkinson Hyperlegible" w:eastAsia="Atkinson Hyperlegible" w:hAnsi="Atkinson Hyperlegible"/>
          <w:sz w:val="28"/>
          <w:szCs w:val="28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sz w:val="28"/>
          <w:szCs w:val="28"/>
          <w:rtl w:val="0"/>
        </w:rPr>
        <w:t xml:space="preserve">Material Didáctico: 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Atkinson Hyperlegible" w:cs="Atkinson Hyperlegible" w:eastAsia="Atkinson Hyperlegible" w:hAnsi="Atkinson Hyperlegible"/>
          <w:sz w:val="28"/>
          <w:szCs w:val="28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sz w:val="28"/>
          <w:szCs w:val="28"/>
          <w:rtl w:val="0"/>
        </w:rPr>
        <w:t xml:space="preserve">Materia Objeto de Examen: 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Atkinson Hyperlegible" w:cs="Atkinson Hyperlegible" w:eastAsia="Atkinson Hyperlegible" w:hAnsi="Atkinson Hyperlegib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Atkinson Hyperlegible" w:cs="Atkinson Hyperlegible" w:eastAsia="Atkinson Hyperlegible" w:hAnsi="Atkinson Hyperlegib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Atkinson Hyperlegible" w:cs="Atkinson Hyperlegible" w:eastAsia="Atkinson Hyperlegible" w:hAnsi="Atkinson Hyperlegible"/>
          <w:sz w:val="28"/>
          <w:szCs w:val="28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sz w:val="28"/>
          <w:szCs w:val="28"/>
          <w:rtl w:val="0"/>
        </w:rPr>
        <w:t xml:space="preserve">En Granada, a FECHA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Atkinson Hyperlegible" w:cs="Atkinson Hyperlegible" w:eastAsia="Atkinson Hyperlegible" w:hAnsi="Atkinson Hyperlegib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FDO: </w:t>
      </w:r>
    </w:p>
    <w:p w:rsidR="00000000" w:rsidDel="00000000" w:rsidP="00000000" w:rsidRDefault="00000000" w:rsidRPr="00000000" w14:paraId="0000001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964" w:footer="82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Calibri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tkinson Hyperlegibl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-711199</wp:posOffset>
              </wp:positionH>
              <wp:positionV relativeFrom="paragraph">
                <wp:posOffset>127000</wp:posOffset>
              </wp:positionV>
              <wp:extent cx="6585841" cy="38227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057842" y="3593628"/>
                        <a:ext cx="6576316" cy="3727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Palatino" w:cs="Palatino" w:eastAsia="Palatino" w:hAnsi="Palatino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	</w:t>
                          </w:r>
                          <w:r w:rsidDel="00000000" w:rsidR="00000000" w:rsidRPr="00000000">
                            <w:rPr>
                              <w:rFonts w:ascii="Atkinson Hyperlegible" w:cs="Atkinson Hyperlegible" w:eastAsia="Atkinson Hyperlegible" w:hAnsi="Atkinson Hyperlegibl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   Departamento de XXXX. Campus de Fuentenueva, sn, 18071. Granada  |  Tfno. XXX |   xxx@ugr.es </w:t>
                          </w:r>
                          <w:r w:rsidDel="00000000" w:rsidR="00000000" w:rsidRPr="00000000">
                            <w:rPr>
                              <w:rFonts w:ascii="Atkinson Hyperlegible" w:cs="Atkinson Hyperlegible" w:eastAsia="Atkinson Hyperlegible" w:hAnsi="Atkinson Hyperlegible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tkinson Hyperlegible" w:cs="Atkinson Hyperlegible" w:eastAsia="Atkinson Hyperlegible" w:hAnsi="Atkinson Hyperlegibl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tkinson Hyperlegible" w:cs="Atkinson Hyperlegible" w:eastAsia="Atkinson Hyperlegible" w:hAnsi="Atkinson Hyperlegibl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-711199</wp:posOffset>
              </wp:positionH>
              <wp:positionV relativeFrom="paragraph">
                <wp:posOffset>127000</wp:posOffset>
              </wp:positionV>
              <wp:extent cx="6585841" cy="382270"/>
              <wp:effectExtent b="0" l="0" r="0" t="0"/>
              <wp:wrapNone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85841" cy="3822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1"/>
      <w:tblW w:w="9404.0" w:type="dxa"/>
      <w:jc w:val="left"/>
      <w:tblInd w:w="-172.0" w:type="dxa"/>
      <w:tblLayout w:type="fixed"/>
      <w:tblLook w:val="0000"/>
    </w:tblPr>
    <w:tblGrid>
      <w:gridCol w:w="2351"/>
      <w:gridCol w:w="2351"/>
      <w:gridCol w:w="2351"/>
      <w:gridCol w:w="2351"/>
      <w:tblGridChange w:id="0">
        <w:tblGrid>
          <w:gridCol w:w="2351"/>
          <w:gridCol w:w="2351"/>
          <w:gridCol w:w="2351"/>
          <w:gridCol w:w="2351"/>
        </w:tblGrid>
      </w:tblGridChange>
    </w:tblGrid>
    <w:tr>
      <w:trPr>
        <w:cantSplit w:val="0"/>
        <w:trHeight w:val="1271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1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133985</wp:posOffset>
                </wp:positionH>
                <wp:positionV relativeFrom="paragraph">
                  <wp:posOffset>54610</wp:posOffset>
                </wp:positionV>
                <wp:extent cx="2650648" cy="735089"/>
                <wp:effectExtent b="0" l="0" r="0" t="0"/>
                <wp:wrapNone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50648" cy="73508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/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1408932" cy="816972"/>
                <wp:effectExtent b="0" l="0" r="0" t="0"/>
                <wp:docPr id="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8932" cy="81697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8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ind w:left="432" w:hanging="432"/>
      <w:jc w:val="center"/>
    </w:pPr>
    <w:rPr>
      <w:rFonts w:ascii="Garamond" w:cs="Garamond" w:eastAsia="Garamond" w:hAnsi="Garamond"/>
      <w:b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ind w:left="720" w:hanging="720"/>
      <w:jc w:val="right"/>
    </w:pPr>
    <w:rPr>
      <w:rFonts w:ascii="Garamond" w:cs="Garamond" w:eastAsia="Garamond" w:hAnsi="Garamond"/>
      <w:i w:val="1"/>
      <w:sz w:val="16"/>
      <w:szCs w:val="16"/>
    </w:rPr>
  </w:style>
  <w:style w:type="paragraph" w:styleId="Heading4">
    <w:name w:val="heading 4"/>
    <w:basedOn w:val="Normal"/>
    <w:next w:val="Normal"/>
    <w:pPr>
      <w:keepNext w:val="1"/>
      <w:ind w:left="864" w:hanging="864"/>
    </w:pPr>
    <w:rPr>
      <w:rFonts w:ascii="Garamond" w:cs="Garamond" w:eastAsia="Garamond" w:hAnsi="Garamond"/>
      <w:i w:val="1"/>
      <w:sz w:val="16"/>
      <w:szCs w:val="1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uppressAutoHyphens w:val="1"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qFormat w:val="1"/>
    <w:pPr>
      <w:keepNext w:val="1"/>
      <w:numPr>
        <w:numId w:val="1"/>
      </w:numPr>
      <w:jc w:val="center"/>
      <w:outlineLvl w:val="0"/>
    </w:pPr>
    <w:rPr>
      <w:rFonts w:ascii="Garamond" w:cs="Garamond" w:hAnsi="Garamond"/>
      <w:b w:val="1"/>
      <w:bCs w:val="1"/>
    </w:rPr>
  </w:style>
  <w:style w:type="paragraph" w:styleId="Ttulo3">
    <w:name w:val="heading 3"/>
    <w:basedOn w:val="Normal"/>
    <w:next w:val="Normal"/>
    <w:qFormat w:val="1"/>
    <w:pPr>
      <w:keepNext w:val="1"/>
      <w:numPr>
        <w:ilvl w:val="2"/>
        <w:numId w:val="1"/>
      </w:numPr>
      <w:jc w:val="right"/>
      <w:outlineLvl w:val="2"/>
    </w:pPr>
    <w:rPr>
      <w:rFonts w:ascii="Garamond" w:cs="Garamond" w:hAnsi="Garamond"/>
      <w:i w:val="1"/>
      <w:iCs w:val="1"/>
      <w:sz w:val="16"/>
      <w:szCs w:val="16"/>
    </w:rPr>
  </w:style>
  <w:style w:type="paragraph" w:styleId="Ttulo4">
    <w:name w:val="heading 4"/>
    <w:basedOn w:val="Normal"/>
    <w:next w:val="Normal"/>
    <w:qFormat w:val="1"/>
    <w:pPr>
      <w:keepNext w:val="1"/>
      <w:numPr>
        <w:ilvl w:val="3"/>
        <w:numId w:val="1"/>
      </w:numPr>
      <w:outlineLvl w:val="3"/>
    </w:pPr>
    <w:rPr>
      <w:rFonts w:ascii="Garamond" w:cs="Garamond" w:hAnsi="Garamond"/>
      <w:i w:val="1"/>
      <w:iCs w:val="1"/>
      <w:sz w:val="16"/>
      <w:szCs w:val="1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Fuentedeprrafopredeter1" w:customStyle="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styleId="CITE" w:customStyle="1">
    <w:name w:val="CITE"/>
    <w:rPr>
      <w:i w:val="1"/>
    </w:rPr>
  </w:style>
  <w:style w:type="character" w:styleId="CODE" w:customStyle="1">
    <w:name w:val="CODE"/>
    <w:rPr>
      <w:rFonts w:ascii="Courier New" w:hAnsi="Courier New"/>
      <w:sz w:val="20"/>
    </w:rPr>
  </w:style>
  <w:style w:type="character" w:styleId="Hipervnculovisitado1" w:customStyle="1">
    <w:name w:val="Hipervínculo visitado1"/>
    <w:rPr>
      <w:color w:val="800080"/>
      <w:u w:val="single"/>
    </w:rPr>
  </w:style>
  <w:style w:type="character" w:styleId="Keyboard" w:customStyle="1">
    <w:name w:val="Keyboard"/>
    <w:rPr>
      <w:rFonts w:ascii="Courier New" w:hAnsi="Courier New"/>
      <w:b w:val="1"/>
      <w:sz w:val="20"/>
    </w:rPr>
  </w:style>
  <w:style w:type="character" w:styleId="Sample" w:customStyle="1">
    <w:name w:val="Sample"/>
    <w:rPr>
      <w:rFonts w:ascii="Courier New" w:hAnsi="Courier New"/>
    </w:rPr>
  </w:style>
  <w:style w:type="character" w:styleId="Textoennegrita1" w:customStyle="1">
    <w:name w:val="Texto en negrita1"/>
    <w:rPr>
      <w:b w:val="1"/>
    </w:rPr>
  </w:style>
  <w:style w:type="character" w:styleId="Typewriter" w:customStyle="1">
    <w:name w:val="Typewriter"/>
    <w:rPr>
      <w:rFonts w:ascii="Courier New" w:hAnsi="Courier New"/>
      <w:sz w:val="20"/>
    </w:rPr>
  </w:style>
  <w:style w:type="character" w:styleId="HTMLMarkup" w:customStyle="1">
    <w:name w:val="HTML Markup"/>
    <w:rPr>
      <w:vanish w:val="1"/>
      <w:color w:val="ff0000"/>
    </w:rPr>
  </w:style>
  <w:style w:type="character" w:styleId="Comment" w:customStyle="1">
    <w:name w:val="Comment"/>
    <w:rPr>
      <w:vanish w:val="1"/>
    </w:rPr>
  </w:style>
  <w:style w:type="character" w:styleId="Fuentedeprrafopredeter2" w:customStyle="1">
    <w:name w:val="Fuente de párrafo predeter.2"/>
  </w:style>
  <w:style w:type="character" w:styleId="Sangra2detindependienteCar" w:customStyle="1">
    <w:name w:val="Sangría 2 de t. independiente Car"/>
    <w:basedOn w:val="Fuentedeprrafopredeter2"/>
  </w:style>
  <w:style w:type="character" w:styleId="RSCH01PaperTitleChar" w:customStyle="1">
    <w:name w:val="RSC H01 Paper Title Char"/>
    <w:rPr>
      <w:b w:val="1"/>
      <w:sz w:val="32"/>
      <w:szCs w:val="32"/>
    </w:rPr>
  </w:style>
  <w:style w:type="character" w:styleId="RSCB01ARTAbstractChar" w:customStyle="1">
    <w:name w:val="RSC B01 ART Abstract Char"/>
    <w:rPr>
      <w:sz w:val="16"/>
      <w:lang w:val="es-ES"/>
    </w:rPr>
  </w:style>
  <w:style w:type="paragraph" w:styleId="Encabezado1" w:customStyle="1">
    <w:name w:val="Encabezado1"/>
    <w:basedOn w:val="Normal"/>
    <w:next w:val="Textoindependiente"/>
    <w:pPr>
      <w:keepNext w:val="1"/>
      <w:spacing w:after="120" w:before="240"/>
    </w:pPr>
    <w:rPr>
      <w:rFonts w:ascii="Arial" w:cs="Mangal" w:eastAsia="Arial Unicode MS" w:hAnsi="Ari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Mangal"/>
    </w:rPr>
  </w:style>
  <w:style w:type="paragraph" w:styleId="Etiqueta" w:customStyle="1">
    <w:name w:val="Etiqueta"/>
    <w:basedOn w:val="Normal"/>
    <w:pPr>
      <w:suppressLineNumbers w:val="1"/>
      <w:spacing w:after="120" w:before="120"/>
    </w:pPr>
    <w:rPr>
      <w:rFonts w:cs="Mangal"/>
      <w:i w:val="1"/>
      <w:iCs w:val="1"/>
    </w:rPr>
  </w:style>
  <w:style w:type="paragraph" w:styleId="ndice" w:customStyle="1">
    <w:name w:val="Índice"/>
    <w:basedOn w:val="Normal"/>
    <w:pPr>
      <w:suppressLineNumbers w:val="1"/>
    </w:pPr>
    <w:rPr>
      <w:rFonts w:cs="Mangal"/>
    </w:rPr>
  </w:style>
  <w:style w:type="paragraph" w:styleId="Sangra2detindependiente1" w:customStyle="1">
    <w:name w:val="Sangría 2 de t. independiente1"/>
    <w:basedOn w:val="Normal"/>
    <w:pPr>
      <w:spacing w:line="360" w:lineRule="auto"/>
      <w:ind w:left="709" w:firstLine="709"/>
    </w:pPr>
    <w:rPr>
      <w:sz w:val="28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Contenidodelmarco" w:customStyle="1">
    <w:name w:val="Contenido del marco"/>
    <w:basedOn w:val="Textoindependiente"/>
  </w:style>
  <w:style w:type="paragraph" w:styleId="Contenidodelatabla" w:customStyle="1">
    <w:name w:val="Contenido de la tabla"/>
    <w:basedOn w:val="Normal"/>
    <w:pPr>
      <w:suppressLineNumbers w:val="1"/>
    </w:pPr>
  </w:style>
  <w:style w:type="paragraph" w:styleId="Encabezadodelatabla" w:customStyle="1">
    <w:name w:val="Encabezado de la tabla"/>
    <w:basedOn w:val="Contenidodelatabla"/>
    <w:pPr>
      <w:jc w:val="center"/>
    </w:pPr>
    <w:rPr>
      <w:b w:val="1"/>
      <w:bCs w:val="1"/>
    </w:rPr>
  </w:style>
  <w:style w:type="paragraph" w:styleId="DefinitionTerm" w:customStyle="1">
    <w:name w:val="Definition Term"/>
    <w:basedOn w:val="Normal"/>
  </w:style>
  <w:style w:type="paragraph" w:styleId="DefinitionList" w:customStyle="1">
    <w:name w:val="Definition List"/>
    <w:basedOn w:val="Normal"/>
    <w:pPr>
      <w:ind w:left="360"/>
    </w:pPr>
  </w:style>
  <w:style w:type="paragraph" w:styleId="H1" w:customStyle="1">
    <w:name w:val="H1"/>
    <w:basedOn w:val="Normal"/>
    <w:pPr>
      <w:keepNext w:val="1"/>
      <w:spacing w:after="100" w:before="100"/>
    </w:pPr>
    <w:rPr>
      <w:b w:val="1"/>
      <w:kern w:val="1"/>
      <w:sz w:val="48"/>
    </w:rPr>
  </w:style>
  <w:style w:type="paragraph" w:styleId="H2" w:customStyle="1">
    <w:name w:val="H2"/>
    <w:basedOn w:val="Normal"/>
    <w:pPr>
      <w:keepNext w:val="1"/>
      <w:spacing w:after="100" w:before="100"/>
    </w:pPr>
    <w:rPr>
      <w:b w:val="1"/>
      <w:sz w:val="36"/>
    </w:rPr>
  </w:style>
  <w:style w:type="paragraph" w:styleId="H3" w:customStyle="1">
    <w:name w:val="H3"/>
    <w:basedOn w:val="Normal"/>
    <w:pPr>
      <w:keepNext w:val="1"/>
      <w:spacing w:after="100" w:before="100"/>
    </w:pPr>
    <w:rPr>
      <w:b w:val="1"/>
      <w:sz w:val="28"/>
    </w:rPr>
  </w:style>
  <w:style w:type="paragraph" w:styleId="H4" w:customStyle="1">
    <w:name w:val="H4"/>
    <w:basedOn w:val="Normal"/>
    <w:pPr>
      <w:keepNext w:val="1"/>
      <w:spacing w:after="100" w:before="100"/>
    </w:pPr>
    <w:rPr>
      <w:b w:val="1"/>
    </w:rPr>
  </w:style>
  <w:style w:type="paragraph" w:styleId="H5" w:customStyle="1">
    <w:name w:val="H5"/>
    <w:basedOn w:val="Normal"/>
    <w:pPr>
      <w:keepNext w:val="1"/>
      <w:spacing w:after="100" w:before="100"/>
    </w:pPr>
    <w:rPr>
      <w:b w:val="1"/>
      <w:sz w:val="20"/>
    </w:rPr>
  </w:style>
  <w:style w:type="paragraph" w:styleId="H6" w:customStyle="1">
    <w:name w:val="H6"/>
    <w:basedOn w:val="Normal"/>
    <w:pPr>
      <w:keepNext w:val="1"/>
      <w:spacing w:after="100" w:before="100"/>
    </w:pPr>
    <w:rPr>
      <w:b w:val="1"/>
      <w:sz w:val="16"/>
    </w:rPr>
  </w:style>
  <w:style w:type="paragraph" w:styleId="Address" w:customStyle="1">
    <w:name w:val="Address"/>
    <w:basedOn w:val="Normal"/>
    <w:rPr>
      <w:i w:val="1"/>
    </w:rPr>
  </w:style>
  <w:style w:type="paragraph" w:styleId="Blockquote" w:customStyle="1">
    <w:name w:val="Blockquote"/>
    <w:basedOn w:val="Normal"/>
    <w:pPr>
      <w:spacing w:after="100" w:before="100"/>
      <w:ind w:left="360" w:right="360"/>
    </w:pPr>
  </w:style>
  <w:style w:type="paragraph" w:styleId="Preformatted" w:customStyle="1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z w:val="20"/>
    </w:rPr>
  </w:style>
  <w:style w:type="paragraph" w:styleId="z-BottomofForm" w:customStyle="1">
    <w:name w:val="z-Bottom of Form"/>
    <w:pPr>
      <w:pBdr>
        <w:top w:color="000000" w:space="0" w:sz="4" w:val="double"/>
      </w:pBdr>
      <w:suppressAutoHyphens w:val="1"/>
      <w:jc w:val="center"/>
    </w:pPr>
    <w:rPr>
      <w:rFonts w:ascii="Arial" w:cs="Courier New" w:eastAsia="Arial" w:hAnsi="Arial"/>
      <w:vanish w:val="1"/>
      <w:sz w:val="16"/>
      <w:szCs w:val="24"/>
      <w:lang w:bidi="hi-IN" w:eastAsia="hi-IN"/>
    </w:rPr>
  </w:style>
  <w:style w:type="paragraph" w:styleId="z-TopofForm" w:customStyle="1">
    <w:name w:val="z-Top of Form"/>
    <w:pPr>
      <w:pBdr>
        <w:bottom w:color="000000" w:space="0" w:sz="4" w:val="double"/>
      </w:pBdr>
      <w:suppressAutoHyphens w:val="1"/>
      <w:jc w:val="center"/>
    </w:pPr>
    <w:rPr>
      <w:rFonts w:ascii="Arial" w:cs="Courier New" w:eastAsia="Arial" w:hAnsi="Arial"/>
      <w:vanish w:val="1"/>
      <w:sz w:val="16"/>
      <w:szCs w:val="24"/>
      <w:lang w:bidi="hi-IN" w:eastAsia="hi-IN"/>
    </w:rPr>
  </w:style>
  <w:style w:type="paragraph" w:styleId="DocumentMap" w:customStyle="1">
    <w:name w:val="DocumentMap"/>
    <w:pPr>
      <w:suppressAutoHyphens w:val="1"/>
      <w:spacing w:after="200" w:line="276" w:lineRule="auto"/>
    </w:pPr>
    <w:rPr>
      <w:rFonts w:ascii="Calibri" w:hAnsi="Calibri"/>
      <w:sz w:val="22"/>
      <w:szCs w:val="22"/>
      <w:lang w:eastAsia="ar-SA"/>
    </w:rPr>
  </w:style>
  <w:style w:type="paragraph" w:styleId="Sangra2detindependiente2" w:customStyle="1">
    <w:name w:val="Sangría 2 de t. independiente2"/>
    <w:basedOn w:val="Normal"/>
    <w:pPr>
      <w:spacing w:line="360" w:lineRule="auto"/>
      <w:ind w:left="709" w:firstLine="709"/>
    </w:pPr>
    <w:rPr>
      <w:sz w:val="28"/>
    </w:rPr>
  </w:style>
  <w:style w:type="paragraph" w:styleId="RSCH01PaperTitle" w:customStyle="1">
    <w:name w:val="RSC H01 Paper Title"/>
    <w:basedOn w:val="Normal"/>
    <w:pPr>
      <w:tabs>
        <w:tab w:val="left" w:pos="284"/>
      </w:tabs>
      <w:spacing w:after="160" w:before="400" w:line="100" w:lineRule="atLeast"/>
    </w:pPr>
    <w:rPr>
      <w:b w:val="1"/>
      <w:sz w:val="29"/>
      <w:szCs w:val="32"/>
    </w:rPr>
  </w:style>
  <w:style w:type="paragraph" w:styleId="RSCB01ARTAbstract" w:customStyle="1">
    <w:name w:val="RSC B01 ART Abstract"/>
    <w:basedOn w:val="Normal"/>
    <w:pPr>
      <w:spacing w:line="240" w:lineRule="exact"/>
      <w:jc w:val="both"/>
    </w:pPr>
    <w:rPr>
      <w:sz w:val="16"/>
    </w:rPr>
  </w:style>
  <w:style w:type="paragraph" w:styleId="Prrafodelista">
    <w:name w:val="List Paragraph"/>
    <w:basedOn w:val="Normal"/>
    <w:uiPriority w:val="34"/>
    <w:qFormat w:val="1"/>
    <w:rsid w:val="001C246E"/>
    <w:pPr>
      <w:suppressAutoHyphens w:val="0"/>
      <w:spacing w:after="120" w:line="276" w:lineRule="auto"/>
      <w:ind w:left="720"/>
      <w:contextualSpacing w:val="1"/>
    </w:pPr>
    <w:rPr>
      <w:rFonts w:ascii="Calibri" w:eastAsia="Calibri" w:hAnsi="Calibri"/>
      <w:sz w:val="22"/>
      <w:szCs w:val="22"/>
      <w:lang w:eastAsia="en-US" w:val="en-GB"/>
    </w:rPr>
  </w:style>
  <w:style w:type="paragraph" w:styleId="NormalWeb">
    <w:name w:val="Normal (Web)"/>
    <w:basedOn w:val="Normal"/>
    <w:uiPriority w:val="99"/>
    <w:semiHidden w:val="1"/>
    <w:unhideWhenUsed w:val="1"/>
    <w:rsid w:val="00E3219B"/>
    <w:pPr>
      <w:suppressAutoHyphens w:val="0"/>
      <w:spacing w:after="100" w:afterAutospacing="1" w:before="100" w:beforeAutospacing="1"/>
    </w:pPr>
    <w:rPr>
      <w:lang w:eastAsia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AtkinsonHyperlegible-regular.ttf"/><Relationship Id="rId6" Type="http://schemas.openxmlformats.org/officeDocument/2006/relationships/font" Target="fonts/AtkinsonHyperlegible-bold.ttf"/><Relationship Id="rId7" Type="http://schemas.openxmlformats.org/officeDocument/2006/relationships/font" Target="fonts/AtkinsonHyperlegible-italic.ttf"/><Relationship Id="rId8" Type="http://schemas.openxmlformats.org/officeDocument/2006/relationships/font" Target="fonts/AtkinsonHyperlegibl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lDe5v+Phslm63gWZzHwhH6N0Ow==">CgMxLjA4AHIhMXlMbndNYnNRdG5GNkw1ekZiWjdRSk84VUZucEhEU2tB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2025-03-24T14:56:00Z</dcterms:created>
  <dc:creator>EnriqueB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Encoding">
    <vt:lpwstr>utf-8</vt:lpwstr>
  </property>
  <property fmtid="{D5CDD505-2E9C-101B-9397-08002B2CF9AE}" pid="3" name="HTML">
    <vt:bool>true</vt:bool>
  </property>
</Properties>
</file>