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especificación-funcional-y-técnica"/>
    <w:p>
      <w:pPr>
        <w:pStyle w:val="Heading1"/>
      </w:pPr>
      <w:r>
        <w:t xml:space="preserve">Especificación funcional y técnica</w:t>
      </w:r>
    </w:p>
    <w:p>
      <w:pPr>
        <w:pStyle w:val="FirstParagraph"/>
      </w:pPr>
      <w:r>
        <w:rPr>
          <w:b/>
          <w:bCs/>
        </w:rPr>
        <w:t xml:space="preserve">Producto:</w:t>
      </w:r>
      <w:r>
        <w:t xml:space="preserve"> </w:t>
      </w:r>
      <w:r>
        <w:t xml:space="preserve">Sistema integral de gestión para taller mecánico de automoción (DMS)</w:t>
      </w:r>
      <w:r>
        <w:t xml:space="preserve"> </w:t>
      </w:r>
      <w:r>
        <w:rPr>
          <w:b/>
          <w:bCs/>
        </w:rPr>
        <w:t xml:space="preserve">Ámbito:</w:t>
      </w:r>
      <w:r>
        <w:t xml:space="preserve"> </w:t>
      </w:r>
      <w:r>
        <w:t xml:space="preserve">Canarias — cumplimiento IGIC y normativa española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1.0 (12/10/2025)</w:t>
      </w:r>
    </w:p>
    <w:p>
      <w:r>
        <w:pict>
          <v:rect style="width:0;height:1.5pt" o:hralign="center" o:hrstd="t" o:hr="t"/>
        </w:pict>
      </w:r>
    </w:p>
    <w:bookmarkStart w:id="20" w:name="visión-y-objetivos"/>
    <w:p>
      <w:pPr>
        <w:pStyle w:val="Heading2"/>
      </w:pPr>
      <w:r>
        <w:t xml:space="preserve">1) Visión y objetivos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DMS (Dealer/Workshop Management System)</w:t>
      </w:r>
      <w:r>
        <w:t xml:space="preserve"> </w:t>
      </w:r>
      <w:r>
        <w:t xml:space="preserve">modular, escalable y multi‑sede que cubra todo el ciclo de vida del servicio: captación de cita, recepción activa, presupuesto, orden de reparación (OR), compra de recambios, almacén, mano de obra, calidad, facturación con</w:t>
      </w:r>
      <w:r>
        <w:t xml:space="preserve"> </w:t>
      </w:r>
      <w:r>
        <w:rPr>
          <w:b/>
          <w:bCs/>
        </w:rPr>
        <w:t xml:space="preserve">IGIC</w:t>
      </w:r>
      <w:r>
        <w:t xml:space="preserve">, cobro, CRM postventa, analítica y contabilidad. Debe operar en</w:t>
      </w:r>
      <w:r>
        <w:t xml:space="preserve"> </w:t>
      </w:r>
      <w:r>
        <w:rPr>
          <w:b/>
          <w:bCs/>
        </w:rPr>
        <w:t xml:space="preserve">web (PWA)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móvil</w:t>
      </w:r>
      <w:r>
        <w:t xml:space="preserve"> </w:t>
      </w:r>
      <w:r>
        <w:t xml:space="preserve">(recepción en pista), con posibilidad de</w:t>
      </w:r>
      <w:r>
        <w:t xml:space="preserve"> </w:t>
      </w:r>
      <w:r>
        <w:rPr>
          <w:b/>
          <w:bCs/>
        </w:rPr>
        <w:t xml:space="preserve">modo offline</w:t>
      </w:r>
      <w:r>
        <w:t xml:space="preserve"> </w:t>
      </w:r>
      <w:r>
        <w:t xml:space="preserve">para tareas críticas de front‑desk.</w:t>
      </w:r>
    </w:p>
    <w:p>
      <w:pPr>
        <w:pStyle w:val="BodyText"/>
      </w:pPr>
      <w:r>
        <w:rPr>
          <w:b/>
          <w:bCs/>
        </w:rPr>
        <w:t xml:space="preserve">Objetivos clave</w:t>
      </w:r>
      <w:r>
        <w:t xml:space="preserve"> </w:t>
      </w:r>
      <w:r>
        <w:t xml:space="preserve">- Reducir tiempos muertos y errores manuales (plantillas, códigos de avería, checklists).</w:t>
      </w:r>
      <w:r>
        <w:t xml:space="preserve"> </w:t>
      </w:r>
      <w:r>
        <w:t xml:space="preserve">- Trazabilidad total: vehículo–cliente–cita–OR–partes–consumos–factura–cobro–garantía.</w:t>
      </w:r>
      <w:r>
        <w:t xml:space="preserve"> </w:t>
      </w:r>
      <w:r>
        <w:t xml:space="preserve">- Cumplimiento legal:</w:t>
      </w:r>
      <w:r>
        <w:t xml:space="preserve"> </w:t>
      </w:r>
      <w:r>
        <w:rPr>
          <w:b/>
          <w:bCs/>
        </w:rPr>
        <w:t xml:space="preserve">IGIC</w:t>
      </w:r>
      <w:r>
        <w:t xml:space="preserve">, factura simplificada/ordinaria, rectificativas,</w:t>
      </w:r>
      <w:r>
        <w:t xml:space="preserve"> </w:t>
      </w:r>
      <w:r>
        <w:rPr>
          <w:b/>
          <w:bCs/>
        </w:rPr>
        <w:t xml:space="preserve">SEPA</w:t>
      </w:r>
      <w:r>
        <w:t xml:space="preserve">,</w:t>
      </w:r>
      <w:r>
        <w:t xml:space="preserve"> </w:t>
      </w:r>
      <w:r>
        <w:rPr>
          <w:b/>
          <w:bCs/>
        </w:rPr>
        <w:t xml:space="preserve">RGPD</w:t>
      </w:r>
      <w:r>
        <w:t xml:space="preserve">.</w:t>
      </w:r>
      <w:r>
        <w:t xml:space="preserve"> </w:t>
      </w:r>
      <w:r>
        <w:t xml:space="preserve">- Integración con proveedores de recambios (catálogo, disponibilidad y precios) y pasarelas de pago.</w:t>
      </w:r>
      <w:r>
        <w:t xml:space="preserve"> </w:t>
      </w:r>
      <w:r>
        <w:t xml:space="preserve">- KPIs accionables: ocupación de boxes, productividad, margen por OR, rotación de stock, NPS.</w:t>
      </w:r>
    </w:p>
    <w:p>
      <w:r>
        <w:pict>
          <v:rect style="width:0;height:1.5pt" o:hralign="center" o:hrstd="t" o:hr="t"/>
        </w:pict>
      </w:r>
    </w:p>
    <w:bookmarkEnd w:id="20"/>
    <w:bookmarkStart w:id="21" w:name="alcance-funcional-módulos"/>
    <w:p>
      <w:pPr>
        <w:pStyle w:val="Heading2"/>
      </w:pPr>
      <w:r>
        <w:t xml:space="preserve">2) Alcance funcional (módulos)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Agenda y Citas</w:t>
      </w:r>
    </w:p>
    <w:p>
      <w:pPr>
        <w:pStyle w:val="Compact"/>
        <w:numPr>
          <w:ilvl w:val="1"/>
          <w:numId w:val="1002"/>
        </w:numPr>
      </w:pPr>
      <w:r>
        <w:t xml:space="preserve">Calendario por</w:t>
      </w:r>
      <w:r>
        <w:t xml:space="preserve"> </w:t>
      </w:r>
      <w:r>
        <w:rPr>
          <w:b/>
          <w:bCs/>
        </w:rPr>
        <w:t xml:space="preserve">sede/box/técnico</w:t>
      </w:r>
      <w:r>
        <w:t xml:space="preserve">, vista día/semana/mes.</w:t>
      </w:r>
    </w:p>
    <w:p>
      <w:pPr>
        <w:pStyle w:val="Compact"/>
        <w:numPr>
          <w:ilvl w:val="1"/>
          <w:numId w:val="1002"/>
        </w:numPr>
      </w:pPr>
      <w:r>
        <w:t xml:space="preserve">Capturas de cita omnicanal: web, teléfono, WhatsApp, landing PWA.</w:t>
      </w:r>
    </w:p>
    <w:p>
      <w:pPr>
        <w:pStyle w:val="Compact"/>
        <w:numPr>
          <w:ilvl w:val="1"/>
          <w:numId w:val="1002"/>
        </w:numPr>
      </w:pPr>
      <w:r>
        <w:t xml:space="preserve">Pre‑diagnóstico guiado (síntomas, luces testigo, ruidos, A/B test preguntas).</w:t>
      </w:r>
    </w:p>
    <w:p>
      <w:pPr>
        <w:pStyle w:val="Compact"/>
        <w:numPr>
          <w:ilvl w:val="1"/>
          <w:numId w:val="1002"/>
        </w:numPr>
      </w:pPr>
      <w:r>
        <w:t xml:space="preserve">Confirmaciones y recordatorios (email/SMS/WhatsApp).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Recepción Activa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Check‑in</w:t>
      </w:r>
      <w:r>
        <w:t xml:space="preserve"> </w:t>
      </w:r>
      <w:r>
        <w:t xml:space="preserve">con lectura de matrícula/VIN (OCR opcional) y fotos 360º (estado carrocería/llantas).</w:t>
      </w:r>
    </w:p>
    <w:p>
      <w:pPr>
        <w:pStyle w:val="Compact"/>
        <w:numPr>
          <w:ilvl w:val="1"/>
          <w:numId w:val="1003"/>
        </w:numPr>
      </w:pPr>
      <w:r>
        <w:t xml:space="preserve">Checklist configurable (ITV, niveles, neumáticos, frenos). Firma digital de autorización y LOPD.</w:t>
      </w:r>
    </w:p>
    <w:p>
      <w:pPr>
        <w:pStyle w:val="Compact"/>
        <w:numPr>
          <w:ilvl w:val="1"/>
          <w:numId w:val="1003"/>
        </w:numPr>
      </w:pPr>
      <w:r>
        <w:t xml:space="preserve">Vehículo de cortesía (reserva, contrato, estado, combustible).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Presupuestos</w:t>
      </w:r>
    </w:p>
    <w:p>
      <w:pPr>
        <w:pStyle w:val="Compact"/>
        <w:numPr>
          <w:ilvl w:val="1"/>
          <w:numId w:val="1004"/>
        </w:numPr>
      </w:pPr>
      <w:r>
        <w:t xml:space="preserve">Plantillas por operación (mantenimiento A/B, distribución, frenos…).</w:t>
      </w:r>
    </w:p>
    <w:p>
      <w:pPr>
        <w:pStyle w:val="Compact"/>
        <w:numPr>
          <w:ilvl w:val="1"/>
          <w:numId w:val="1004"/>
        </w:numPr>
      </w:pPr>
      <w:r>
        <w:t xml:space="preserve">Mano de obra por</w:t>
      </w:r>
      <w:r>
        <w:t xml:space="preserve"> </w:t>
      </w:r>
      <w:r>
        <w:rPr>
          <w:b/>
          <w:bCs/>
        </w:rPr>
        <w:t xml:space="preserve">familia</w:t>
      </w:r>
      <w:r>
        <w:t xml:space="preserve">, tarifa y tiempos</w:t>
      </w:r>
      <w:r>
        <w:t xml:space="preserve"> </w:t>
      </w:r>
      <w:r>
        <w:rPr>
          <w:b/>
          <w:bCs/>
        </w:rPr>
        <w:t xml:space="preserve">(baremos)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Recambios: PVP, coste, equivalentes,</w:t>
      </w:r>
      <w:r>
        <w:t xml:space="preserve"> </w:t>
      </w:r>
      <w:r>
        <w:rPr>
          <w:b/>
          <w:bCs/>
        </w:rPr>
        <w:t xml:space="preserve">referencias cruzadas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Aprobación por SMS/WhatsApp con link seguro (aceptar/rechazar/alternativas).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Órdenes de Reparación (OR)</w:t>
      </w:r>
    </w:p>
    <w:p>
      <w:pPr>
        <w:pStyle w:val="Compact"/>
        <w:numPr>
          <w:ilvl w:val="1"/>
          <w:numId w:val="1005"/>
        </w:numPr>
      </w:pPr>
      <w:r>
        <w:t xml:space="preserve">Estados:</w:t>
      </w:r>
      <w:r>
        <w:t xml:space="preserve"> </w:t>
      </w:r>
      <w:r>
        <w:rPr>
          <w:i/>
          <w:iCs/>
        </w:rPr>
        <w:t xml:space="preserve">Abierta → En curso → A la espera → Terminada → Facturada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Partes de trabajo, reloj de fichajes, tiempos estándar vs reales.</w:t>
      </w:r>
    </w:p>
    <w:p>
      <w:pPr>
        <w:pStyle w:val="Compact"/>
        <w:numPr>
          <w:ilvl w:val="1"/>
          <w:numId w:val="1005"/>
        </w:numPr>
      </w:pPr>
      <w:r>
        <w:t xml:space="preserve">Control de calidad/road test, no conformidades, fotos y vídeos.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Compras y Almacén</w:t>
      </w:r>
    </w:p>
    <w:p>
      <w:pPr>
        <w:pStyle w:val="Compact"/>
        <w:numPr>
          <w:ilvl w:val="1"/>
          <w:numId w:val="1006"/>
        </w:numPr>
      </w:pPr>
      <w:r>
        <w:t xml:space="preserve">Solicitud de oferta (RFQ) a múltiples proveedores, selección por coste/plazo.</w:t>
      </w:r>
    </w:p>
    <w:p>
      <w:pPr>
        <w:pStyle w:val="Compact"/>
        <w:numPr>
          <w:ilvl w:val="1"/>
          <w:numId w:val="1006"/>
        </w:numPr>
      </w:pPr>
      <w:r>
        <w:t xml:space="preserve">Pedidos, recepciones (con o sin</w:t>
      </w:r>
      <w:r>
        <w:t xml:space="preserve"> </w:t>
      </w:r>
      <w:r>
        <w:rPr>
          <w:b/>
          <w:bCs/>
        </w:rPr>
        <w:t xml:space="preserve">Nº de lote/serie</w:t>
      </w:r>
      <w:r>
        <w:t xml:space="preserve">), devoluciones.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Ubicaciones</w:t>
      </w:r>
      <w:r>
        <w:t xml:space="preserve"> </w:t>
      </w:r>
      <w:r>
        <w:t xml:space="preserve">y multialmacén; inventario cíclico, rotación (ABC), stock mínimo.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Catálogo &amp; Baremos</w:t>
      </w:r>
    </w:p>
    <w:p>
      <w:pPr>
        <w:pStyle w:val="Compact"/>
        <w:numPr>
          <w:ilvl w:val="1"/>
          <w:numId w:val="1007"/>
        </w:numPr>
      </w:pPr>
      <w:r>
        <w:t xml:space="preserve">Árbol de piezas (OEM/aftermarket), kits, equivalencias.</w:t>
      </w:r>
    </w:p>
    <w:p>
      <w:pPr>
        <w:pStyle w:val="Compact"/>
        <w:numPr>
          <w:ilvl w:val="1"/>
          <w:numId w:val="1007"/>
        </w:numPr>
      </w:pPr>
      <w:r>
        <w:t xml:space="preserve">Tiempos baremados (por operación/modelo) y tarifación de MO.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Facturación (IGIC)</w:t>
      </w:r>
    </w:p>
    <w:p>
      <w:pPr>
        <w:pStyle w:val="Compact"/>
        <w:numPr>
          <w:ilvl w:val="1"/>
          <w:numId w:val="1008"/>
        </w:numPr>
      </w:pPr>
      <w:r>
        <w:t xml:space="preserve">Factura proforma, simplificada, ordinaria y rectificativa.</w:t>
      </w:r>
    </w:p>
    <w:p>
      <w:pPr>
        <w:pStyle w:val="Compact"/>
        <w:numPr>
          <w:ilvl w:val="1"/>
          <w:numId w:val="1008"/>
        </w:numPr>
      </w:pPr>
      <w:r>
        <w:t xml:space="preserve">Tipos de IGIC configurables (0%, 3%,</w:t>
      </w:r>
      <w:r>
        <w:t xml:space="preserve"> </w:t>
      </w:r>
      <w:r>
        <w:rPr>
          <w:b/>
          <w:bCs/>
        </w:rPr>
        <w:t xml:space="preserve">7%</w:t>
      </w:r>
      <w:r>
        <w:t xml:space="preserve">, 9.5%, 15%, etc.) y</w:t>
      </w:r>
      <w:r>
        <w:t xml:space="preserve"> </w:t>
      </w:r>
      <w:r>
        <w:rPr>
          <w:b/>
          <w:bCs/>
        </w:rPr>
        <w:t xml:space="preserve">exenciones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Series por sede y tipo de documento; numeración automática.</w:t>
      </w:r>
    </w:p>
    <w:p>
      <w:pPr>
        <w:pStyle w:val="Compact"/>
        <w:numPr>
          <w:ilvl w:val="1"/>
          <w:numId w:val="1008"/>
        </w:numPr>
      </w:pPr>
      <w:r>
        <w:t xml:space="preserve">Reparto líneas (MO/recambios/otros), descuentos, suplidos, anticipos/señales.</w:t>
      </w:r>
    </w:p>
    <w:p>
      <w:pPr>
        <w:pStyle w:val="Compact"/>
        <w:numPr>
          <w:ilvl w:val="1"/>
          <w:numId w:val="1008"/>
        </w:numPr>
      </w:pPr>
      <w:r>
        <w:t xml:space="preserve">Modelos de liquidación</w:t>
      </w:r>
      <w:r>
        <w:t xml:space="preserve"> </w:t>
      </w:r>
      <w:r>
        <w:rPr>
          <w:b/>
          <w:bCs/>
        </w:rPr>
        <w:t xml:space="preserve">IGIC</w:t>
      </w:r>
      <w:r>
        <w:t xml:space="preserve"> </w:t>
      </w:r>
      <w:r>
        <w:t xml:space="preserve">(resumen por períodos; export CSV para 420/421).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Cobros y Caja/TPV</w:t>
      </w:r>
    </w:p>
    <w:p>
      <w:pPr>
        <w:pStyle w:val="Compact"/>
        <w:numPr>
          <w:ilvl w:val="1"/>
          <w:numId w:val="1009"/>
        </w:numPr>
      </w:pPr>
      <w:r>
        <w:t xml:space="preserve">Métodos: efectivo, tarjeta, transferencia,</w:t>
      </w:r>
      <w:r>
        <w:t xml:space="preserve"> </w:t>
      </w:r>
      <w:r>
        <w:rPr>
          <w:b/>
          <w:bCs/>
        </w:rPr>
        <w:t xml:space="preserve">SEPA</w:t>
      </w:r>
      <w:r>
        <w:t xml:space="preserve"> </w:t>
      </w:r>
      <w:r>
        <w:t xml:space="preserve">(CORE B2C / B2B), Bizum.</w:t>
      </w:r>
    </w:p>
    <w:p>
      <w:pPr>
        <w:pStyle w:val="Compact"/>
        <w:numPr>
          <w:ilvl w:val="1"/>
          <w:numId w:val="1009"/>
        </w:numPr>
      </w:pPr>
      <w:r>
        <w:t xml:space="preserve">Arqueo de caja, cuadre diario, remesas bancarias</w:t>
      </w:r>
      <w:r>
        <w:t xml:space="preserve"> </w:t>
      </w:r>
      <w:r>
        <w:rPr>
          <w:b/>
          <w:bCs/>
        </w:rPr>
        <w:t xml:space="preserve">CSB19.14 XML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Clientes &amp; CRM</w:t>
      </w:r>
    </w:p>
    <w:p>
      <w:pPr>
        <w:pStyle w:val="Compact"/>
        <w:numPr>
          <w:ilvl w:val="1"/>
          <w:numId w:val="1010"/>
        </w:numPr>
      </w:pPr>
      <w:r>
        <w:t xml:space="preserve">Fichas 360º (datos, RGPD, vehículos vinculados, historial, valor de vida LTV).</w:t>
      </w:r>
    </w:p>
    <w:p>
      <w:pPr>
        <w:pStyle w:val="Compact"/>
        <w:numPr>
          <w:ilvl w:val="1"/>
          <w:numId w:val="1010"/>
        </w:numPr>
      </w:pPr>
      <w:r>
        <w:t xml:space="preserve">Campañas: revisiones, ITV próxima, campañas de seguridad, neumáticos.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NPS/CSAT</w:t>
      </w:r>
      <w:r>
        <w:t xml:space="preserve"> </w:t>
      </w:r>
      <w:r>
        <w:t xml:space="preserve">post servicio, reclamaciones, cupones.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Flota/Empresas</w:t>
      </w:r>
    </w:p>
    <w:p>
      <w:pPr>
        <w:pStyle w:val="Compact"/>
        <w:numPr>
          <w:ilvl w:val="0"/>
          <w:numId w:val="1011"/>
        </w:numPr>
      </w:pPr>
      <w:r>
        <w:t xml:space="preserve">Condiciones especiales por</w:t>
      </w:r>
      <w:r>
        <w:t xml:space="preserve"> </w:t>
      </w:r>
      <w:r>
        <w:rPr>
          <w:b/>
          <w:bCs/>
        </w:rPr>
        <w:t xml:space="preserve">convenio</w:t>
      </w:r>
      <w:r>
        <w:t xml:space="preserve"> </w:t>
      </w:r>
      <w:r>
        <w:t xml:space="preserve">(tarifas, SLAs, reporting mensual).</w:t>
      </w:r>
    </w:p>
    <w:p>
      <w:pPr>
        <w:pStyle w:val="Compact"/>
        <w:numPr>
          <w:ilvl w:val="0"/>
          <w:numId w:val="1011"/>
        </w:numPr>
      </w:pPr>
      <w:r>
        <w:t xml:space="preserve">Facturación agrupada por período/obra.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Garantías y Reclamaciones</w:t>
      </w:r>
    </w:p>
    <w:p>
      <w:pPr>
        <w:pStyle w:val="Compact"/>
        <w:numPr>
          <w:ilvl w:val="0"/>
          <w:numId w:val="1013"/>
        </w:numPr>
      </w:pPr>
      <w:r>
        <w:t xml:space="preserve">Gestión de garantías internas/externas (fabricante/proveedor).</w:t>
      </w:r>
    </w:p>
    <w:p>
      <w:pPr>
        <w:pStyle w:val="Compact"/>
        <w:numPr>
          <w:ilvl w:val="0"/>
          <w:numId w:val="1013"/>
        </w:numPr>
      </w:pPr>
      <w:r>
        <w:t xml:space="preserve">RMA recambios y documentación adjunta.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Analítica y Cuadros de Mando</w:t>
      </w:r>
    </w:p>
    <w:p>
      <w:pPr>
        <w:pStyle w:val="Compact"/>
        <w:numPr>
          <w:ilvl w:val="0"/>
          <w:numId w:val="1015"/>
        </w:numPr>
      </w:pPr>
      <w:r>
        <w:t xml:space="preserve">KPIs: ocupación, productividad, eficiencia, ticket medio, margen OR, rotación stock, IGIC repercutido/soportado.</w:t>
      </w:r>
    </w:p>
    <w:p>
      <w:pPr>
        <w:pStyle w:val="Compact"/>
        <w:numPr>
          <w:ilvl w:val="0"/>
          <w:numId w:val="1015"/>
        </w:numPr>
      </w:pPr>
      <w:r>
        <w:t xml:space="preserve">Exportación CSV/Excel y API BI (Power BI, Looker Studio).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Contabilidad e Impuestos (export)</w:t>
      </w:r>
    </w:p>
    <w:p>
      <w:pPr>
        <w:pStyle w:val="Compact"/>
        <w:numPr>
          <w:ilvl w:val="0"/>
          <w:numId w:val="1017"/>
        </w:numPr>
      </w:pPr>
      <w:r>
        <w:t xml:space="preserve">Asientos automáticos por</w:t>
      </w:r>
      <w:r>
        <w:t xml:space="preserve"> </w:t>
      </w:r>
      <w:r>
        <w:rPr>
          <w:b/>
          <w:bCs/>
        </w:rPr>
        <w:t xml:space="preserve">plantillas</w:t>
      </w:r>
      <w:r>
        <w:t xml:space="preserve"> </w:t>
      </w:r>
      <w:r>
        <w:t xml:space="preserve">(ventas, compras, cobros/pagos, suplidos).</w:t>
      </w:r>
    </w:p>
    <w:p>
      <w:pPr>
        <w:pStyle w:val="Compact"/>
        <w:numPr>
          <w:ilvl w:val="0"/>
          <w:numId w:val="1017"/>
        </w:numPr>
      </w:pPr>
      <w:r>
        <w:t xml:space="preserve">Export a CSV/JSON para ERP/contabilidad (cuentas parametrizables,</w:t>
      </w:r>
      <w:r>
        <w:t xml:space="preserve"> </w:t>
      </w:r>
      <w:r>
        <w:rPr>
          <w:b/>
          <w:bCs/>
        </w:rPr>
        <w:t xml:space="preserve">IGIC 7% 477007 / 472107</w:t>
      </w:r>
      <w:r>
        <w:t xml:space="preserve"> </w:t>
      </w:r>
      <w:r>
        <w:t xml:space="preserve">opcional).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Seguridad y Cumplimiento</w:t>
      </w:r>
    </w:p>
    <w:p>
      <w:pPr>
        <w:pStyle w:val="Compact"/>
        <w:numPr>
          <w:ilvl w:val="0"/>
          <w:numId w:val="1019"/>
        </w:numPr>
      </w:pPr>
      <w:r>
        <w:t xml:space="preserve">RGPD: consentimientos, minimización, caducidad de documentos.</w:t>
      </w:r>
    </w:p>
    <w:p>
      <w:pPr>
        <w:pStyle w:val="Compact"/>
        <w:numPr>
          <w:ilvl w:val="0"/>
          <w:numId w:val="1019"/>
        </w:numPr>
      </w:pPr>
      <w:r>
        <w:t xml:space="preserve">Auditoría: log de cambios, bloqueo de periodos, roles/ permisos.</w:t>
      </w:r>
    </w:p>
    <w:p>
      <w:r>
        <w:pict>
          <v:rect style="width:0;height:1.5pt" o:hralign="center" o:hrstd="t" o:hr="t"/>
        </w:pict>
      </w:r>
    </w:p>
    <w:bookmarkEnd w:id="21"/>
    <w:bookmarkStart w:id="22" w:name="roles-y-permisos"/>
    <w:p>
      <w:pPr>
        <w:pStyle w:val="Heading2"/>
      </w:pPr>
      <w:r>
        <w:t xml:space="preserve">3) Roles y permisos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Administrador</w:t>
      </w:r>
      <w:r>
        <w:t xml:space="preserve">: configuración global, series, impuestos, usuarios, sedes, tarifas.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Jefe de Taller</w:t>
      </w:r>
      <w:r>
        <w:t xml:space="preserve">: agenda, OR, planificación, control de calidad, aprobaciones.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Recepción</w:t>
      </w:r>
      <w:r>
        <w:t xml:space="preserve">: citas, check‑in, presupuestos, cobros, facturación.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Mecánico</w:t>
      </w:r>
      <w:r>
        <w:t xml:space="preserve">: ver OR asignadas, fichar tiempos, añadir notas/fotos.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Almacén</w:t>
      </w:r>
      <w:r>
        <w:t xml:space="preserve">: compras, recepciones, inventario, traspasos.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Finanzas</w:t>
      </w:r>
      <w:r>
        <w:t xml:space="preserve">: facturación, remesas, arqueos, export contable, IGIC.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Comercial/CRM</w:t>
      </w:r>
      <w:r>
        <w:t xml:space="preserve">: campañas, flotas, NPS, promociones.</w:t>
      </w:r>
    </w:p>
    <w:p>
      <w:pPr>
        <w:pStyle w:val="FirstParagraph"/>
      </w:pPr>
      <w:r>
        <w:rPr>
          <w:b/>
          <w:bCs/>
        </w:rPr>
        <w:t xml:space="preserve">Permisos granulares</w:t>
      </w:r>
      <w:r>
        <w:t xml:space="preserve">: ver/crear/editar/borrar por entidad; aprobación de descuentos; acceso a costes; visibilidad de márgenes; cierre de caja.</w:t>
      </w:r>
    </w:p>
    <w:p>
      <w:r>
        <w:pict>
          <v:rect style="width:0;height:1.5pt" o:hralign="center" o:hrstd="t" o:hr="t"/>
        </w:pict>
      </w:r>
    </w:p>
    <w:bookmarkEnd w:id="22"/>
    <w:bookmarkStart w:id="23" w:name="modelo-de-datos-erd-textual"/>
    <w:p>
      <w:pPr>
        <w:pStyle w:val="Heading2"/>
      </w:pPr>
      <w:r>
        <w:t xml:space="preserve">4) Modelo de datos (ERD textual)</w:t>
      </w:r>
    </w:p>
    <w:p>
      <w:pPr>
        <w:pStyle w:val="FirstParagraph"/>
      </w:pPr>
      <w:r>
        <w:rPr>
          <w:b/>
          <w:bCs/>
        </w:rPr>
        <w:t xml:space="preserve">Entidades principales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Cliente(id, tipo, nif, nombre, apellidos/razón, email, móvil, dirección, rgpd_flags, notas)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Vehiculo(id, cliente_id, matricula, vin, marca, modelo, versión, año, combustible, km, itv_fecha, seguro, color)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Cita(id, sede_id, cliente_id, vehiculo_id, fecha_hora, motivo, canal, estado, notas)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OrdenReparacion(id, codigo, sede_id, cliente_id, vehiculo_id, fecha_apertura, estado, prioridad, km_entrada, km_salida, observaciones)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ParteTrabajo(id, or_id, tecnico_id, operacion_id, tiempo_est, tiempo_real, estado, notas)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Operacion(id, codigo, descripcion, familia, tiempo_std, tarifa_mo)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Articulo(id, ref, nombre, familia, pvp, coste, igic_tipo, unidad, es_kit, activo)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KitItem(kit_id, articulo_id, cantidad)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Proveedor(id, nif, nombre, email, telefono, condiciones_pago)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PedidoCompra(id, proveedor_id, fecha, estado, total, igic_total)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LineaPedidoCompra(id, pedido_id, articulo_id, cantidad, coste, igic_tipo)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AlbaranRecepcion(id, pedido_id, fecha, estado)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Stock(id, articulo_id, almacen_id, ubicacion, cantidad_disponible, cantidad_reservada)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Factura(id, serie, numero, fecha, cliente_id, or_id, tipo, base, igic, total, estado, forma_pago)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LineaFactura(id, factura_id, tipo_linea[MO/ART/OTRO], ref/operacion_id, descripcion, cantidad, precio, dto_pct, igic_tipo, subtotal)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Pago(id, factura_id, fecha, metodo, importe, referencia, estado)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RemesaSEPA(id, fecha_creacion, fecha_cargo, estado, xml_path)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KPI_CierreDia(id, sede_id, fecha, ventas, coste, margen, igic_rep, igic_sop)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Usuario(id, rol, nombre, email, hash, activo)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Sede(id, nombre, direccion, telefono, serie_factura, caja_actual)</w:t>
      </w:r>
    </w:p>
    <w:p>
      <w:pPr>
        <w:pStyle w:val="BodyText"/>
      </w:pPr>
      <w:r>
        <w:rPr>
          <w:b/>
          <w:bCs/>
        </w:rPr>
        <w:t xml:space="preserve">Relaciones clave</w:t>
      </w:r>
      <w:r>
        <w:t xml:space="preserve">:</w:t>
      </w:r>
      <w:r>
        <w:t xml:space="preserve"> </w:t>
      </w:r>
      <w:r>
        <w:t xml:space="preserve">- Cliente 1..* Vehículo; Cliente 1..* Cita; Cliente 1..* Factura.</w:t>
      </w:r>
      <w:r>
        <w:t xml:space="preserve"> </w:t>
      </w:r>
      <w:r>
        <w:t xml:space="preserve">- Vehículo 1..* OR; OR 1..* ParteTrabajo; OR 0..1 Factura.</w:t>
      </w:r>
      <w:r>
        <w:t xml:space="preserve"> </w:t>
      </w:r>
      <w:r>
        <w:t xml:space="preserve">- Proveedor 1..* PedidoCompra 1..* AlbaránRecepcion; Artículo 1..* Stock.</w:t>
      </w:r>
    </w:p>
    <w:p>
      <w:r>
        <w:pict>
          <v:rect style="width:0;height:1.5pt" o:hralign="center" o:hrstd="t" o:hr="t"/>
        </w:pict>
      </w:r>
    </w:p>
    <w:bookmarkEnd w:id="23"/>
    <w:bookmarkStart w:id="24" w:name="reglas-de-negocio-igic-y-facturación"/>
    <w:p>
      <w:pPr>
        <w:pStyle w:val="Heading2"/>
      </w:pPr>
      <w:r>
        <w:t xml:space="preserve">5) Reglas de negocio (IGIC y facturación)</w:t>
      </w:r>
    </w:p>
    <w:p>
      <w:pPr>
        <w:pStyle w:val="Compact"/>
        <w:numPr>
          <w:ilvl w:val="0"/>
          <w:numId w:val="1021"/>
        </w:numPr>
      </w:pPr>
      <w:r>
        <w:t xml:space="preserve">Tipos IGIC configurables por</w:t>
      </w:r>
      <w:r>
        <w:t xml:space="preserve"> </w:t>
      </w:r>
      <w:r>
        <w:rPr>
          <w:b/>
          <w:bCs/>
        </w:rPr>
        <w:t xml:space="preserve">línea</w:t>
      </w:r>
      <w:r>
        <w:t xml:space="preserve"> </w:t>
      </w:r>
      <w:r>
        <w:t xml:space="preserve">(piezas a 7% por defecto; MO habitualmente 7% salvo exenciones).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Prorrateo de descuentos</w:t>
      </w:r>
      <w:r>
        <w:t xml:space="preserve"> </w:t>
      </w:r>
      <w:r>
        <w:t xml:space="preserve">por base imponible antes de IGIC.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Anticipos</w:t>
      </w:r>
      <w:r>
        <w:t xml:space="preserve">: se registran como pasivo; al facturar, se descontarán con su parte de impuesto.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Rectificativas</w:t>
      </w:r>
      <w:r>
        <w:t xml:space="preserve">: referencia a factura origen, motivo (devolución, error…), signo inverso de bases/IGIC.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Suplidos</w:t>
      </w:r>
      <w:r>
        <w:t xml:space="preserve">: imputables sin margen ni IGIC si procede (p.ej., tasas externas con justificante).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Series</w:t>
      </w:r>
      <w:r>
        <w:t xml:space="preserve">: por sede y tipo (FS, F, FR, PRES, OR…). Numeración correlativa anual.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Export IGIC</w:t>
      </w:r>
      <w:r>
        <w:t xml:space="preserve">: informe por período con desglose por tipo y libro de IVA/IGIC (soportado/repercutido) + CSV para 420/421.</w:t>
      </w:r>
    </w:p>
    <w:p>
      <w:r>
        <w:pict>
          <v:rect style="width:0;height:1.5pt" o:hralign="center" o:hrstd="t" o:hr="t"/>
        </w:pict>
      </w:r>
    </w:p>
    <w:bookmarkEnd w:id="24"/>
    <w:bookmarkStart w:id="25" w:name="flujos-operativos-clave"/>
    <w:p>
      <w:pPr>
        <w:pStyle w:val="Heading2"/>
      </w:pPr>
      <w:r>
        <w:t xml:space="preserve">6) Flujos operativos clave</w:t>
      </w:r>
    </w:p>
    <w:p>
      <w:pPr>
        <w:pStyle w:val="FirstParagraph"/>
      </w:pPr>
      <w:r>
        <w:rPr>
          <w:b/>
          <w:bCs/>
        </w:rPr>
        <w:t xml:space="preserve">6.1 Recepción a Facturación</w:t>
      </w:r>
      <w:r>
        <w:t xml:space="preserve"> </w:t>
      </w:r>
      <w:r>
        <w:t xml:space="preserve">1) Cita → 2) Check‑in y diagnóstico → 3) Presupuesto (con alternativos) → 4) Aprobación cliente → 5) OR en curso (consumos MO/recambios) → 6) Control de calidad y road test → 7) Factura → 8) Cobro → 9) Encuesta NPS.</w:t>
      </w:r>
    </w:p>
    <w:p>
      <w:pPr>
        <w:pStyle w:val="BodyText"/>
      </w:pPr>
      <w:r>
        <w:rPr>
          <w:b/>
          <w:bCs/>
        </w:rPr>
        <w:t xml:space="preserve">6.2 Compras y reposición</w:t>
      </w:r>
      <w:r>
        <w:t xml:space="preserve"> </w:t>
      </w:r>
      <w:r>
        <w:t xml:space="preserve">Solicitud oferta → Pedido → Recepción → Actualización de stock y coste medio → Reclamaciones/Devoluciones → Factura proveedor (soportado).</w:t>
      </w:r>
    </w:p>
    <w:p>
      <w:pPr>
        <w:pStyle w:val="BodyText"/>
      </w:pPr>
      <w:r>
        <w:rPr>
          <w:b/>
          <w:bCs/>
        </w:rPr>
        <w:t xml:space="preserve">6.3 Cierre diario</w:t>
      </w:r>
      <w:r>
        <w:t xml:space="preserve"> </w:t>
      </w:r>
      <w:r>
        <w:t xml:space="preserve">Arqueo caja por sede → Cuadre TPV → Generación de remesas (si aplica) → Informe KPI y export contable.</w:t>
      </w:r>
    </w:p>
    <w:p>
      <w:r>
        <w:pict>
          <v:rect style="width:0;height:1.5pt" o:hralign="center" o:hrstd="t" o:hr="t"/>
        </w:pict>
      </w:r>
    </w:p>
    <w:bookmarkEnd w:id="25"/>
    <w:bookmarkStart w:id="26" w:name="interfaces-api-rest-ejemplo"/>
    <w:p>
      <w:pPr>
        <w:pStyle w:val="Heading2"/>
      </w:pPr>
      <w:r>
        <w:t xml:space="preserve">7) Interfaces (API REST, ejemplo)</w:t>
      </w:r>
    </w:p>
    <w:p>
      <w:pPr>
        <w:pStyle w:val="FirstParagraph"/>
      </w:pPr>
      <w:r>
        <w:t xml:space="preserve">Base:</w:t>
      </w:r>
      <w:r>
        <w:t xml:space="preserve"> </w:t>
      </w:r>
      <w:r>
        <w:rPr>
          <w:rStyle w:val="VerbatimChar"/>
        </w:rPr>
        <w:t xml:space="preserve">/api/v1</w:t>
      </w:r>
    </w:p>
    <w:p>
      <w:pPr>
        <w:pStyle w:val="BodyText"/>
      </w:pPr>
      <w:r>
        <w:rPr>
          <w:b/>
          <w:bCs/>
        </w:rPr>
        <w:t xml:space="preserve">Autenticación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→ { email, password } → JWT + refresh.</w:t>
      </w:r>
    </w:p>
    <w:p>
      <w:pPr>
        <w:pStyle w:val="BodyText"/>
      </w:pPr>
      <w:r>
        <w:rPr>
          <w:b/>
          <w:bCs/>
        </w:rPr>
        <w:t xml:space="preserve">Clientes &amp; Vehículos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/clientes?search=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/clientes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GET /clientes/{id}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PUT /clientes/{id}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/vehiculos?matricula=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/vehiculos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GET /vehiculos/{id}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PUT /vehiculos/{id}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Citas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/citas?desde=&amp;hasta=&amp;sede_id=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/citas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PATCH /citas/{id}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Presupuestos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/presupuestos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GET /presupuestos/{id}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/presupuestos/{id}/aprobar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Órdenes de Reparación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/or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GET /or/{id}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/or/{id}/partes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/or/{id}/consumos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Artículos/Almacén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/articulos?ref=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/articulos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GET /stock?articulo_id=&amp;almacen_id=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/movimientos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Compras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/pedidos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GET /pedidos/{id}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/albaranes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/albaranes/{id}/recepcionar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Facturas &amp; Pagos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/facturas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GET /facturas/{id}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/facturas/{id}/rectificar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/pagos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GET /remesas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/remesas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Informes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/informes/igic?desde=&amp;hasta=&amp;tipo=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GET /informes/kpi?fecha=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 JSON — creación de factura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"fecha"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"Cambio aceite y filtro"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"cantidad"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"igic"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"OIL-5W30-1L"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"Aceite 5W30 5L"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"cantidad"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"igic"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"FIL-ACE-123"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"Filtro aceite"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"cantidad"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"igic"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"descuento_global_pct"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"forma_pago"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"TPV"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arquitectura-técnica"/>
    <w:p>
      <w:pPr>
        <w:pStyle w:val="Heading2"/>
      </w:pPr>
      <w:r>
        <w:t xml:space="preserve">8) Arquitectura técnica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Frontend</w:t>
      </w:r>
      <w:r>
        <w:t xml:space="preserve">: React + Vite (</w:t>
      </w:r>
      <w:r>
        <w:rPr>
          <w:b/>
          <w:bCs/>
        </w:rPr>
        <w:t xml:space="preserve">PWA</w:t>
      </w:r>
      <w:r>
        <w:t xml:space="preserve">),</w:t>
      </w:r>
      <w:r>
        <w:t xml:space="preserve"> </w:t>
      </w:r>
      <w:r>
        <w:rPr>
          <w:b/>
          <w:bCs/>
        </w:rPr>
        <w:t xml:space="preserve">TypeScript</w:t>
      </w:r>
      <w:r>
        <w:t xml:space="preserve">, Zustand/Redux Toolkit, React Query.</w:t>
      </w:r>
    </w:p>
    <w:p>
      <w:pPr>
        <w:pStyle w:val="Compact"/>
        <w:numPr>
          <w:ilvl w:val="1"/>
          <w:numId w:val="1023"/>
        </w:numPr>
      </w:pPr>
      <w:r>
        <w:t xml:space="preserve">UI: shadcn/ui + Tailwind, iconos lucide.</w:t>
      </w:r>
    </w:p>
    <w:p>
      <w:pPr>
        <w:pStyle w:val="Compact"/>
        <w:numPr>
          <w:ilvl w:val="1"/>
          <w:numId w:val="1023"/>
        </w:numPr>
      </w:pPr>
      <w:r>
        <w:t xml:space="preserve">Modo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con IndexedDB y sincronización diferida.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Backend</w:t>
      </w:r>
      <w:r>
        <w:t xml:space="preserve">: Node.js</w:t>
      </w:r>
      <w:r>
        <w:t xml:space="preserve"> </w:t>
      </w:r>
      <w:r>
        <w:rPr>
          <w:b/>
          <w:bCs/>
        </w:rPr>
        <w:t xml:space="preserve">Express</w:t>
      </w:r>
      <w:r>
        <w:t xml:space="preserve"> </w:t>
      </w:r>
      <w:r>
        <w:t xml:space="preserve">(TypeScript), arquitectura limpia (servicios/repositorios), validación Zod, JWT, RBAC.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Base de datos</w:t>
      </w:r>
      <w:r>
        <w:t xml:space="preserve">: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(particionado por sede), vistas materializadas para informes,</w:t>
      </w:r>
      <w:r>
        <w:t xml:space="preserve"> </w:t>
      </w:r>
      <w:r>
        <w:rPr>
          <w:b/>
          <w:bCs/>
        </w:rPr>
        <w:t xml:space="preserve">full‑text search</w:t>
      </w:r>
      <w:r>
        <w:t xml:space="preserve"> </w:t>
      </w:r>
      <w:r>
        <w:t xml:space="preserve">para clientes/vehículos.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Mensajería</w:t>
      </w:r>
      <w:r>
        <w:t xml:space="preserve">: Redis (colas para notificaciones y sincronización offline).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Integraciones</w:t>
      </w:r>
      <w:r>
        <w:t xml:space="preserve">: SMTP/Sendgrid, SMS/WhatsApp (Twilio), TPV (Redsys),</w:t>
      </w:r>
      <w:r>
        <w:t xml:space="preserve"> </w:t>
      </w:r>
      <w:r>
        <w:rPr>
          <w:b/>
          <w:bCs/>
        </w:rPr>
        <w:t xml:space="preserve">SEPA XML</w:t>
      </w:r>
      <w:r>
        <w:t xml:space="preserve">, webhooks proveedores recambios.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DevOps</w:t>
      </w:r>
      <w:r>
        <w:t xml:space="preserve">: Docker Compose, despliegue on‑prem en</w:t>
      </w:r>
      <w:r>
        <w:t xml:space="preserve"> </w:t>
      </w:r>
      <w:r>
        <w:rPr>
          <w:b/>
          <w:bCs/>
        </w:rPr>
        <w:t xml:space="preserve">Proxmox</w:t>
      </w:r>
      <w:r>
        <w:t xml:space="preserve"> </w:t>
      </w:r>
      <w:r>
        <w:t xml:space="preserve">o cloud; NGINX;</w:t>
      </w:r>
      <w:r>
        <w:t xml:space="preserve"> </w:t>
      </w:r>
      <w:r>
        <w:rPr>
          <w:b/>
          <w:bCs/>
        </w:rPr>
        <w:t xml:space="preserve">Cloudflare Tunnel</w:t>
      </w:r>
      <w:r>
        <w:t xml:space="preserve">; backups pgBackRest; monitorización (Prometheus + Grafana).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Seguridad</w:t>
      </w:r>
      <w:r>
        <w:t xml:space="preserve">: TLS, CSP, rate‑limit, logs de auditoría, cifrado en reposo de adjuntos (S3‑compatible con SSE).</w:t>
      </w:r>
    </w:p>
    <w:p>
      <w:r>
        <w:pict>
          <v:rect style="width:0;height:1.5pt" o:hralign="center" o:hrstd="t" o:hr="t"/>
        </w:pict>
      </w:r>
    </w:p>
    <w:bookmarkEnd w:id="27"/>
    <w:bookmarkStart w:id="28" w:name="modelo-de-permisos-rbac-detallado"/>
    <w:p>
      <w:pPr>
        <w:pStyle w:val="Heading2"/>
      </w:pPr>
      <w:r>
        <w:t xml:space="preserve">9) Modelo de permisos (RBAC detallado)</w:t>
      </w:r>
    </w:p>
    <w:p>
      <w:pPr>
        <w:pStyle w:val="FirstParagraph"/>
      </w:pPr>
      <w:r>
        <w:rPr>
          <w:b/>
          <w:bCs/>
        </w:rPr>
        <w:t xml:space="preserve">Recursos</w:t>
      </w:r>
      <w:r>
        <w:t xml:space="preserve">: clientes, vehículos, citas, presupuestos, OR, artículos, stock, compras, facturas, pagos, informes, configuración.</w:t>
      </w:r>
      <w:r>
        <w:t xml:space="preserve"> </w:t>
      </w:r>
      <w:r>
        <w:rPr>
          <w:b/>
          <w:bCs/>
        </w:rPr>
        <w:t xml:space="preserve">Acciones</w:t>
      </w:r>
      <w:r>
        <w:t xml:space="preserve">: read/create/update/delete/export/approve/close.</w:t>
      </w:r>
      <w:r>
        <w:t xml:space="preserve"> </w:t>
      </w:r>
      <w:r>
        <w:t xml:space="preserve">Tabla de permisos configurable por rol y por sede. Soporte a permisos especiales (p.ej.,</w:t>
      </w:r>
      <w:r>
        <w:t xml:space="preserve"> </w:t>
      </w:r>
      <w:r>
        <w:rPr>
          <w:i/>
          <w:iCs/>
        </w:rPr>
        <w:t xml:space="preserve">ver costes</w:t>
      </w:r>
      <w:r>
        <w:t xml:space="preserve"> </w:t>
      </w:r>
      <w:r>
        <w:t xml:space="preserve">solo para Jefe/Finanzas).</w:t>
      </w:r>
    </w:p>
    <w:p>
      <w:r>
        <w:pict>
          <v:rect style="width:0;height:1.5pt" o:hralign="center" o:hrstd="t" o:hr="t"/>
        </w:pict>
      </w:r>
    </w:p>
    <w:bookmarkEnd w:id="28"/>
    <w:bookmarkStart w:id="29" w:name="X3765713a2580d675b6fb48a49420df7e1e5d259"/>
    <w:p>
      <w:pPr>
        <w:pStyle w:val="Heading2"/>
      </w:pPr>
      <w:r>
        <w:t xml:space="preserve">10) Plantillas de asientos (export contable IGIC)</w:t>
      </w:r>
    </w:p>
    <w:p>
      <w:pPr>
        <w:pStyle w:val="BlockText"/>
      </w:pPr>
      <w:r>
        <w:rPr>
          <w:i/>
          <w:iCs/>
        </w:rPr>
        <w:t xml:space="preserve">Opcional si se integra con contabilidad externa.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Factura de venta</w:t>
      </w:r>
      <w:r>
        <w:t xml:space="preserve">: (430xxx) a (700000/705000/708000) + (477007 IGIC repercutido 7%).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Compra</w:t>
      </w:r>
      <w:r>
        <w:t xml:space="preserve">: (600xxx/602xxx) + (472107 IGIC soportado 7%) a (400xxx).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Cobro TPV</w:t>
      </w:r>
      <w:r>
        <w:t xml:space="preserve">: (572xxx) a (430xxx).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Arqueo de caja</w:t>
      </w:r>
      <w:r>
        <w:t xml:space="preserve">: (570xxx) a (700xxx) y conciliación periódica.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Rectificativa</w:t>
      </w:r>
      <w:r>
        <w:t xml:space="preserve">: inversión de asientos y referencia.</w:t>
      </w:r>
      <w:r>
        <w:t xml:space="preserve"> </w:t>
      </w:r>
      <w:r>
        <w:t xml:space="preserve">Parámetros de cuentas por sede/serie y export</w:t>
      </w:r>
      <w:r>
        <w:t xml:space="preserve"> </w:t>
      </w:r>
      <w:r>
        <w:rPr>
          <w:b/>
          <w:bCs/>
        </w:rPr>
        <w:t xml:space="preserve">CSV/JSON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informes-y-kpis"/>
    <w:p>
      <w:pPr>
        <w:pStyle w:val="Heading2"/>
      </w:pPr>
      <w:r>
        <w:t xml:space="preserve">11) Informes y KPIs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Operativos</w:t>
      </w:r>
      <w:r>
        <w:t xml:space="preserve">: OR abiertas por estado, % aprobaciones, tiempos medios, retrabajos.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Financieros</w:t>
      </w:r>
      <w:r>
        <w:t xml:space="preserve">: margen por OR, margen por familia de artículo, IGIC repercutido/soportado, DSO, ventas por canal.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Almacén</w:t>
      </w:r>
      <w:r>
        <w:t xml:space="preserve">: rotación, cobertura días, obsolescencia, roturas de stock, diferencias inventario.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Calidad</w:t>
      </w:r>
      <w:r>
        <w:t xml:space="preserve">: NPS, reclamaciones por causa, garantías costeadas.</w:t>
      </w:r>
    </w:p>
    <w:p>
      <w:r>
        <w:pict>
          <v:rect style="width:0;height:1.5pt" o:hralign="center" o:hrstd="t" o:hr="t"/>
        </w:pict>
      </w:r>
    </w:p>
    <w:bookmarkEnd w:id="30"/>
    <w:bookmarkStart w:id="31" w:name="uxui-guías"/>
    <w:p>
      <w:pPr>
        <w:pStyle w:val="Heading2"/>
      </w:pPr>
      <w:r>
        <w:t xml:space="preserve">12) UX/UI (guías)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Recepción en pista móvil</w:t>
      </w:r>
      <w:r>
        <w:t xml:space="preserve">: formularios grandes, fotos inline, firma digital, flujo de 3 pasos (datos → checklist → autorización).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Planificador drag‑and‑drop</w:t>
      </w:r>
      <w:r>
        <w:t xml:space="preserve">: asignación de OR por técnico/box con colores por estado y SLA.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Buscadores</w:t>
      </w:r>
      <w:r>
        <w:t xml:space="preserve"> </w:t>
      </w:r>
      <w:r>
        <w:t xml:space="preserve">omnipresentes con atajos (⌘K / Ctrl+K), ficha lateral.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Tema claro/oscuro</w:t>
      </w:r>
      <w:r>
        <w:t xml:space="preserve">, contraste AA, internacionalización ES/EN.</w:t>
      </w:r>
    </w:p>
    <w:p>
      <w:r>
        <w:pict>
          <v:rect style="width:0;height:1.5pt" o:hralign="center" o:hrstd="t" o:hr="t"/>
        </w:pict>
      </w:r>
    </w:p>
    <w:bookmarkEnd w:id="31"/>
    <w:bookmarkStart w:id="32" w:name="integraciones-opcionales"/>
    <w:p>
      <w:pPr>
        <w:pStyle w:val="Heading2"/>
      </w:pPr>
      <w:r>
        <w:t xml:space="preserve">13) Integraciones opcionales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Catálogos</w:t>
      </w:r>
      <w:r>
        <w:t xml:space="preserve">: TecDoc/Equivalentes (si licencia), APIs de proveedores locales.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Pagos</w:t>
      </w:r>
      <w:r>
        <w:t xml:space="preserve">: Redsys, Bizum Comercio.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WhatsApp Business</w:t>
      </w:r>
      <w:r>
        <w:t xml:space="preserve">: plantillas para confirmaciones y aprobaciones.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DGT/ITV</w:t>
      </w:r>
      <w:r>
        <w:t xml:space="preserve">: consulta de datos públicos (si procede) o cargadores CSV/Airtable.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BI</w:t>
      </w:r>
      <w:r>
        <w:t xml:space="preserve">: Export OData/REST para Power BI.</w:t>
      </w:r>
    </w:p>
    <w:p>
      <w:r>
        <w:pict>
          <v:rect style="width:0;height:1.5pt" o:hralign="center" o:hrstd="t" o:hr="t"/>
        </w:pict>
      </w:r>
    </w:p>
    <w:bookmarkEnd w:id="32"/>
    <w:bookmarkStart w:id="33" w:name="roadmap-de-implementación-fases"/>
    <w:p>
      <w:pPr>
        <w:pStyle w:val="Heading2"/>
      </w:pPr>
      <w:r>
        <w:t xml:space="preserve">14) Roadmap de implementación (fases)</w:t>
      </w:r>
    </w:p>
    <w:p>
      <w:pPr>
        <w:pStyle w:val="FirstParagraph"/>
      </w:pPr>
      <w:r>
        <w:rPr>
          <w:b/>
          <w:bCs/>
        </w:rPr>
        <w:t xml:space="preserve">Fase 0 — Base técnica (2–3 semanas)</w:t>
      </w:r>
      <w:r>
        <w:t xml:space="preserve"> </w:t>
      </w:r>
      <w:r>
        <w:t xml:space="preserve">- Monorepo, CI/CD, auth, skeleton de módulos, diseño UI, seed de tablas maestras.</w:t>
      </w:r>
    </w:p>
    <w:p>
      <w:pPr>
        <w:pStyle w:val="BodyText"/>
      </w:pPr>
      <w:r>
        <w:rPr>
          <w:b/>
          <w:bCs/>
        </w:rPr>
        <w:t xml:space="preserve">Fase 1 — Citas, Recepción y OR (4–6 semanas)</w:t>
      </w:r>
      <w:r>
        <w:t xml:space="preserve"> </w:t>
      </w:r>
      <w:r>
        <w:t xml:space="preserve">- Agenda, checklists, partes de trabajo, baremos, consumos MO/recambios.</w:t>
      </w:r>
    </w:p>
    <w:p>
      <w:pPr>
        <w:pStyle w:val="BodyText"/>
      </w:pPr>
      <w:r>
        <w:rPr>
          <w:b/>
          <w:bCs/>
        </w:rPr>
        <w:t xml:space="preserve">Fase 2 — Almacén y Compras (3–4 semanas)</w:t>
      </w:r>
      <w:r>
        <w:t xml:space="preserve"> </w:t>
      </w:r>
      <w:r>
        <w:t xml:space="preserve">- Pedidos, recepciones, inventario, ubicaciones, ajustes e informes básicos.</w:t>
      </w:r>
    </w:p>
    <w:p>
      <w:pPr>
        <w:pStyle w:val="BodyText"/>
      </w:pPr>
      <w:r>
        <w:rPr>
          <w:b/>
          <w:bCs/>
        </w:rPr>
        <w:t xml:space="preserve">Fase 3 — Facturación IGIC, TPV y Export contable (3–4 semanas)</w:t>
      </w:r>
      <w:r>
        <w:t xml:space="preserve"> </w:t>
      </w:r>
      <w:r>
        <w:t xml:space="preserve">- Factura, cobros, arqueos, remesas SEPA, informes IGIC, export CSV/JSON.</w:t>
      </w:r>
    </w:p>
    <w:p>
      <w:pPr>
        <w:pStyle w:val="BodyText"/>
      </w:pPr>
      <w:r>
        <w:rPr>
          <w:b/>
          <w:bCs/>
        </w:rPr>
        <w:t xml:space="preserve">Fase 4 — CRM, Garantías, Analítica y BI (3–5 semanas)</w:t>
      </w:r>
      <w:r>
        <w:t xml:space="preserve"> </w:t>
      </w:r>
      <w:r>
        <w:t xml:space="preserve">- Campañas, NPS, garantías, cuadros de mando y conectores BI.</w:t>
      </w:r>
    </w:p>
    <w:p>
      <w:r>
        <w:pict>
          <v:rect style="width:0;height:1.5pt" o:hralign="center" o:hrstd="t" o:hr="t"/>
        </w:pict>
      </w:r>
    </w:p>
    <w:bookmarkEnd w:id="33"/>
    <w:bookmarkStart w:id="34" w:name="calidad-pruebas-y-datos"/>
    <w:p>
      <w:pPr>
        <w:pStyle w:val="Heading2"/>
      </w:pPr>
      <w:r>
        <w:t xml:space="preserve">15) Calidad, pruebas y datos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Pruebas</w:t>
      </w:r>
      <w:r>
        <w:t xml:space="preserve">: unitarias (Jest), integración (Supertest), e2e (Playwright). Carga (k6) para agenda y OR.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Datos de prueba</w:t>
      </w:r>
      <w:r>
        <w:t xml:space="preserve">: 1000 clientes, 1200 vehículos, 500 artículos, 200 OR activas, 5 técnicos.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Migraciones</w:t>
      </w:r>
      <w:r>
        <w:t xml:space="preserve">: script ETL CSV/Excel (clientes, vehículos, artículos, históricos).</w:t>
      </w:r>
    </w:p>
    <w:p>
      <w:r>
        <w:pict>
          <v:rect style="width:0;height:1.5pt" o:hralign="center" o:hrstd="t" o:hr="t"/>
        </w:pict>
      </w:r>
    </w:p>
    <w:bookmarkEnd w:id="34"/>
    <w:bookmarkStart w:id="35" w:name="seguridad-y-rgpd"/>
    <w:p>
      <w:pPr>
        <w:pStyle w:val="Heading2"/>
      </w:pPr>
      <w:r>
        <w:t xml:space="preserve">16) Seguridad y RGPD</w:t>
      </w:r>
    </w:p>
    <w:p>
      <w:pPr>
        <w:pStyle w:val="Compact"/>
        <w:numPr>
          <w:ilvl w:val="0"/>
          <w:numId w:val="1028"/>
        </w:numPr>
      </w:pPr>
      <w:r>
        <w:t xml:space="preserve">Base legal y consentimiento; registro de actividades de tratamiento.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Retención</w:t>
      </w:r>
      <w:r>
        <w:t xml:space="preserve">: políticas por tipo de documento; anonimización bajo solicitud.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Derechos</w:t>
      </w:r>
      <w:r>
        <w:t xml:space="preserve">: exportación de datos del interesado (JSON/CSV/PDF).</w:t>
      </w:r>
    </w:p>
    <w:p>
      <w:r>
        <w:pict>
          <v:rect style="width:0;height:1.5pt" o:hralign="center" o:hrstd="t" o:hr="t"/>
        </w:pict>
      </w:r>
    </w:p>
    <w:bookmarkEnd w:id="35"/>
    <w:bookmarkStart w:id="36" w:name="documentos-y-plantillas"/>
    <w:p>
      <w:pPr>
        <w:pStyle w:val="Heading2"/>
      </w:pPr>
      <w:r>
        <w:t xml:space="preserve">17) Documentos y plantillas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Presupuesto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en PDF (logotipo, sede, firma digital).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Factura</w:t>
      </w:r>
      <w:r>
        <w:t xml:space="preserve"> </w:t>
      </w:r>
      <w:r>
        <w:t xml:space="preserve">(ordinaria/simplificada/rectificativa) con desglose IGIC y QR.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Contrato vehículo de sustitución</w:t>
      </w:r>
      <w:r>
        <w:t xml:space="preserve"> </w:t>
      </w:r>
      <w:r>
        <w:t xml:space="preserve">y parte de cesión.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Checklist de recepción</w:t>
      </w:r>
      <w:r>
        <w:t xml:space="preserve"> </w:t>
      </w:r>
      <w:r>
        <w:t xml:space="preserve">imprimible y versión móvil.</w:t>
      </w:r>
    </w:p>
    <w:p>
      <w:r>
        <w:pict>
          <v:rect style="width:0;height:1.5pt" o:hralign="center" o:hrstd="t" o:hr="t"/>
        </w:pict>
      </w:r>
    </w:p>
    <w:bookmarkEnd w:id="36"/>
    <w:bookmarkStart w:id="37" w:name="métricas-de-éxito"/>
    <w:p>
      <w:pPr>
        <w:pStyle w:val="Heading2"/>
      </w:pPr>
      <w:r>
        <w:t xml:space="preserve">18) Métricas de éxito</w:t>
      </w:r>
    </w:p>
    <w:p>
      <w:pPr>
        <w:pStyle w:val="Compact"/>
        <w:numPr>
          <w:ilvl w:val="0"/>
          <w:numId w:val="1030"/>
        </w:numPr>
      </w:pPr>
      <w:r>
        <w:t xml:space="preserve">+15% productividad técnica, −20% no conformidades, +10% tasa de aprobación de presupuestos, DSO &lt; 20 días, NPS &gt; 65.</w:t>
      </w:r>
    </w:p>
    <w:p>
      <w:r>
        <w:pict>
          <v:rect style="width:0;height:1.5pt" o:hralign="center" o:hrstd="t" o:hr="t"/>
        </w:pict>
      </w:r>
    </w:p>
    <w:bookmarkEnd w:id="37"/>
    <w:bookmarkStart w:id="41" w:name="anexos"/>
    <w:p>
      <w:pPr>
        <w:pStyle w:val="Heading2"/>
      </w:pPr>
      <w:r>
        <w:t xml:space="preserve">19) Anexos</w:t>
      </w:r>
    </w:p>
    <w:bookmarkStart w:id="38" w:name="a-esquema-sql-resumen"/>
    <w:p>
      <w:pPr>
        <w:pStyle w:val="Heading3"/>
      </w:pPr>
      <w:r>
        <w:t xml:space="preserve">A) Esquema SQL (resumen)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clientes(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tipo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FIS/JUR</w:t>
      </w:r>
      <w:r>
        <w:br/>
      </w:r>
      <w:r>
        <w:rPr>
          <w:rStyle w:val="NormalTok"/>
        </w:rPr>
        <w:t xml:space="preserve"> nif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nombre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apellidos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razon_social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), movil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direccion TEXT,</w:t>
      </w:r>
      <w:r>
        <w:br/>
      </w:r>
      <w:r>
        <w:rPr>
          <w:rStyle w:val="NormalTok"/>
        </w:rPr>
        <w:t xml:space="preserve"> rgpd_flags JSONB, notas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vehiculos(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cliente_id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matricula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vin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marca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modelo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anio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 combustible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km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itv_fecha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seguro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color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ordenes_reparacion(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codigo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sede_id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cliente_id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vehiculo_id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vehiculos(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fecha_apertura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estado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prioridad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 km_entrada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km_salida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observaciones TEXT</w:t>
      </w:r>
      <w:r>
        <w:br/>
      </w:r>
      <w:r>
        <w:rPr>
          <w:rStyle w:val="NormalTok"/>
        </w:rPr>
        <w:t xml:space="preserve">);</w:t>
      </w:r>
    </w:p>
    <w:bookmarkEnd w:id="38"/>
    <w:bookmarkStart w:id="39" w:name="b-plantillas-de-impresión-variables"/>
    <w:p>
      <w:pPr>
        <w:pStyle w:val="Heading3"/>
      </w:pPr>
      <w:r>
        <w:t xml:space="preserve">B) Plantillas de impresión (variables)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{{sede.nombre}}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{{factura.numero}}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{{cliente.nombre}}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{{vehiculo.matricula}}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{{linea.descripcion}}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{{igic.tipo}}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{{importe.total}}</w:t>
      </w:r>
      <w:r>
        <w:t xml:space="preserve">.</w:t>
      </w:r>
    </w:p>
    <w:bookmarkEnd w:id="39"/>
    <w:bookmarkStart w:id="40" w:name="c-códigos-de-estadocolores-sugeridos"/>
    <w:p>
      <w:pPr>
        <w:pStyle w:val="Heading3"/>
      </w:pPr>
      <w:r>
        <w:t xml:space="preserve">C) Códigos de estado/colores sugeridos</w:t>
      </w:r>
    </w:p>
    <w:p>
      <w:pPr>
        <w:pStyle w:val="Compact"/>
        <w:numPr>
          <w:ilvl w:val="0"/>
          <w:numId w:val="1032"/>
        </w:numPr>
      </w:pPr>
      <w:r>
        <w:t xml:space="preserve">Cita:</w:t>
      </w:r>
      <w:r>
        <w:t xml:space="preserve"> </w:t>
      </w:r>
      <w:r>
        <w:rPr>
          <w:i/>
          <w:iCs/>
        </w:rPr>
        <w:t xml:space="preserve">pendiente</w:t>
      </w:r>
      <w:r>
        <w:t xml:space="preserve"> </w:t>
      </w:r>
      <w:r>
        <w:t xml:space="preserve">(gris),</w:t>
      </w:r>
      <w:r>
        <w:t xml:space="preserve"> </w:t>
      </w:r>
      <w:r>
        <w:rPr>
          <w:i/>
          <w:iCs/>
        </w:rPr>
        <w:t xml:space="preserve">confirmada</w:t>
      </w:r>
      <w:r>
        <w:t xml:space="preserve"> </w:t>
      </w:r>
      <w:r>
        <w:t xml:space="preserve">(azul),</w:t>
      </w:r>
      <w:r>
        <w:t xml:space="preserve"> </w:t>
      </w:r>
      <w:r>
        <w:rPr>
          <w:i/>
          <w:iCs/>
        </w:rPr>
        <w:t xml:space="preserve">no presentada</w:t>
      </w:r>
      <w:r>
        <w:t xml:space="preserve"> </w:t>
      </w:r>
      <w:r>
        <w:t xml:space="preserve">(rojo),</w:t>
      </w:r>
      <w:r>
        <w:t xml:space="preserve"> </w:t>
      </w:r>
      <w:r>
        <w:rPr>
          <w:i/>
          <w:iCs/>
        </w:rPr>
        <w:t xml:space="preserve">asistida</w:t>
      </w:r>
      <w:r>
        <w:t xml:space="preserve"> </w:t>
      </w:r>
      <w:r>
        <w:t xml:space="preserve">(verde).</w:t>
      </w:r>
    </w:p>
    <w:p>
      <w:pPr>
        <w:pStyle w:val="Compact"/>
        <w:numPr>
          <w:ilvl w:val="0"/>
          <w:numId w:val="1032"/>
        </w:numPr>
      </w:pPr>
      <w:r>
        <w:t xml:space="preserve">OR:</w:t>
      </w:r>
      <w:r>
        <w:t xml:space="preserve"> </w:t>
      </w:r>
      <w:r>
        <w:rPr>
          <w:i/>
          <w:iCs/>
        </w:rPr>
        <w:t xml:space="preserve">abierta</w:t>
      </w:r>
      <w:r>
        <w:t xml:space="preserve"> </w:t>
      </w:r>
      <w:r>
        <w:t xml:space="preserve">(amarillo),</w:t>
      </w:r>
      <w:r>
        <w:t xml:space="preserve"> </w:t>
      </w:r>
      <w:r>
        <w:rPr>
          <w:i/>
          <w:iCs/>
        </w:rPr>
        <w:t xml:space="preserve">en curso</w:t>
      </w:r>
      <w:r>
        <w:t xml:space="preserve"> </w:t>
      </w:r>
      <w:r>
        <w:t xml:space="preserve">(azul),</w:t>
      </w:r>
      <w:r>
        <w:t xml:space="preserve"> </w:t>
      </w:r>
      <w:r>
        <w:rPr>
          <w:i/>
          <w:iCs/>
        </w:rPr>
        <w:t xml:space="preserve">espera</w:t>
      </w:r>
      <w:r>
        <w:t xml:space="preserve"> </w:t>
      </w:r>
      <w:r>
        <w:t xml:space="preserve">(naranja),</w:t>
      </w:r>
      <w:r>
        <w:t xml:space="preserve"> </w:t>
      </w:r>
      <w:r>
        <w:rPr>
          <w:i/>
          <w:iCs/>
        </w:rPr>
        <w:t xml:space="preserve">terminada</w:t>
      </w:r>
      <w:r>
        <w:t xml:space="preserve"> </w:t>
      </w:r>
      <w:r>
        <w:t xml:space="preserve">(verde),</w:t>
      </w:r>
      <w:r>
        <w:t xml:space="preserve"> </w:t>
      </w:r>
      <w:r>
        <w:rPr>
          <w:i/>
          <w:iCs/>
        </w:rPr>
        <w:t xml:space="preserve">facturada</w:t>
      </w:r>
      <w:r>
        <w:t xml:space="preserve"> </w:t>
      </w:r>
      <w:r>
        <w:t xml:space="preserve">(morado).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róximos-pasos"/>
    <w:p>
      <w:pPr>
        <w:pStyle w:val="Heading2"/>
      </w:pPr>
      <w:r>
        <w:t xml:space="preserve">20) Próximos pasos</w:t>
      </w:r>
    </w:p>
    <w:p>
      <w:pPr>
        <w:pStyle w:val="Compact"/>
        <w:numPr>
          <w:ilvl w:val="0"/>
          <w:numId w:val="1033"/>
        </w:numPr>
      </w:pPr>
      <w:r>
        <w:t xml:space="preserve">Validar alcance y priorización de módulos (workshop con stakeholders).</w:t>
      </w:r>
    </w:p>
    <w:p>
      <w:pPr>
        <w:pStyle w:val="Compact"/>
        <w:numPr>
          <w:ilvl w:val="0"/>
          <w:numId w:val="1033"/>
        </w:numPr>
      </w:pPr>
      <w:r>
        <w:t xml:space="preserve">Confirmar integraciones críticas (TPV Redsys, WhatsApp Business, proveedor recambios local).</w:t>
      </w:r>
    </w:p>
    <w:p>
      <w:pPr>
        <w:pStyle w:val="Compact"/>
        <w:numPr>
          <w:ilvl w:val="0"/>
          <w:numId w:val="1033"/>
        </w:numPr>
      </w:pPr>
      <w:r>
        <w:t xml:space="preserve">Aterrizar parametrización de</w:t>
      </w:r>
      <w:r>
        <w:t xml:space="preserve"> </w:t>
      </w:r>
      <w:r>
        <w:rPr>
          <w:b/>
          <w:bCs/>
        </w:rPr>
        <w:t xml:space="preserve">IGIC</w:t>
      </w:r>
      <w:r>
        <w:t xml:space="preserve"> </w:t>
      </w:r>
      <w:r>
        <w:t xml:space="preserve">(tipos, series, export 420/421) y catálogo inicial.</w:t>
      </w:r>
    </w:p>
    <w:p>
      <w:pPr>
        <w:pStyle w:val="Compact"/>
        <w:numPr>
          <w:ilvl w:val="0"/>
          <w:numId w:val="1033"/>
        </w:numPr>
      </w:pPr>
      <w:r>
        <w:t xml:space="preserve">Arrancar Fase 0 con repositorio y pipelines.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1"/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1"/>
  </w:num>
  <w:num w:numId="101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7">
    <w:abstractNumId w:val="991"/>
  </w:num>
  <w:num w:numId="101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2025-10-12T09:00:17Z</dcterms:created>
  <dcterms:modified xsi:type="dcterms:W3CDTF">2025-10-12T09:00:17Z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