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FD" w:rsidRPr="007B77FD" w:rsidRDefault="007B77FD" w:rsidP="007B77FD">
      <w:pPr>
        <w:rPr>
          <w:lang w:val="en-US"/>
        </w:rPr>
      </w:pPr>
    </w:p>
    <w:p w:rsidR="007B77FD" w:rsidRPr="00DD1A49" w:rsidRDefault="007B77FD" w:rsidP="007B77FD">
      <w:pPr>
        <w:pStyle w:val="Heading3"/>
        <w:rPr>
          <w:lang w:val="en-US"/>
        </w:rPr>
      </w:pPr>
      <w:bookmarkStart w:id="0" w:name="_Toc393701628"/>
      <w:bookmarkStart w:id="1" w:name="_GoBack"/>
      <w:r w:rsidRPr="00DD1A49">
        <w:rPr>
          <w:lang w:val="en-US"/>
        </w:rPr>
        <w:t>Government failures: The risks of government action</w:t>
      </w:r>
      <w:bookmarkEnd w:id="0"/>
    </w:p>
    <w:bookmarkEnd w:id="1"/>
    <w:p w:rsidR="007B77FD" w:rsidRPr="00DD1A49" w:rsidRDefault="007B77FD" w:rsidP="007B77FD">
      <w:pPr>
        <w:rPr>
          <w:lang w:val="en-US"/>
        </w:rPr>
      </w:pPr>
      <w:r w:rsidRPr="00DD1A49">
        <w:rPr>
          <w:lang w:val="en-US"/>
        </w:rPr>
        <w:t xml:space="preserve">The existence of a market failure is not a sufficient condition for government intervention. </w:t>
      </w:r>
      <w:proofErr w:type="gramStart"/>
      <w:r w:rsidRPr="00DD1A49">
        <w:rPr>
          <w:lang w:val="en-US"/>
        </w:rPr>
        <w:t>The decision to intervene needs to weigh both benefits and risks, since government failures can make public intervention impractical or even counterproductive.</w:t>
      </w:r>
      <w:proofErr w:type="gramEnd"/>
      <w:r w:rsidRPr="00DD1A49">
        <w:rPr>
          <w:lang w:val="en-US"/>
        </w:rPr>
        <w:t xml:space="preserve"> In other words, not all market failures are fixable, at least not at a reasonable cost </w:t>
      </w:r>
      <w:r>
        <w:rPr>
          <w:lang w:val="en-US"/>
        </w:rPr>
        <w:t>to</w:t>
      </w:r>
      <w:r w:rsidRPr="00DD1A49">
        <w:rPr>
          <w:lang w:val="en-US"/>
        </w:rPr>
        <w:t xml:space="preserve"> society relative to the benefits. </w:t>
      </w:r>
    </w:p>
    <w:p w:rsidR="007B77FD" w:rsidRPr="00DD1A49" w:rsidRDefault="007B77FD" w:rsidP="007B77FD">
      <w:pPr>
        <w:rPr>
          <w:lang w:val="en-US"/>
        </w:rPr>
      </w:pPr>
      <w:r w:rsidRPr="00DD1A49">
        <w:rPr>
          <w:lang w:val="en-US"/>
        </w:rPr>
        <w:t>Bravo-</w:t>
      </w:r>
      <w:proofErr w:type="spellStart"/>
      <w:r w:rsidRPr="00DD1A49">
        <w:rPr>
          <w:lang w:val="en-US"/>
        </w:rPr>
        <w:t>Biosca</w:t>
      </w:r>
      <w:proofErr w:type="spellEnd"/>
      <w:r w:rsidRPr="00DD1A49">
        <w:rPr>
          <w:lang w:val="en-US"/>
        </w:rPr>
        <w:t xml:space="preserve"> (2014) discusse</w:t>
      </w:r>
      <w:r>
        <w:rPr>
          <w:lang w:val="en-US"/>
        </w:rPr>
        <w:t>d</w:t>
      </w:r>
      <w:r w:rsidRPr="00DD1A49">
        <w:rPr>
          <w:lang w:val="en-US"/>
        </w:rPr>
        <w:t xml:space="preserve"> several reasons</w:t>
      </w:r>
      <w:r>
        <w:rPr>
          <w:lang w:val="en-US"/>
        </w:rPr>
        <w:t xml:space="preserve"> </w:t>
      </w:r>
      <w:r w:rsidRPr="00DD1A49">
        <w:rPr>
          <w:lang w:val="en-US"/>
        </w:rPr>
        <w:t>government attempts to fix market failures (as well as system failures) in the access</w:t>
      </w:r>
      <w:r>
        <w:rPr>
          <w:lang w:val="en-US"/>
        </w:rPr>
        <w:t>-</w:t>
      </w:r>
      <w:r w:rsidRPr="00DD1A49">
        <w:rPr>
          <w:lang w:val="en-US"/>
        </w:rPr>
        <w:t>to</w:t>
      </w:r>
      <w:r>
        <w:rPr>
          <w:lang w:val="en-US"/>
        </w:rPr>
        <w:t>-</w:t>
      </w:r>
      <w:r w:rsidRPr="00DD1A49">
        <w:rPr>
          <w:lang w:val="en-US"/>
        </w:rPr>
        <w:t>finance space m</w:t>
      </w:r>
      <w:r>
        <w:rPr>
          <w:lang w:val="en-US"/>
        </w:rPr>
        <w:t>ight</w:t>
      </w:r>
      <w:r w:rsidRPr="00DD1A49">
        <w:rPr>
          <w:lang w:val="en-US"/>
        </w:rPr>
        <w:t xml:space="preserve"> fail to work as desired, some of which are briefly summarized here:</w:t>
      </w:r>
    </w:p>
    <w:p w:rsidR="007B77FD" w:rsidRDefault="007B77FD" w:rsidP="007B77FD">
      <w:pPr>
        <w:pStyle w:val="ListParagraph"/>
        <w:numPr>
          <w:ilvl w:val="0"/>
          <w:numId w:val="2"/>
        </w:numPr>
        <w:rPr>
          <w:lang w:val="en-US"/>
        </w:rPr>
      </w:pPr>
      <w:r>
        <w:rPr>
          <w:lang w:val="en-US"/>
        </w:rPr>
        <w:t>No advantage and possible disadvantage for governments in fixing failure relative to the operations of the market</w:t>
      </w:r>
      <w:r w:rsidRPr="00DD1A49">
        <w:rPr>
          <w:lang w:val="en-US"/>
        </w:rPr>
        <w:t xml:space="preserve"> (</w:t>
      </w:r>
      <w:r>
        <w:rPr>
          <w:lang w:val="en-US"/>
        </w:rPr>
        <w:t>for example</w:t>
      </w:r>
      <w:r w:rsidRPr="00DD1A49">
        <w:rPr>
          <w:lang w:val="en-US"/>
        </w:rPr>
        <w:t xml:space="preserve">, </w:t>
      </w:r>
      <w:r>
        <w:rPr>
          <w:lang w:val="en-US"/>
        </w:rPr>
        <w:t xml:space="preserve">for grant initiatives, </w:t>
      </w:r>
      <w:r w:rsidRPr="00DD1A49">
        <w:rPr>
          <w:lang w:val="en-US"/>
        </w:rPr>
        <w:t xml:space="preserve">governments </w:t>
      </w:r>
      <w:r>
        <w:rPr>
          <w:lang w:val="en-US"/>
        </w:rPr>
        <w:t xml:space="preserve">will probably </w:t>
      </w:r>
      <w:r w:rsidRPr="00DD1A49">
        <w:rPr>
          <w:lang w:val="en-US"/>
        </w:rPr>
        <w:t>need to undertake costly due diligence</w:t>
      </w:r>
      <w:r>
        <w:rPr>
          <w:lang w:val="en-US"/>
        </w:rPr>
        <w:t>, as would the private sector; but they may be worse than the private sector</w:t>
      </w:r>
      <w:r w:rsidRPr="00575A54">
        <w:rPr>
          <w:lang w:val="en-US"/>
        </w:rPr>
        <w:t xml:space="preserve"> at selecting prospective projects an</w:t>
      </w:r>
      <w:r>
        <w:rPr>
          <w:lang w:val="en-US"/>
        </w:rPr>
        <w:t>d investees</w:t>
      </w:r>
      <w:r w:rsidRPr="00DD1A49">
        <w:rPr>
          <w:lang w:val="en-US"/>
        </w:rPr>
        <w:t>)</w:t>
      </w:r>
    </w:p>
    <w:p w:rsidR="007B77FD" w:rsidRPr="00DD1A49" w:rsidRDefault="007B77FD" w:rsidP="007B77FD">
      <w:pPr>
        <w:pStyle w:val="ListParagraph"/>
        <w:rPr>
          <w:lang w:val="en-US"/>
        </w:rPr>
      </w:pPr>
    </w:p>
    <w:p w:rsidR="007B77FD" w:rsidRDefault="007B77FD" w:rsidP="007B77FD">
      <w:pPr>
        <w:pStyle w:val="ListParagraph"/>
        <w:numPr>
          <w:ilvl w:val="0"/>
          <w:numId w:val="2"/>
        </w:numPr>
        <w:rPr>
          <w:lang w:val="en-US"/>
        </w:rPr>
      </w:pPr>
      <w:r w:rsidRPr="00DD1A49">
        <w:rPr>
          <w:lang w:val="en-US"/>
        </w:rPr>
        <w:t>Asymmetric information and misalignment of incentives (</w:t>
      </w:r>
      <w:r>
        <w:rPr>
          <w:lang w:val="en-US"/>
        </w:rPr>
        <w:t>for example,</w:t>
      </w:r>
      <w:r w:rsidRPr="00DD1A49">
        <w:rPr>
          <w:lang w:val="en-US"/>
        </w:rPr>
        <w:t xml:space="preserve"> public loan guarantee schemes may </w:t>
      </w:r>
      <w:r>
        <w:rPr>
          <w:lang w:val="en-US"/>
        </w:rPr>
        <w:t xml:space="preserve">give </w:t>
      </w:r>
      <w:r w:rsidRPr="00DD1A49">
        <w:rPr>
          <w:lang w:val="en-US"/>
        </w:rPr>
        <w:t xml:space="preserve">banks </w:t>
      </w:r>
      <w:r>
        <w:rPr>
          <w:lang w:val="en-US"/>
        </w:rPr>
        <w:t xml:space="preserve">incentive </w:t>
      </w:r>
      <w:r w:rsidRPr="00DD1A49">
        <w:rPr>
          <w:lang w:val="en-US"/>
        </w:rPr>
        <w:t>to be less careful when selecting companies to fund)</w:t>
      </w:r>
    </w:p>
    <w:p w:rsidR="007B77FD" w:rsidRPr="00DD1A49" w:rsidRDefault="007B77FD" w:rsidP="007B77FD">
      <w:pPr>
        <w:pStyle w:val="ListParagraph"/>
        <w:rPr>
          <w:lang w:val="en-US"/>
        </w:rPr>
      </w:pPr>
    </w:p>
    <w:p w:rsidR="007B77FD" w:rsidRDefault="007B77FD" w:rsidP="007B77FD">
      <w:pPr>
        <w:pStyle w:val="ListParagraph"/>
        <w:numPr>
          <w:ilvl w:val="0"/>
          <w:numId w:val="2"/>
        </w:numPr>
        <w:rPr>
          <w:lang w:val="en-US"/>
        </w:rPr>
      </w:pPr>
      <w:r w:rsidRPr="00DD1A49">
        <w:rPr>
          <w:lang w:val="en-US"/>
        </w:rPr>
        <w:t xml:space="preserve">Limited </w:t>
      </w:r>
      <w:proofErr w:type="spellStart"/>
      <w:r w:rsidRPr="00DD1A49">
        <w:rPr>
          <w:lang w:val="en-US"/>
        </w:rPr>
        <w:t>additionality</w:t>
      </w:r>
      <w:proofErr w:type="spellEnd"/>
      <w:r w:rsidRPr="00DD1A49">
        <w:rPr>
          <w:lang w:val="en-US"/>
        </w:rPr>
        <w:t xml:space="preserve"> and crowding out (</w:t>
      </w:r>
      <w:r>
        <w:rPr>
          <w:lang w:val="en-US"/>
        </w:rPr>
        <w:t>for example</w:t>
      </w:r>
      <w:r w:rsidRPr="00DD1A49">
        <w:rPr>
          <w:lang w:val="en-US"/>
        </w:rPr>
        <w:t>, aggregate investment may increase by less than the amount of public funding provided)</w:t>
      </w:r>
    </w:p>
    <w:p w:rsidR="007B77FD" w:rsidRPr="00DD1A49" w:rsidRDefault="007B77FD" w:rsidP="007B77FD">
      <w:pPr>
        <w:pStyle w:val="ListParagraph"/>
        <w:rPr>
          <w:lang w:val="en-US"/>
        </w:rPr>
      </w:pPr>
    </w:p>
    <w:p w:rsidR="007B77FD" w:rsidRDefault="007B77FD" w:rsidP="007B77FD">
      <w:pPr>
        <w:pStyle w:val="ListParagraph"/>
        <w:numPr>
          <w:ilvl w:val="0"/>
          <w:numId w:val="2"/>
        </w:numPr>
        <w:rPr>
          <w:lang w:val="en-US"/>
        </w:rPr>
      </w:pPr>
      <w:r w:rsidRPr="00DD1A49">
        <w:rPr>
          <w:lang w:val="en-US"/>
        </w:rPr>
        <w:t>Rent</w:t>
      </w:r>
      <w:r>
        <w:rPr>
          <w:lang w:val="en-US"/>
        </w:rPr>
        <w:t xml:space="preserve"> </w:t>
      </w:r>
      <w:r w:rsidRPr="00DD1A49">
        <w:rPr>
          <w:lang w:val="en-US"/>
        </w:rPr>
        <w:t>seeking and capture (</w:t>
      </w:r>
      <w:r>
        <w:rPr>
          <w:lang w:val="en-US"/>
        </w:rPr>
        <w:t>for example</w:t>
      </w:r>
      <w:r w:rsidRPr="00DD1A49">
        <w:rPr>
          <w:lang w:val="en-US"/>
        </w:rPr>
        <w:t>, government action may be captured by special interest groups or established incumbents, leading to inefficient interventions)</w:t>
      </w:r>
    </w:p>
    <w:p w:rsidR="007B77FD" w:rsidRPr="00DD1A49" w:rsidRDefault="007B77FD" w:rsidP="007B77FD">
      <w:pPr>
        <w:pStyle w:val="ListParagraph"/>
        <w:rPr>
          <w:lang w:val="en-US"/>
        </w:rPr>
      </w:pPr>
    </w:p>
    <w:p w:rsidR="007B77FD" w:rsidRDefault="007B77FD" w:rsidP="007B77FD">
      <w:pPr>
        <w:pStyle w:val="ListParagraph"/>
        <w:numPr>
          <w:ilvl w:val="0"/>
          <w:numId w:val="2"/>
        </w:numPr>
        <w:rPr>
          <w:lang w:val="en-US"/>
        </w:rPr>
      </w:pPr>
      <w:r w:rsidRPr="00DD1A49">
        <w:rPr>
          <w:lang w:val="en-US"/>
        </w:rPr>
        <w:t>Political factors (</w:t>
      </w:r>
      <w:r>
        <w:rPr>
          <w:lang w:val="en-US"/>
        </w:rPr>
        <w:t>for example</w:t>
      </w:r>
      <w:r w:rsidRPr="00DD1A49">
        <w:rPr>
          <w:lang w:val="en-US"/>
        </w:rPr>
        <w:t xml:space="preserve">, election cycles may encourage politicians to choose short-term policies) </w:t>
      </w:r>
    </w:p>
    <w:p w:rsidR="007B77FD" w:rsidRPr="00DD1A49" w:rsidRDefault="007B77FD" w:rsidP="007B77FD">
      <w:pPr>
        <w:pStyle w:val="ListParagraph"/>
        <w:rPr>
          <w:lang w:val="en-US"/>
        </w:rPr>
      </w:pPr>
    </w:p>
    <w:p w:rsidR="007B77FD" w:rsidRPr="007E4AD3" w:rsidRDefault="007B77FD" w:rsidP="007B77FD">
      <w:pPr>
        <w:pStyle w:val="ListParagraph"/>
        <w:numPr>
          <w:ilvl w:val="0"/>
          <w:numId w:val="2"/>
        </w:numPr>
        <w:rPr>
          <w:lang w:val="en-US"/>
        </w:rPr>
      </w:pPr>
      <w:r w:rsidRPr="007E4AD3">
        <w:rPr>
          <w:lang w:val="en-US"/>
        </w:rPr>
        <w:t>Bad policy design (for example, governments may copy policies from other countries that aren’t suitable or fail to provide holistic policies that consider the full innovation cycle and ecosystem)</w:t>
      </w:r>
    </w:p>
    <w:p w:rsidR="007B77FD" w:rsidRPr="007E4AD3" w:rsidRDefault="007B77FD" w:rsidP="007B77FD">
      <w:pPr>
        <w:pStyle w:val="ListParagraph"/>
        <w:rPr>
          <w:lang w:val="en-US"/>
        </w:rPr>
      </w:pPr>
    </w:p>
    <w:p w:rsidR="007B77FD" w:rsidRDefault="007B77FD" w:rsidP="007B77FD">
      <w:pPr>
        <w:pStyle w:val="ListParagraph"/>
        <w:numPr>
          <w:ilvl w:val="0"/>
          <w:numId w:val="2"/>
        </w:numPr>
        <w:rPr>
          <w:lang w:val="en-US"/>
        </w:rPr>
      </w:pPr>
      <w:r w:rsidRPr="00575A54">
        <w:rPr>
          <w:lang w:val="en-US"/>
        </w:rPr>
        <w:t>Implementation failures (</w:t>
      </w:r>
      <w:r>
        <w:rPr>
          <w:lang w:val="en-US"/>
        </w:rPr>
        <w:t>for example</w:t>
      </w:r>
      <w:r w:rsidRPr="00575A54">
        <w:rPr>
          <w:lang w:val="en-US"/>
        </w:rPr>
        <w:t xml:space="preserve">, good policies may fail as a result of inefficient bureaucracies and inexperienced staff) </w:t>
      </w:r>
    </w:p>
    <w:p w:rsidR="007B77FD" w:rsidRDefault="007B77FD" w:rsidP="007B77FD">
      <w:pPr>
        <w:rPr>
          <w:lang w:val="en-US"/>
        </w:rPr>
      </w:pPr>
      <w:r w:rsidRPr="00575A54">
        <w:rPr>
          <w:lang w:val="en-US"/>
        </w:rPr>
        <w:t>Therefore, rather than assuming all market failures can or should be fixed, the focus should be on tackling those that are socially desirable to address</w:t>
      </w:r>
      <w:r>
        <w:rPr>
          <w:lang w:val="en-US"/>
        </w:rPr>
        <w:t>,</w:t>
      </w:r>
      <w:r w:rsidRPr="00575A54">
        <w:rPr>
          <w:lang w:val="en-US"/>
        </w:rPr>
        <w:t xml:space="preserve"> given the limitations of government action.</w:t>
      </w:r>
    </w:p>
    <w:p w:rsidR="007B77FD" w:rsidRDefault="007B77FD" w:rsidP="007B77FD">
      <w:pPr>
        <w:rPr>
          <w:lang w:val="en-US"/>
        </w:rPr>
      </w:pPr>
      <w:r>
        <w:rPr>
          <w:lang w:val="en-US"/>
        </w:rPr>
        <w:t xml:space="preserve">Policymakers should note that there can also be additional positive policy impacts above and beyond the impact of the financing, particularly on the recipient businesses. Some of these impacts can be observed through a process called behavioral </w:t>
      </w:r>
      <w:proofErr w:type="spellStart"/>
      <w:r>
        <w:rPr>
          <w:lang w:val="en-US"/>
        </w:rPr>
        <w:t>additionality</w:t>
      </w:r>
      <w:proofErr w:type="spellEnd"/>
      <w:r>
        <w:rPr>
          <w:lang w:val="en-US"/>
        </w:rPr>
        <w:t xml:space="preserve"> (see Box 1).</w:t>
      </w:r>
    </w:p>
    <w:tbl>
      <w:tblPr>
        <w:tblStyle w:val="TableGrid"/>
        <w:tblW w:w="0" w:type="auto"/>
        <w:tblLook w:val="04A0" w:firstRow="1" w:lastRow="0" w:firstColumn="1" w:lastColumn="0" w:noHBand="0" w:noVBand="1"/>
      </w:tblPr>
      <w:tblGrid>
        <w:gridCol w:w="9242"/>
      </w:tblGrid>
      <w:tr w:rsidR="007B77FD" w:rsidRPr="00D57EA3" w:rsidTr="003A747F">
        <w:tc>
          <w:tcPr>
            <w:tcW w:w="9242" w:type="dxa"/>
          </w:tcPr>
          <w:p w:rsidR="007B77FD" w:rsidRPr="00D57EA3" w:rsidRDefault="007B77FD" w:rsidP="003A747F">
            <w:pPr>
              <w:rPr>
                <w:b/>
                <w:lang w:val="en-US"/>
              </w:rPr>
            </w:pPr>
            <w:r w:rsidRPr="00B233F4">
              <w:rPr>
                <w:b/>
                <w:lang w:val="en-US"/>
              </w:rPr>
              <w:t>Box 1.</w:t>
            </w:r>
            <w:r w:rsidRPr="00D57EA3">
              <w:rPr>
                <w:b/>
                <w:lang w:val="en-US"/>
              </w:rPr>
              <w:t xml:space="preserve"> Behavioral </w:t>
            </w:r>
            <w:proofErr w:type="spellStart"/>
            <w:r w:rsidRPr="00D57EA3">
              <w:rPr>
                <w:b/>
                <w:lang w:val="en-US"/>
              </w:rPr>
              <w:t>Additionality</w:t>
            </w:r>
            <w:proofErr w:type="spellEnd"/>
            <w:r w:rsidRPr="00D57EA3">
              <w:rPr>
                <w:b/>
                <w:lang w:val="en-US"/>
              </w:rPr>
              <w:t>—Does Innovation Funding Have Other Effects?</w:t>
            </w:r>
          </w:p>
        </w:tc>
      </w:tr>
      <w:tr w:rsidR="007B77FD" w:rsidRPr="00D57EA3" w:rsidTr="003A747F">
        <w:tc>
          <w:tcPr>
            <w:tcW w:w="9242" w:type="dxa"/>
          </w:tcPr>
          <w:p w:rsidR="007B77FD" w:rsidRDefault="007B77FD" w:rsidP="003A747F">
            <w:pPr>
              <w:autoSpaceDE w:val="0"/>
              <w:autoSpaceDN w:val="0"/>
              <w:adjustRightInd w:val="0"/>
              <w:spacing w:after="200" w:line="276" w:lineRule="auto"/>
              <w:rPr>
                <w:rFonts w:cs="Times-Roman"/>
                <w:lang w:val="en-US"/>
              </w:rPr>
            </w:pPr>
            <w:r w:rsidRPr="00D57EA3">
              <w:rPr>
                <w:lang w:val="en-US"/>
              </w:rPr>
              <w:lastRenderedPageBreak/>
              <w:t xml:space="preserve">Policy instruments like grants and R&amp;D tax concessions are designed to deliver financial support to businesses. They can, however, also have a broader impact on recipients and even on unsuccessful applicants. This is called behavioral </w:t>
            </w:r>
            <w:proofErr w:type="spellStart"/>
            <w:r w:rsidRPr="00D57EA3">
              <w:rPr>
                <w:lang w:val="en-US"/>
              </w:rPr>
              <w:t>additionality</w:t>
            </w:r>
            <w:proofErr w:type="spellEnd"/>
            <w:r w:rsidRPr="00D57EA3">
              <w:rPr>
                <w:lang w:val="en-US"/>
              </w:rPr>
              <w:t>, and a</w:t>
            </w:r>
            <w:r w:rsidRPr="00D57EA3">
              <w:rPr>
                <w:rFonts w:cs="Times-Roman"/>
                <w:lang w:val="en-US"/>
              </w:rPr>
              <w:t xml:space="preserve"> variety of behavioral </w:t>
            </w:r>
            <w:proofErr w:type="spellStart"/>
            <w:r w:rsidRPr="00D57EA3">
              <w:rPr>
                <w:rFonts w:cs="Times-Roman"/>
                <w:lang w:val="en-US"/>
              </w:rPr>
              <w:t>additionality</w:t>
            </w:r>
            <w:proofErr w:type="spellEnd"/>
            <w:r w:rsidRPr="00D57EA3">
              <w:rPr>
                <w:rFonts w:cs="Times-Roman"/>
                <w:lang w:val="en-US"/>
              </w:rPr>
              <w:t xml:space="preserve"> effects can be induced by government funding: </w:t>
            </w:r>
          </w:p>
          <w:p w:rsidR="007B77FD" w:rsidRPr="00B233F4" w:rsidRDefault="007B77FD" w:rsidP="007B77FD">
            <w:pPr>
              <w:pStyle w:val="ListParagraph"/>
              <w:numPr>
                <w:ilvl w:val="0"/>
                <w:numId w:val="2"/>
              </w:numPr>
              <w:autoSpaceDE w:val="0"/>
              <w:autoSpaceDN w:val="0"/>
              <w:adjustRightInd w:val="0"/>
              <w:spacing w:after="200" w:line="276" w:lineRule="auto"/>
              <w:rPr>
                <w:rFonts w:cs="Times-Roman"/>
                <w:lang w:val="en-US"/>
              </w:rPr>
            </w:pPr>
            <w:r w:rsidRPr="008919D9">
              <w:rPr>
                <w:lang w:val="en-US"/>
              </w:rPr>
              <w:t xml:space="preserve">If robust, a grant application and assessment process forces the business to articulate and justify its business plan and commercialization strategy, and the reporting process helps build </w:t>
            </w:r>
            <w:proofErr w:type="gramStart"/>
            <w:r w:rsidRPr="00DA2BC9">
              <w:rPr>
                <w:lang w:val="en-US"/>
              </w:rPr>
              <w:t>its</w:t>
            </w:r>
            <w:proofErr w:type="gramEnd"/>
            <w:r w:rsidRPr="00DA2BC9">
              <w:rPr>
                <w:lang w:val="en-US"/>
              </w:rPr>
              <w:t xml:space="preserve"> administrative and financial management capabilities</w:t>
            </w:r>
            <w:r w:rsidRPr="008D5612">
              <w:rPr>
                <w:lang w:val="en-US"/>
              </w:rPr>
              <w:t>.</w:t>
            </w:r>
          </w:p>
          <w:p w:rsidR="007B77FD" w:rsidRPr="008D5612" w:rsidRDefault="007B77FD" w:rsidP="003A747F">
            <w:pPr>
              <w:pStyle w:val="ListParagraph"/>
              <w:autoSpaceDE w:val="0"/>
              <w:autoSpaceDN w:val="0"/>
              <w:adjustRightInd w:val="0"/>
              <w:spacing w:after="200" w:line="276" w:lineRule="auto"/>
              <w:rPr>
                <w:rFonts w:cs="Times-Roman"/>
                <w:lang w:val="en-US"/>
              </w:rPr>
            </w:pPr>
          </w:p>
          <w:p w:rsidR="007B77FD" w:rsidRPr="00B233F4" w:rsidRDefault="007B77FD" w:rsidP="007B77FD">
            <w:pPr>
              <w:pStyle w:val="ListParagraph"/>
              <w:numPr>
                <w:ilvl w:val="0"/>
                <w:numId w:val="2"/>
              </w:numPr>
              <w:autoSpaceDE w:val="0"/>
              <w:autoSpaceDN w:val="0"/>
              <w:adjustRightInd w:val="0"/>
              <w:spacing w:after="200" w:line="276" w:lineRule="auto"/>
              <w:rPr>
                <w:rFonts w:cs="Times-Roman"/>
                <w:lang w:val="en-US"/>
              </w:rPr>
            </w:pPr>
            <w:r w:rsidRPr="00B233F4">
              <w:rPr>
                <w:rFonts w:cs="Times-Roman"/>
                <w:lang w:val="en-US"/>
              </w:rPr>
              <w:t>Studies of several countries (</w:t>
            </w:r>
            <w:r w:rsidRPr="00B233F4">
              <w:rPr>
                <w:rFonts w:cs="Times-Italic"/>
                <w:iCs/>
                <w:lang w:val="en-US"/>
              </w:rPr>
              <w:t>for example,</w:t>
            </w:r>
            <w:r w:rsidRPr="00B233F4">
              <w:rPr>
                <w:rFonts w:cs="Times-Italic"/>
                <w:i/>
                <w:iCs/>
                <w:lang w:val="en-US"/>
              </w:rPr>
              <w:t xml:space="preserve"> </w:t>
            </w:r>
            <w:r w:rsidRPr="00B233F4">
              <w:rPr>
                <w:rFonts w:cs="Times-Roman"/>
                <w:lang w:val="en-US"/>
              </w:rPr>
              <w:t>Finland and Japan) have shown that government funding not only allowed firms to accelerate the completion of R&amp;D projects (enabling them to introduce new products or services into the market sooner), but also encouraged them to launch projects that entailed greater technological challenges than they might otherwise have pursued.</w:t>
            </w:r>
          </w:p>
          <w:p w:rsidR="007B77FD" w:rsidRPr="00B233F4" w:rsidRDefault="007B77FD" w:rsidP="003A747F">
            <w:pPr>
              <w:pStyle w:val="ListParagraph"/>
              <w:autoSpaceDE w:val="0"/>
              <w:autoSpaceDN w:val="0"/>
              <w:adjustRightInd w:val="0"/>
              <w:spacing w:after="200" w:line="276" w:lineRule="auto"/>
              <w:rPr>
                <w:rFonts w:cs="Times-Roman"/>
                <w:lang w:val="en-US"/>
              </w:rPr>
            </w:pPr>
          </w:p>
          <w:p w:rsidR="007B77FD" w:rsidRPr="00B233F4" w:rsidRDefault="007B77FD" w:rsidP="007B77FD">
            <w:pPr>
              <w:pStyle w:val="ListParagraph"/>
              <w:numPr>
                <w:ilvl w:val="0"/>
                <w:numId w:val="2"/>
              </w:numPr>
              <w:autoSpaceDE w:val="0"/>
              <w:autoSpaceDN w:val="0"/>
              <w:adjustRightInd w:val="0"/>
              <w:spacing w:after="200" w:line="276" w:lineRule="auto"/>
              <w:rPr>
                <w:rFonts w:cs="Times-Roman"/>
                <w:lang w:val="en-US"/>
              </w:rPr>
            </w:pPr>
            <w:r w:rsidRPr="00B233F4">
              <w:rPr>
                <w:rFonts w:cs="Times-Roman"/>
                <w:lang w:val="en-US"/>
              </w:rPr>
              <w:t>Government funding can encourage firms to engage in more collaboration in R&amp;D projects. A German study indicated that existing partnerships were intensified and new ones initiated as a result of government funding</w:t>
            </w:r>
            <w:r w:rsidRPr="00B233F4">
              <w:rPr>
                <w:rFonts w:cs="Times-Italic"/>
                <w:i/>
                <w:iCs/>
                <w:lang w:val="en-US"/>
              </w:rPr>
              <w:t xml:space="preserve">. </w:t>
            </w:r>
            <w:r w:rsidRPr="00B233F4">
              <w:rPr>
                <w:rFonts w:cs="Times-Roman"/>
                <w:lang w:val="en-US"/>
              </w:rPr>
              <w:t>A study of the U.S. Advanced Technology Program showed that many consortia and joint projects were formed directly as a result of government funding, and that collaboration continued beyond the participation in the government-funded project—often on different projects.</w:t>
            </w:r>
          </w:p>
          <w:p w:rsidR="007B77FD" w:rsidRDefault="007B77FD" w:rsidP="003A747F">
            <w:pPr>
              <w:pStyle w:val="ListParagraph"/>
              <w:autoSpaceDE w:val="0"/>
              <w:autoSpaceDN w:val="0"/>
              <w:adjustRightInd w:val="0"/>
              <w:spacing w:after="200" w:line="276" w:lineRule="auto"/>
              <w:rPr>
                <w:rFonts w:cs="Times-Roman"/>
                <w:lang w:val="en-US"/>
              </w:rPr>
            </w:pPr>
          </w:p>
          <w:p w:rsidR="007B77FD" w:rsidRDefault="007B77FD" w:rsidP="007B77FD">
            <w:pPr>
              <w:pStyle w:val="ListParagraph"/>
              <w:numPr>
                <w:ilvl w:val="0"/>
                <w:numId w:val="2"/>
              </w:numPr>
              <w:autoSpaceDE w:val="0"/>
              <w:autoSpaceDN w:val="0"/>
              <w:adjustRightInd w:val="0"/>
              <w:spacing w:after="200" w:line="276" w:lineRule="auto"/>
              <w:rPr>
                <w:rFonts w:cs="Times-Roman"/>
                <w:lang w:val="en-US"/>
              </w:rPr>
            </w:pPr>
            <w:r w:rsidRPr="00D57EA3">
              <w:rPr>
                <w:rFonts w:cs="Times-Roman"/>
                <w:lang w:val="en-US"/>
              </w:rPr>
              <w:t xml:space="preserve">A range of different methodologies can be used for measuring behavioral </w:t>
            </w:r>
            <w:proofErr w:type="spellStart"/>
            <w:r w:rsidRPr="00D57EA3">
              <w:rPr>
                <w:rFonts w:cs="Times-Roman"/>
                <w:lang w:val="en-US"/>
              </w:rPr>
              <w:t>additionality</w:t>
            </w:r>
            <w:proofErr w:type="spellEnd"/>
            <w:r w:rsidRPr="00D57EA3">
              <w:rPr>
                <w:rFonts w:cs="Times-Roman"/>
                <w:lang w:val="en-US"/>
              </w:rPr>
              <w:t>, each with its own strengths and weaknesses. Surveys allow for the collection of information from a large set of firms, but they must often be based on the results of more in-depth interviews that identify the range of behavioral changes that can be induced by a particular government program and the point in business innovation processes at which government assistance is sought. Econometric techniques can further highlight relationships between participation in a government R&amp;D program and changes in firm behavior. A robust approach would combine methodologies.</w:t>
            </w:r>
          </w:p>
          <w:p w:rsidR="007B77FD" w:rsidRPr="008919D9" w:rsidRDefault="007B77FD" w:rsidP="003A747F">
            <w:pPr>
              <w:autoSpaceDE w:val="0"/>
              <w:autoSpaceDN w:val="0"/>
              <w:adjustRightInd w:val="0"/>
              <w:spacing w:after="200" w:line="276" w:lineRule="auto"/>
              <w:rPr>
                <w:rFonts w:cs="Times-Roman"/>
                <w:lang w:val="en-US"/>
              </w:rPr>
            </w:pPr>
            <w:r>
              <w:rPr>
                <w:rFonts w:cs="Times-Roman"/>
                <w:lang w:val="en-US"/>
              </w:rPr>
              <w:t>Source: OECD (2006).</w:t>
            </w:r>
          </w:p>
        </w:tc>
      </w:tr>
    </w:tbl>
    <w:p w:rsidR="001518E0" w:rsidRDefault="001518E0"/>
    <w:sectPr w:rsidR="0015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B48C2"/>
    <w:multiLevelType w:val="hybridMultilevel"/>
    <w:tmpl w:val="573AB078"/>
    <w:lvl w:ilvl="0" w:tplc="04090001">
      <w:start w:val="1"/>
      <w:numFmt w:val="bullet"/>
      <w:lvlText w:val=""/>
      <w:lvlJc w:val="left"/>
      <w:pPr>
        <w:ind w:left="720" w:hanging="360"/>
      </w:pPr>
      <w:rPr>
        <w:rFonts w:ascii="Symbol" w:hAnsi="Symbol"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E017D6B"/>
    <w:multiLevelType w:val="hybridMultilevel"/>
    <w:tmpl w:val="94226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7FD"/>
    <w:rsid w:val="00001DBF"/>
    <w:rsid w:val="00004505"/>
    <w:rsid w:val="00004B83"/>
    <w:rsid w:val="00005846"/>
    <w:rsid w:val="00005F50"/>
    <w:rsid w:val="00006BB9"/>
    <w:rsid w:val="00010859"/>
    <w:rsid w:val="0001094A"/>
    <w:rsid w:val="00010EB8"/>
    <w:rsid w:val="000139E3"/>
    <w:rsid w:val="00016501"/>
    <w:rsid w:val="000235C6"/>
    <w:rsid w:val="00023B7D"/>
    <w:rsid w:val="00027B84"/>
    <w:rsid w:val="00030918"/>
    <w:rsid w:val="00033331"/>
    <w:rsid w:val="00033A1D"/>
    <w:rsid w:val="00033A60"/>
    <w:rsid w:val="00034F5D"/>
    <w:rsid w:val="0003616E"/>
    <w:rsid w:val="0004022D"/>
    <w:rsid w:val="00043F2D"/>
    <w:rsid w:val="000467CC"/>
    <w:rsid w:val="00047E07"/>
    <w:rsid w:val="00047FAA"/>
    <w:rsid w:val="000513DF"/>
    <w:rsid w:val="0005748A"/>
    <w:rsid w:val="00060F66"/>
    <w:rsid w:val="00061BDC"/>
    <w:rsid w:val="00062033"/>
    <w:rsid w:val="0006392D"/>
    <w:rsid w:val="000645B7"/>
    <w:rsid w:val="00067AF5"/>
    <w:rsid w:val="000700B9"/>
    <w:rsid w:val="00070260"/>
    <w:rsid w:val="00071F80"/>
    <w:rsid w:val="00076FEE"/>
    <w:rsid w:val="00077B00"/>
    <w:rsid w:val="00077E1D"/>
    <w:rsid w:val="00084B77"/>
    <w:rsid w:val="0008701C"/>
    <w:rsid w:val="00087887"/>
    <w:rsid w:val="00091C26"/>
    <w:rsid w:val="0009789A"/>
    <w:rsid w:val="000A2243"/>
    <w:rsid w:val="000A3A02"/>
    <w:rsid w:val="000A439C"/>
    <w:rsid w:val="000A7F72"/>
    <w:rsid w:val="000B1C2C"/>
    <w:rsid w:val="000B28D8"/>
    <w:rsid w:val="000B29AC"/>
    <w:rsid w:val="000B3A9A"/>
    <w:rsid w:val="000B3E84"/>
    <w:rsid w:val="000B6445"/>
    <w:rsid w:val="000B74A5"/>
    <w:rsid w:val="000C1B92"/>
    <w:rsid w:val="000C36C5"/>
    <w:rsid w:val="000C4D44"/>
    <w:rsid w:val="000C5194"/>
    <w:rsid w:val="000D11A9"/>
    <w:rsid w:val="000D5F4E"/>
    <w:rsid w:val="000D615D"/>
    <w:rsid w:val="000D6215"/>
    <w:rsid w:val="000E37A1"/>
    <w:rsid w:val="000E5878"/>
    <w:rsid w:val="000E7104"/>
    <w:rsid w:val="000F0383"/>
    <w:rsid w:val="000F2AAE"/>
    <w:rsid w:val="000F39C5"/>
    <w:rsid w:val="000F3E38"/>
    <w:rsid w:val="000F42C1"/>
    <w:rsid w:val="000F5C0A"/>
    <w:rsid w:val="000F7BAA"/>
    <w:rsid w:val="001005AD"/>
    <w:rsid w:val="00101E16"/>
    <w:rsid w:val="00106267"/>
    <w:rsid w:val="00111E36"/>
    <w:rsid w:val="00112BFE"/>
    <w:rsid w:val="00121F01"/>
    <w:rsid w:val="00122660"/>
    <w:rsid w:val="00122885"/>
    <w:rsid w:val="00126E9C"/>
    <w:rsid w:val="00127E2B"/>
    <w:rsid w:val="001300CD"/>
    <w:rsid w:val="0013197C"/>
    <w:rsid w:val="00131E86"/>
    <w:rsid w:val="0013408C"/>
    <w:rsid w:val="00136711"/>
    <w:rsid w:val="00137092"/>
    <w:rsid w:val="001428E7"/>
    <w:rsid w:val="001518E0"/>
    <w:rsid w:val="0015692A"/>
    <w:rsid w:val="001573C3"/>
    <w:rsid w:val="00163D17"/>
    <w:rsid w:val="00163E30"/>
    <w:rsid w:val="001642B0"/>
    <w:rsid w:val="00165F34"/>
    <w:rsid w:val="001674E4"/>
    <w:rsid w:val="001765C6"/>
    <w:rsid w:val="00177ADB"/>
    <w:rsid w:val="001800FF"/>
    <w:rsid w:val="00180AEF"/>
    <w:rsid w:val="00184A72"/>
    <w:rsid w:val="00185154"/>
    <w:rsid w:val="00185D97"/>
    <w:rsid w:val="00186863"/>
    <w:rsid w:val="00187739"/>
    <w:rsid w:val="00192715"/>
    <w:rsid w:val="00192B19"/>
    <w:rsid w:val="001937AE"/>
    <w:rsid w:val="001958F5"/>
    <w:rsid w:val="001A04AB"/>
    <w:rsid w:val="001A603D"/>
    <w:rsid w:val="001A6E77"/>
    <w:rsid w:val="001B62B3"/>
    <w:rsid w:val="001B7CA9"/>
    <w:rsid w:val="001B7FE3"/>
    <w:rsid w:val="001C20D2"/>
    <w:rsid w:val="001C5154"/>
    <w:rsid w:val="001C652B"/>
    <w:rsid w:val="001D000D"/>
    <w:rsid w:val="001D1561"/>
    <w:rsid w:val="001D227D"/>
    <w:rsid w:val="001D7CBC"/>
    <w:rsid w:val="001F138E"/>
    <w:rsid w:val="001F260F"/>
    <w:rsid w:val="001F5565"/>
    <w:rsid w:val="00202646"/>
    <w:rsid w:val="0021116F"/>
    <w:rsid w:val="0022060D"/>
    <w:rsid w:val="002246E3"/>
    <w:rsid w:val="00224CCE"/>
    <w:rsid w:val="002253FB"/>
    <w:rsid w:val="002261B1"/>
    <w:rsid w:val="002408A4"/>
    <w:rsid w:val="00242B67"/>
    <w:rsid w:val="002475E7"/>
    <w:rsid w:val="0025309F"/>
    <w:rsid w:val="002539A1"/>
    <w:rsid w:val="00262993"/>
    <w:rsid w:val="002654A9"/>
    <w:rsid w:val="00267CFF"/>
    <w:rsid w:val="00270245"/>
    <w:rsid w:val="00272AE2"/>
    <w:rsid w:val="002731E2"/>
    <w:rsid w:val="00273522"/>
    <w:rsid w:val="00274F1D"/>
    <w:rsid w:val="0027538F"/>
    <w:rsid w:val="002823B6"/>
    <w:rsid w:val="002873EC"/>
    <w:rsid w:val="002876ED"/>
    <w:rsid w:val="00291BF7"/>
    <w:rsid w:val="002924D8"/>
    <w:rsid w:val="002926D9"/>
    <w:rsid w:val="00294EB0"/>
    <w:rsid w:val="00296005"/>
    <w:rsid w:val="00296DCC"/>
    <w:rsid w:val="002A0297"/>
    <w:rsid w:val="002A0B83"/>
    <w:rsid w:val="002A3D31"/>
    <w:rsid w:val="002B6A8D"/>
    <w:rsid w:val="002C0D92"/>
    <w:rsid w:val="002C4D84"/>
    <w:rsid w:val="002C535E"/>
    <w:rsid w:val="002C69DA"/>
    <w:rsid w:val="002D458C"/>
    <w:rsid w:val="002D603B"/>
    <w:rsid w:val="002E3143"/>
    <w:rsid w:val="002E48EF"/>
    <w:rsid w:val="002E4EE4"/>
    <w:rsid w:val="002F3F68"/>
    <w:rsid w:val="00303656"/>
    <w:rsid w:val="003059CC"/>
    <w:rsid w:val="00306E81"/>
    <w:rsid w:val="00311083"/>
    <w:rsid w:val="0031118E"/>
    <w:rsid w:val="003118B3"/>
    <w:rsid w:val="00312CD3"/>
    <w:rsid w:val="0031690B"/>
    <w:rsid w:val="0031796A"/>
    <w:rsid w:val="00320C30"/>
    <w:rsid w:val="00326853"/>
    <w:rsid w:val="00327956"/>
    <w:rsid w:val="00327E3B"/>
    <w:rsid w:val="00331B69"/>
    <w:rsid w:val="00334064"/>
    <w:rsid w:val="003439C9"/>
    <w:rsid w:val="00346DAC"/>
    <w:rsid w:val="0035022B"/>
    <w:rsid w:val="00350C00"/>
    <w:rsid w:val="00350DAC"/>
    <w:rsid w:val="00353409"/>
    <w:rsid w:val="00353B19"/>
    <w:rsid w:val="00354B42"/>
    <w:rsid w:val="003560A1"/>
    <w:rsid w:val="00356754"/>
    <w:rsid w:val="0036005E"/>
    <w:rsid w:val="00363735"/>
    <w:rsid w:val="00363D02"/>
    <w:rsid w:val="003644E0"/>
    <w:rsid w:val="003649F4"/>
    <w:rsid w:val="0036530E"/>
    <w:rsid w:val="00370ACA"/>
    <w:rsid w:val="00384207"/>
    <w:rsid w:val="00390E9F"/>
    <w:rsid w:val="0039168F"/>
    <w:rsid w:val="00394DE1"/>
    <w:rsid w:val="00395C30"/>
    <w:rsid w:val="003A3CBB"/>
    <w:rsid w:val="003A6F39"/>
    <w:rsid w:val="003B3A69"/>
    <w:rsid w:val="003B54F1"/>
    <w:rsid w:val="003C0F30"/>
    <w:rsid w:val="003C319A"/>
    <w:rsid w:val="003C31D3"/>
    <w:rsid w:val="003C3A2E"/>
    <w:rsid w:val="003C7CE8"/>
    <w:rsid w:val="003D0929"/>
    <w:rsid w:val="003D105C"/>
    <w:rsid w:val="003D24F1"/>
    <w:rsid w:val="003D25F4"/>
    <w:rsid w:val="003D353B"/>
    <w:rsid w:val="003D7571"/>
    <w:rsid w:val="003E4D49"/>
    <w:rsid w:val="003F1162"/>
    <w:rsid w:val="003F3859"/>
    <w:rsid w:val="004032C4"/>
    <w:rsid w:val="004121C7"/>
    <w:rsid w:val="00412ADA"/>
    <w:rsid w:val="00413F0A"/>
    <w:rsid w:val="004144C6"/>
    <w:rsid w:val="00414A68"/>
    <w:rsid w:val="0042478B"/>
    <w:rsid w:val="004267FC"/>
    <w:rsid w:val="00426A8A"/>
    <w:rsid w:val="00430E0A"/>
    <w:rsid w:val="004430ED"/>
    <w:rsid w:val="0044484A"/>
    <w:rsid w:val="00446FC2"/>
    <w:rsid w:val="00450CC7"/>
    <w:rsid w:val="00452546"/>
    <w:rsid w:val="004537FF"/>
    <w:rsid w:val="00454583"/>
    <w:rsid w:val="0046023D"/>
    <w:rsid w:val="00462046"/>
    <w:rsid w:val="00465408"/>
    <w:rsid w:val="0047309D"/>
    <w:rsid w:val="00474093"/>
    <w:rsid w:val="00477312"/>
    <w:rsid w:val="00480430"/>
    <w:rsid w:val="00483121"/>
    <w:rsid w:val="0048332E"/>
    <w:rsid w:val="00484563"/>
    <w:rsid w:val="00490397"/>
    <w:rsid w:val="00490436"/>
    <w:rsid w:val="00492187"/>
    <w:rsid w:val="0049295C"/>
    <w:rsid w:val="0049378B"/>
    <w:rsid w:val="00493E3B"/>
    <w:rsid w:val="004A4B90"/>
    <w:rsid w:val="004B4265"/>
    <w:rsid w:val="004B4ADB"/>
    <w:rsid w:val="004B649D"/>
    <w:rsid w:val="004B7202"/>
    <w:rsid w:val="004B785F"/>
    <w:rsid w:val="004C00B0"/>
    <w:rsid w:val="004C64C8"/>
    <w:rsid w:val="004D0B0A"/>
    <w:rsid w:val="004D2141"/>
    <w:rsid w:val="004D5C84"/>
    <w:rsid w:val="004E0EA1"/>
    <w:rsid w:val="004E26CC"/>
    <w:rsid w:val="004E417A"/>
    <w:rsid w:val="004E5A05"/>
    <w:rsid w:val="004E5C42"/>
    <w:rsid w:val="004E6CC4"/>
    <w:rsid w:val="004F150E"/>
    <w:rsid w:val="004F35F1"/>
    <w:rsid w:val="004F7C2B"/>
    <w:rsid w:val="004F7DFA"/>
    <w:rsid w:val="005008CA"/>
    <w:rsid w:val="005009B1"/>
    <w:rsid w:val="005065B2"/>
    <w:rsid w:val="00506BF6"/>
    <w:rsid w:val="00507526"/>
    <w:rsid w:val="00521DE4"/>
    <w:rsid w:val="0052282F"/>
    <w:rsid w:val="00526EA0"/>
    <w:rsid w:val="00531805"/>
    <w:rsid w:val="005340F4"/>
    <w:rsid w:val="00535A5C"/>
    <w:rsid w:val="00536F04"/>
    <w:rsid w:val="005417B2"/>
    <w:rsid w:val="00542156"/>
    <w:rsid w:val="00542398"/>
    <w:rsid w:val="005423C4"/>
    <w:rsid w:val="005448A6"/>
    <w:rsid w:val="005509E9"/>
    <w:rsid w:val="00553908"/>
    <w:rsid w:val="005609B7"/>
    <w:rsid w:val="005628B7"/>
    <w:rsid w:val="00562DF1"/>
    <w:rsid w:val="00563044"/>
    <w:rsid w:val="00566AEC"/>
    <w:rsid w:val="00570903"/>
    <w:rsid w:val="005738D8"/>
    <w:rsid w:val="00576271"/>
    <w:rsid w:val="00576C87"/>
    <w:rsid w:val="00576FB6"/>
    <w:rsid w:val="00581675"/>
    <w:rsid w:val="00581DAD"/>
    <w:rsid w:val="00582C02"/>
    <w:rsid w:val="00582E32"/>
    <w:rsid w:val="005865DC"/>
    <w:rsid w:val="005902F6"/>
    <w:rsid w:val="0059039C"/>
    <w:rsid w:val="0059104F"/>
    <w:rsid w:val="00591333"/>
    <w:rsid w:val="00591B7A"/>
    <w:rsid w:val="00593C9D"/>
    <w:rsid w:val="00594548"/>
    <w:rsid w:val="00595873"/>
    <w:rsid w:val="00595D02"/>
    <w:rsid w:val="005A08EE"/>
    <w:rsid w:val="005A6A51"/>
    <w:rsid w:val="005A7574"/>
    <w:rsid w:val="005B24B1"/>
    <w:rsid w:val="005B4394"/>
    <w:rsid w:val="005B6546"/>
    <w:rsid w:val="005B7A2C"/>
    <w:rsid w:val="005C061B"/>
    <w:rsid w:val="005C4779"/>
    <w:rsid w:val="005C7A3D"/>
    <w:rsid w:val="005D1CAC"/>
    <w:rsid w:val="005D6451"/>
    <w:rsid w:val="005D7723"/>
    <w:rsid w:val="005E0250"/>
    <w:rsid w:val="005E1CCE"/>
    <w:rsid w:val="005E61DD"/>
    <w:rsid w:val="005F0CA0"/>
    <w:rsid w:val="005F489E"/>
    <w:rsid w:val="005F7DE3"/>
    <w:rsid w:val="00603059"/>
    <w:rsid w:val="006031B8"/>
    <w:rsid w:val="006042F8"/>
    <w:rsid w:val="006125D8"/>
    <w:rsid w:val="00613235"/>
    <w:rsid w:val="006155AA"/>
    <w:rsid w:val="00620FED"/>
    <w:rsid w:val="00622542"/>
    <w:rsid w:val="00633328"/>
    <w:rsid w:val="0063728F"/>
    <w:rsid w:val="00641097"/>
    <w:rsid w:val="00643F52"/>
    <w:rsid w:val="00644A94"/>
    <w:rsid w:val="00644D20"/>
    <w:rsid w:val="00660296"/>
    <w:rsid w:val="0066051F"/>
    <w:rsid w:val="00661393"/>
    <w:rsid w:val="00661CE0"/>
    <w:rsid w:val="0067004F"/>
    <w:rsid w:val="0067034E"/>
    <w:rsid w:val="006711E0"/>
    <w:rsid w:val="0067428C"/>
    <w:rsid w:val="00676595"/>
    <w:rsid w:val="00681F71"/>
    <w:rsid w:val="00683629"/>
    <w:rsid w:val="0068404B"/>
    <w:rsid w:val="006A38F2"/>
    <w:rsid w:val="006A5532"/>
    <w:rsid w:val="006A5A30"/>
    <w:rsid w:val="006B055D"/>
    <w:rsid w:val="006B0D88"/>
    <w:rsid w:val="006B23E0"/>
    <w:rsid w:val="006C073B"/>
    <w:rsid w:val="006C1F65"/>
    <w:rsid w:val="006C2D06"/>
    <w:rsid w:val="006C33B6"/>
    <w:rsid w:val="006C350E"/>
    <w:rsid w:val="006C3A6F"/>
    <w:rsid w:val="006D1D3E"/>
    <w:rsid w:val="006D3C32"/>
    <w:rsid w:val="006D58F2"/>
    <w:rsid w:val="006D5FA9"/>
    <w:rsid w:val="006D6E7E"/>
    <w:rsid w:val="006D7795"/>
    <w:rsid w:val="006E0F7E"/>
    <w:rsid w:val="006E37D8"/>
    <w:rsid w:val="006E3D52"/>
    <w:rsid w:val="006E5FDD"/>
    <w:rsid w:val="006E69CB"/>
    <w:rsid w:val="006F0496"/>
    <w:rsid w:val="006F6ADF"/>
    <w:rsid w:val="00700B53"/>
    <w:rsid w:val="0070452A"/>
    <w:rsid w:val="00705079"/>
    <w:rsid w:val="00705A38"/>
    <w:rsid w:val="00712DAA"/>
    <w:rsid w:val="00713C0A"/>
    <w:rsid w:val="00720E91"/>
    <w:rsid w:val="007215DC"/>
    <w:rsid w:val="00722398"/>
    <w:rsid w:val="007227C0"/>
    <w:rsid w:val="00722BF0"/>
    <w:rsid w:val="007231A0"/>
    <w:rsid w:val="00727A74"/>
    <w:rsid w:val="007313A5"/>
    <w:rsid w:val="00731F02"/>
    <w:rsid w:val="0073523A"/>
    <w:rsid w:val="007379AE"/>
    <w:rsid w:val="00740A48"/>
    <w:rsid w:val="007410BF"/>
    <w:rsid w:val="00741FEF"/>
    <w:rsid w:val="0074215D"/>
    <w:rsid w:val="00744700"/>
    <w:rsid w:val="00754201"/>
    <w:rsid w:val="00757E20"/>
    <w:rsid w:val="0076250C"/>
    <w:rsid w:val="00762BD1"/>
    <w:rsid w:val="0076747B"/>
    <w:rsid w:val="00771CC8"/>
    <w:rsid w:val="00772FBF"/>
    <w:rsid w:val="00773C26"/>
    <w:rsid w:val="007818F4"/>
    <w:rsid w:val="0078544B"/>
    <w:rsid w:val="0079001B"/>
    <w:rsid w:val="00790A8F"/>
    <w:rsid w:val="00792594"/>
    <w:rsid w:val="00795D8E"/>
    <w:rsid w:val="007A1403"/>
    <w:rsid w:val="007A4778"/>
    <w:rsid w:val="007A52BE"/>
    <w:rsid w:val="007B006D"/>
    <w:rsid w:val="007B446E"/>
    <w:rsid w:val="007B77FD"/>
    <w:rsid w:val="007C14CF"/>
    <w:rsid w:val="007C6B3B"/>
    <w:rsid w:val="007D32E3"/>
    <w:rsid w:val="007D44BA"/>
    <w:rsid w:val="007E06F4"/>
    <w:rsid w:val="007E3E94"/>
    <w:rsid w:val="007E666B"/>
    <w:rsid w:val="007F017A"/>
    <w:rsid w:val="007F3833"/>
    <w:rsid w:val="007F4136"/>
    <w:rsid w:val="007F48FF"/>
    <w:rsid w:val="007F6C5E"/>
    <w:rsid w:val="007F6D35"/>
    <w:rsid w:val="00802003"/>
    <w:rsid w:val="00805CCE"/>
    <w:rsid w:val="0080772D"/>
    <w:rsid w:val="008128D5"/>
    <w:rsid w:val="00817C3D"/>
    <w:rsid w:val="008215CD"/>
    <w:rsid w:val="00826D9F"/>
    <w:rsid w:val="00837402"/>
    <w:rsid w:val="00840C44"/>
    <w:rsid w:val="00846282"/>
    <w:rsid w:val="00851203"/>
    <w:rsid w:val="00851FB4"/>
    <w:rsid w:val="0085220D"/>
    <w:rsid w:val="00854D23"/>
    <w:rsid w:val="008565E0"/>
    <w:rsid w:val="00863A8C"/>
    <w:rsid w:val="00863E4D"/>
    <w:rsid w:val="008640EC"/>
    <w:rsid w:val="00865940"/>
    <w:rsid w:val="00866896"/>
    <w:rsid w:val="00866F48"/>
    <w:rsid w:val="008722ED"/>
    <w:rsid w:val="00872A0E"/>
    <w:rsid w:val="00874B3B"/>
    <w:rsid w:val="0087640C"/>
    <w:rsid w:val="008804C0"/>
    <w:rsid w:val="00883BC3"/>
    <w:rsid w:val="008868D9"/>
    <w:rsid w:val="0089080A"/>
    <w:rsid w:val="00890FE0"/>
    <w:rsid w:val="00891443"/>
    <w:rsid w:val="00893674"/>
    <w:rsid w:val="00895C12"/>
    <w:rsid w:val="0089781D"/>
    <w:rsid w:val="008A0D7B"/>
    <w:rsid w:val="008A5189"/>
    <w:rsid w:val="008A7FF4"/>
    <w:rsid w:val="008B05EF"/>
    <w:rsid w:val="008B1A68"/>
    <w:rsid w:val="008B2E52"/>
    <w:rsid w:val="008C038D"/>
    <w:rsid w:val="008C17F6"/>
    <w:rsid w:val="008D1BE1"/>
    <w:rsid w:val="008D2919"/>
    <w:rsid w:val="008D44BE"/>
    <w:rsid w:val="008D6E4A"/>
    <w:rsid w:val="008E10D9"/>
    <w:rsid w:val="008F2186"/>
    <w:rsid w:val="008F3A9C"/>
    <w:rsid w:val="008F6723"/>
    <w:rsid w:val="008F700C"/>
    <w:rsid w:val="00901A4F"/>
    <w:rsid w:val="00902158"/>
    <w:rsid w:val="00913505"/>
    <w:rsid w:val="00914646"/>
    <w:rsid w:val="0091737A"/>
    <w:rsid w:val="00917D94"/>
    <w:rsid w:val="009206E9"/>
    <w:rsid w:val="00922DF6"/>
    <w:rsid w:val="009301C0"/>
    <w:rsid w:val="00932C33"/>
    <w:rsid w:val="0093687E"/>
    <w:rsid w:val="009371DD"/>
    <w:rsid w:val="009407A0"/>
    <w:rsid w:val="009459BC"/>
    <w:rsid w:val="00947317"/>
    <w:rsid w:val="00952530"/>
    <w:rsid w:val="009541C1"/>
    <w:rsid w:val="00955EBB"/>
    <w:rsid w:val="00961E5F"/>
    <w:rsid w:val="00961F70"/>
    <w:rsid w:val="00965A2A"/>
    <w:rsid w:val="00965F2D"/>
    <w:rsid w:val="0096614F"/>
    <w:rsid w:val="00974194"/>
    <w:rsid w:val="0097681D"/>
    <w:rsid w:val="00976AB7"/>
    <w:rsid w:val="009802D7"/>
    <w:rsid w:val="00981000"/>
    <w:rsid w:val="009832A1"/>
    <w:rsid w:val="00985D84"/>
    <w:rsid w:val="009866BD"/>
    <w:rsid w:val="00987251"/>
    <w:rsid w:val="00987F6C"/>
    <w:rsid w:val="009907C8"/>
    <w:rsid w:val="009923E4"/>
    <w:rsid w:val="009A1F21"/>
    <w:rsid w:val="009A5948"/>
    <w:rsid w:val="009A5AAA"/>
    <w:rsid w:val="009A5DA8"/>
    <w:rsid w:val="009A7BBB"/>
    <w:rsid w:val="009B5CB7"/>
    <w:rsid w:val="009B72B5"/>
    <w:rsid w:val="009C331F"/>
    <w:rsid w:val="009C4E6B"/>
    <w:rsid w:val="009D2335"/>
    <w:rsid w:val="009D2433"/>
    <w:rsid w:val="009D4521"/>
    <w:rsid w:val="009E4E76"/>
    <w:rsid w:val="009E6448"/>
    <w:rsid w:val="009F0A0C"/>
    <w:rsid w:val="009F184D"/>
    <w:rsid w:val="009F3D2F"/>
    <w:rsid w:val="009F603B"/>
    <w:rsid w:val="00A0026D"/>
    <w:rsid w:val="00A02957"/>
    <w:rsid w:val="00A02A93"/>
    <w:rsid w:val="00A02CBD"/>
    <w:rsid w:val="00A02F9D"/>
    <w:rsid w:val="00A05C77"/>
    <w:rsid w:val="00A117F9"/>
    <w:rsid w:val="00A1276B"/>
    <w:rsid w:val="00A14767"/>
    <w:rsid w:val="00A17D62"/>
    <w:rsid w:val="00A22136"/>
    <w:rsid w:val="00A233A6"/>
    <w:rsid w:val="00A2660E"/>
    <w:rsid w:val="00A2661D"/>
    <w:rsid w:val="00A2705D"/>
    <w:rsid w:val="00A3033B"/>
    <w:rsid w:val="00A305A5"/>
    <w:rsid w:val="00A30A00"/>
    <w:rsid w:val="00A35513"/>
    <w:rsid w:val="00A40810"/>
    <w:rsid w:val="00A41BAC"/>
    <w:rsid w:val="00A4261E"/>
    <w:rsid w:val="00A43710"/>
    <w:rsid w:val="00A43B79"/>
    <w:rsid w:val="00A443B5"/>
    <w:rsid w:val="00A46499"/>
    <w:rsid w:val="00A47FA9"/>
    <w:rsid w:val="00A51432"/>
    <w:rsid w:val="00A51EFC"/>
    <w:rsid w:val="00A616EC"/>
    <w:rsid w:val="00A66DD1"/>
    <w:rsid w:val="00A67D92"/>
    <w:rsid w:val="00A70631"/>
    <w:rsid w:val="00A753A1"/>
    <w:rsid w:val="00A776D0"/>
    <w:rsid w:val="00A813EA"/>
    <w:rsid w:val="00A83E4A"/>
    <w:rsid w:val="00A90392"/>
    <w:rsid w:val="00A913A1"/>
    <w:rsid w:val="00A95A9F"/>
    <w:rsid w:val="00AA49DB"/>
    <w:rsid w:val="00AA5B5A"/>
    <w:rsid w:val="00AA6DAB"/>
    <w:rsid w:val="00AB0B8D"/>
    <w:rsid w:val="00AB1495"/>
    <w:rsid w:val="00AB2220"/>
    <w:rsid w:val="00AB28CA"/>
    <w:rsid w:val="00AB5495"/>
    <w:rsid w:val="00AB7878"/>
    <w:rsid w:val="00AC2043"/>
    <w:rsid w:val="00AC5144"/>
    <w:rsid w:val="00AC62B5"/>
    <w:rsid w:val="00AD4031"/>
    <w:rsid w:val="00AD525D"/>
    <w:rsid w:val="00AD5FDC"/>
    <w:rsid w:val="00AD7D7F"/>
    <w:rsid w:val="00AE14FC"/>
    <w:rsid w:val="00AE5AF0"/>
    <w:rsid w:val="00AE637F"/>
    <w:rsid w:val="00AF216B"/>
    <w:rsid w:val="00AF3616"/>
    <w:rsid w:val="00AF5A2B"/>
    <w:rsid w:val="00B03962"/>
    <w:rsid w:val="00B06BC6"/>
    <w:rsid w:val="00B06F64"/>
    <w:rsid w:val="00B07E72"/>
    <w:rsid w:val="00B10292"/>
    <w:rsid w:val="00B12E30"/>
    <w:rsid w:val="00B166F4"/>
    <w:rsid w:val="00B17F99"/>
    <w:rsid w:val="00B20FEB"/>
    <w:rsid w:val="00B21876"/>
    <w:rsid w:val="00B2460F"/>
    <w:rsid w:val="00B27ED4"/>
    <w:rsid w:val="00B30315"/>
    <w:rsid w:val="00B30DB8"/>
    <w:rsid w:val="00B37172"/>
    <w:rsid w:val="00B37873"/>
    <w:rsid w:val="00B42429"/>
    <w:rsid w:val="00B45A86"/>
    <w:rsid w:val="00B54324"/>
    <w:rsid w:val="00B548A7"/>
    <w:rsid w:val="00B57174"/>
    <w:rsid w:val="00B63091"/>
    <w:rsid w:val="00B6428B"/>
    <w:rsid w:val="00B665F1"/>
    <w:rsid w:val="00B66F0C"/>
    <w:rsid w:val="00B67BB9"/>
    <w:rsid w:val="00B67D77"/>
    <w:rsid w:val="00B70110"/>
    <w:rsid w:val="00B70C46"/>
    <w:rsid w:val="00B76522"/>
    <w:rsid w:val="00B778D5"/>
    <w:rsid w:val="00B82BF5"/>
    <w:rsid w:val="00B83145"/>
    <w:rsid w:val="00B85209"/>
    <w:rsid w:val="00B85F4F"/>
    <w:rsid w:val="00B8665C"/>
    <w:rsid w:val="00B87CE5"/>
    <w:rsid w:val="00B90F93"/>
    <w:rsid w:val="00B92AC1"/>
    <w:rsid w:val="00B930C6"/>
    <w:rsid w:val="00B9380C"/>
    <w:rsid w:val="00B945D0"/>
    <w:rsid w:val="00B9524F"/>
    <w:rsid w:val="00BA4233"/>
    <w:rsid w:val="00BA45F9"/>
    <w:rsid w:val="00BA6C1E"/>
    <w:rsid w:val="00BB2B14"/>
    <w:rsid w:val="00BB2BE2"/>
    <w:rsid w:val="00BB3495"/>
    <w:rsid w:val="00BB6422"/>
    <w:rsid w:val="00BC2AA7"/>
    <w:rsid w:val="00BD2E69"/>
    <w:rsid w:val="00BD4A50"/>
    <w:rsid w:val="00BD5B7E"/>
    <w:rsid w:val="00BD6354"/>
    <w:rsid w:val="00BD6927"/>
    <w:rsid w:val="00BE0303"/>
    <w:rsid w:val="00BE2131"/>
    <w:rsid w:val="00BE3F7A"/>
    <w:rsid w:val="00BE62EB"/>
    <w:rsid w:val="00BF0700"/>
    <w:rsid w:val="00BF0FAC"/>
    <w:rsid w:val="00BF1A0C"/>
    <w:rsid w:val="00BF1C9D"/>
    <w:rsid w:val="00BF7896"/>
    <w:rsid w:val="00C002B7"/>
    <w:rsid w:val="00C005EC"/>
    <w:rsid w:val="00C07637"/>
    <w:rsid w:val="00C12DA1"/>
    <w:rsid w:val="00C13FBC"/>
    <w:rsid w:val="00C20923"/>
    <w:rsid w:val="00C2547B"/>
    <w:rsid w:val="00C30DF5"/>
    <w:rsid w:val="00C31120"/>
    <w:rsid w:val="00C34CDA"/>
    <w:rsid w:val="00C36323"/>
    <w:rsid w:val="00C36968"/>
    <w:rsid w:val="00C37894"/>
    <w:rsid w:val="00C4342C"/>
    <w:rsid w:val="00C470E1"/>
    <w:rsid w:val="00C4750A"/>
    <w:rsid w:val="00C5382E"/>
    <w:rsid w:val="00C53AE6"/>
    <w:rsid w:val="00C53FAA"/>
    <w:rsid w:val="00C6065A"/>
    <w:rsid w:val="00C60DB2"/>
    <w:rsid w:val="00C631B4"/>
    <w:rsid w:val="00C63D38"/>
    <w:rsid w:val="00C709E0"/>
    <w:rsid w:val="00C71F8E"/>
    <w:rsid w:val="00C751D8"/>
    <w:rsid w:val="00C75E8B"/>
    <w:rsid w:val="00C761FD"/>
    <w:rsid w:val="00C80591"/>
    <w:rsid w:val="00C85DCE"/>
    <w:rsid w:val="00C9241C"/>
    <w:rsid w:val="00C92759"/>
    <w:rsid w:val="00C97748"/>
    <w:rsid w:val="00CA06E9"/>
    <w:rsid w:val="00CA2499"/>
    <w:rsid w:val="00CA2EA6"/>
    <w:rsid w:val="00CA4EA6"/>
    <w:rsid w:val="00CB3E78"/>
    <w:rsid w:val="00CB6F27"/>
    <w:rsid w:val="00CB73B0"/>
    <w:rsid w:val="00CC5886"/>
    <w:rsid w:val="00CD5F76"/>
    <w:rsid w:val="00CD748F"/>
    <w:rsid w:val="00CE0625"/>
    <w:rsid w:val="00CE1B66"/>
    <w:rsid w:val="00CE3C7D"/>
    <w:rsid w:val="00CF16D4"/>
    <w:rsid w:val="00D009A8"/>
    <w:rsid w:val="00D0251D"/>
    <w:rsid w:val="00D04DE1"/>
    <w:rsid w:val="00D04F65"/>
    <w:rsid w:val="00D05757"/>
    <w:rsid w:val="00D115DD"/>
    <w:rsid w:val="00D11811"/>
    <w:rsid w:val="00D13F4D"/>
    <w:rsid w:val="00D15CBE"/>
    <w:rsid w:val="00D1713E"/>
    <w:rsid w:val="00D25A24"/>
    <w:rsid w:val="00D275A9"/>
    <w:rsid w:val="00D3239E"/>
    <w:rsid w:val="00D3292F"/>
    <w:rsid w:val="00D33164"/>
    <w:rsid w:val="00D3528A"/>
    <w:rsid w:val="00D35EB3"/>
    <w:rsid w:val="00D4275E"/>
    <w:rsid w:val="00D43689"/>
    <w:rsid w:val="00D45CE1"/>
    <w:rsid w:val="00D45F32"/>
    <w:rsid w:val="00D5015F"/>
    <w:rsid w:val="00D503CB"/>
    <w:rsid w:val="00D54CB4"/>
    <w:rsid w:val="00D557D6"/>
    <w:rsid w:val="00D56487"/>
    <w:rsid w:val="00D60B17"/>
    <w:rsid w:val="00D61132"/>
    <w:rsid w:val="00D6591D"/>
    <w:rsid w:val="00D70961"/>
    <w:rsid w:val="00D71400"/>
    <w:rsid w:val="00D72DC6"/>
    <w:rsid w:val="00D733CB"/>
    <w:rsid w:val="00D7365D"/>
    <w:rsid w:val="00D77326"/>
    <w:rsid w:val="00D819E4"/>
    <w:rsid w:val="00D82BEC"/>
    <w:rsid w:val="00D85BC6"/>
    <w:rsid w:val="00D86A8B"/>
    <w:rsid w:val="00D90458"/>
    <w:rsid w:val="00D9051A"/>
    <w:rsid w:val="00D93563"/>
    <w:rsid w:val="00D97F7C"/>
    <w:rsid w:val="00DA025C"/>
    <w:rsid w:val="00DA23CB"/>
    <w:rsid w:val="00DA2521"/>
    <w:rsid w:val="00DB02A7"/>
    <w:rsid w:val="00DB5727"/>
    <w:rsid w:val="00DB59BC"/>
    <w:rsid w:val="00DC0A60"/>
    <w:rsid w:val="00DC1C07"/>
    <w:rsid w:val="00DC2998"/>
    <w:rsid w:val="00DC2FD3"/>
    <w:rsid w:val="00DC52A2"/>
    <w:rsid w:val="00DD18C7"/>
    <w:rsid w:val="00DD36B0"/>
    <w:rsid w:val="00DD45CC"/>
    <w:rsid w:val="00DD65A2"/>
    <w:rsid w:val="00DD6F56"/>
    <w:rsid w:val="00DE0453"/>
    <w:rsid w:val="00DE11D7"/>
    <w:rsid w:val="00DF2F10"/>
    <w:rsid w:val="00DF744A"/>
    <w:rsid w:val="00E006A0"/>
    <w:rsid w:val="00E03DE5"/>
    <w:rsid w:val="00E04D00"/>
    <w:rsid w:val="00E12818"/>
    <w:rsid w:val="00E128C8"/>
    <w:rsid w:val="00E1344A"/>
    <w:rsid w:val="00E16047"/>
    <w:rsid w:val="00E167A0"/>
    <w:rsid w:val="00E25885"/>
    <w:rsid w:val="00E30401"/>
    <w:rsid w:val="00E34AFC"/>
    <w:rsid w:val="00E41C00"/>
    <w:rsid w:val="00E44414"/>
    <w:rsid w:val="00E45E1E"/>
    <w:rsid w:val="00E46DAF"/>
    <w:rsid w:val="00E47F94"/>
    <w:rsid w:val="00E51C00"/>
    <w:rsid w:val="00E51D18"/>
    <w:rsid w:val="00E5397C"/>
    <w:rsid w:val="00E5665A"/>
    <w:rsid w:val="00E57689"/>
    <w:rsid w:val="00E576DF"/>
    <w:rsid w:val="00E57C16"/>
    <w:rsid w:val="00E60B8E"/>
    <w:rsid w:val="00E656BB"/>
    <w:rsid w:val="00E728C1"/>
    <w:rsid w:val="00E74361"/>
    <w:rsid w:val="00E74FE8"/>
    <w:rsid w:val="00E85691"/>
    <w:rsid w:val="00E85E1D"/>
    <w:rsid w:val="00EA13B8"/>
    <w:rsid w:val="00EA16DC"/>
    <w:rsid w:val="00EA41F1"/>
    <w:rsid w:val="00EB2EE1"/>
    <w:rsid w:val="00EB3233"/>
    <w:rsid w:val="00EC0314"/>
    <w:rsid w:val="00EC0A9F"/>
    <w:rsid w:val="00EC0D47"/>
    <w:rsid w:val="00EC1DA1"/>
    <w:rsid w:val="00EC4AB3"/>
    <w:rsid w:val="00ED0ED6"/>
    <w:rsid w:val="00ED4F2C"/>
    <w:rsid w:val="00ED5F80"/>
    <w:rsid w:val="00ED7A7A"/>
    <w:rsid w:val="00EE0C25"/>
    <w:rsid w:val="00EE729B"/>
    <w:rsid w:val="00EF1F4F"/>
    <w:rsid w:val="00EF208A"/>
    <w:rsid w:val="00EF2183"/>
    <w:rsid w:val="00EF2C94"/>
    <w:rsid w:val="00EF4F4C"/>
    <w:rsid w:val="00EF5058"/>
    <w:rsid w:val="00EF7C9D"/>
    <w:rsid w:val="00F02B8F"/>
    <w:rsid w:val="00F03ACB"/>
    <w:rsid w:val="00F107DE"/>
    <w:rsid w:val="00F10F08"/>
    <w:rsid w:val="00F12220"/>
    <w:rsid w:val="00F1255B"/>
    <w:rsid w:val="00F1637A"/>
    <w:rsid w:val="00F302CE"/>
    <w:rsid w:val="00F3059A"/>
    <w:rsid w:val="00F3177B"/>
    <w:rsid w:val="00F31B08"/>
    <w:rsid w:val="00F32981"/>
    <w:rsid w:val="00F32E17"/>
    <w:rsid w:val="00F33645"/>
    <w:rsid w:val="00F36401"/>
    <w:rsid w:val="00F3649F"/>
    <w:rsid w:val="00F377AC"/>
    <w:rsid w:val="00F43032"/>
    <w:rsid w:val="00F4539F"/>
    <w:rsid w:val="00F45756"/>
    <w:rsid w:val="00F46611"/>
    <w:rsid w:val="00F514DA"/>
    <w:rsid w:val="00F634BF"/>
    <w:rsid w:val="00F648BA"/>
    <w:rsid w:val="00F71186"/>
    <w:rsid w:val="00F77FF7"/>
    <w:rsid w:val="00F83106"/>
    <w:rsid w:val="00F85AA3"/>
    <w:rsid w:val="00F869DF"/>
    <w:rsid w:val="00F86DA4"/>
    <w:rsid w:val="00F8799C"/>
    <w:rsid w:val="00F87A51"/>
    <w:rsid w:val="00F914F3"/>
    <w:rsid w:val="00F940BF"/>
    <w:rsid w:val="00F94E22"/>
    <w:rsid w:val="00F97012"/>
    <w:rsid w:val="00F97164"/>
    <w:rsid w:val="00FA0355"/>
    <w:rsid w:val="00FA2FA6"/>
    <w:rsid w:val="00FA389C"/>
    <w:rsid w:val="00FA4B58"/>
    <w:rsid w:val="00FA6BE3"/>
    <w:rsid w:val="00FA788B"/>
    <w:rsid w:val="00FB0AD2"/>
    <w:rsid w:val="00FB12DD"/>
    <w:rsid w:val="00FB5D1F"/>
    <w:rsid w:val="00FB5DD3"/>
    <w:rsid w:val="00FB7E78"/>
    <w:rsid w:val="00FC3FA5"/>
    <w:rsid w:val="00FC4D61"/>
    <w:rsid w:val="00FC6765"/>
    <w:rsid w:val="00FC6828"/>
    <w:rsid w:val="00FC7339"/>
    <w:rsid w:val="00FC78E9"/>
    <w:rsid w:val="00FD2D3A"/>
    <w:rsid w:val="00FD551A"/>
    <w:rsid w:val="00FE3339"/>
    <w:rsid w:val="00FE3798"/>
    <w:rsid w:val="00FE577D"/>
    <w:rsid w:val="00FE6D8A"/>
    <w:rsid w:val="00FF1480"/>
    <w:rsid w:val="00FF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7FD"/>
    <w:rPr>
      <w:lang w:val="en-GB"/>
    </w:rPr>
  </w:style>
  <w:style w:type="paragraph" w:styleId="Heading3">
    <w:name w:val="heading 3"/>
    <w:basedOn w:val="Normal"/>
    <w:next w:val="Normal"/>
    <w:link w:val="Heading3Char"/>
    <w:uiPriority w:val="9"/>
    <w:unhideWhenUsed/>
    <w:qFormat/>
    <w:rsid w:val="007B77FD"/>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7FD"/>
    <w:rPr>
      <w:rFonts w:eastAsiaTheme="majorEastAsia" w:cstheme="majorBidi"/>
      <w:b/>
      <w:bCs/>
      <w:lang w:val="en-GB"/>
    </w:rPr>
  </w:style>
  <w:style w:type="paragraph" w:styleId="ListParagraph">
    <w:name w:val="List Paragraph"/>
    <w:basedOn w:val="Normal"/>
    <w:uiPriority w:val="34"/>
    <w:qFormat/>
    <w:rsid w:val="007B77FD"/>
    <w:pPr>
      <w:ind w:left="720"/>
      <w:contextualSpacing/>
    </w:pPr>
  </w:style>
  <w:style w:type="table" w:styleId="TableGrid">
    <w:name w:val="Table Grid"/>
    <w:basedOn w:val="TableNormal"/>
    <w:uiPriority w:val="59"/>
    <w:rsid w:val="007B77FD"/>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7FD"/>
    <w:rPr>
      <w:lang w:val="en-GB"/>
    </w:rPr>
  </w:style>
  <w:style w:type="paragraph" w:styleId="Heading3">
    <w:name w:val="heading 3"/>
    <w:basedOn w:val="Normal"/>
    <w:next w:val="Normal"/>
    <w:link w:val="Heading3Char"/>
    <w:uiPriority w:val="9"/>
    <w:unhideWhenUsed/>
    <w:qFormat/>
    <w:rsid w:val="007B77FD"/>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7FD"/>
    <w:rPr>
      <w:rFonts w:eastAsiaTheme="majorEastAsia" w:cstheme="majorBidi"/>
      <w:b/>
      <w:bCs/>
      <w:lang w:val="en-GB"/>
    </w:rPr>
  </w:style>
  <w:style w:type="paragraph" w:styleId="ListParagraph">
    <w:name w:val="List Paragraph"/>
    <w:basedOn w:val="Normal"/>
    <w:uiPriority w:val="34"/>
    <w:qFormat/>
    <w:rsid w:val="007B77FD"/>
    <w:pPr>
      <w:ind w:left="720"/>
      <w:contextualSpacing/>
    </w:pPr>
  </w:style>
  <w:style w:type="table" w:styleId="TableGrid">
    <w:name w:val="Table Grid"/>
    <w:basedOn w:val="TableNormal"/>
    <w:uiPriority w:val="59"/>
    <w:rsid w:val="007B77FD"/>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Piers William Hill</dc:creator>
  <cp:lastModifiedBy>Justin Piers William Hill</cp:lastModifiedBy>
  <cp:revision>1</cp:revision>
  <dcterms:created xsi:type="dcterms:W3CDTF">2014-10-21T23:23:00Z</dcterms:created>
  <dcterms:modified xsi:type="dcterms:W3CDTF">2014-10-21T23:24:00Z</dcterms:modified>
</cp:coreProperties>
</file>