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22A19" w14:textId="77777777" w:rsidR="00283ADA" w:rsidRPr="00BA74DA" w:rsidRDefault="003C648B" w:rsidP="00E84264">
      <w:pPr>
        <w:pStyle w:val="KeinLeerraum"/>
        <w:jc w:val="center"/>
        <w:rPr>
          <w:b/>
          <w:sz w:val="28"/>
          <w:szCs w:val="28"/>
        </w:rPr>
      </w:pPr>
      <w:r w:rsidRPr="00BA74DA">
        <w:rPr>
          <w:b/>
          <w:sz w:val="28"/>
          <w:szCs w:val="28"/>
        </w:rPr>
        <w:t>OECD Global Science Forum (GSF)</w:t>
      </w:r>
      <w:r w:rsidR="00283ADA" w:rsidRPr="00BA74DA">
        <w:rPr>
          <w:b/>
          <w:sz w:val="28"/>
          <w:szCs w:val="28"/>
        </w:rPr>
        <w:t xml:space="preserve"> Activity</w:t>
      </w:r>
    </w:p>
    <w:p w14:paraId="0909A6AD" w14:textId="1F16D5AC" w:rsidR="00283ADA" w:rsidRPr="000F4E1D" w:rsidRDefault="005126B6" w:rsidP="00E84264">
      <w:pPr>
        <w:pStyle w:val="KeinLeerraum"/>
        <w:jc w:val="center"/>
        <w:rPr>
          <w:b/>
          <w:sz w:val="28"/>
          <w:szCs w:val="28"/>
        </w:rPr>
      </w:pPr>
      <w:r>
        <w:rPr>
          <w:b/>
          <w:sz w:val="28"/>
          <w:szCs w:val="28"/>
        </w:rPr>
        <w:t xml:space="preserve">“Strengthening the </w:t>
      </w:r>
      <w:r w:rsidR="00283ADA" w:rsidRPr="00BA74DA">
        <w:rPr>
          <w:b/>
          <w:sz w:val="28"/>
          <w:szCs w:val="28"/>
        </w:rPr>
        <w:t>s</w:t>
      </w:r>
      <w:r w:rsidR="00BA74DA">
        <w:rPr>
          <w:b/>
          <w:sz w:val="28"/>
          <w:szCs w:val="28"/>
        </w:rPr>
        <w:t>ustainability and effectiveness</w:t>
      </w:r>
      <w:r w:rsidR="00BA74DA">
        <w:rPr>
          <w:b/>
          <w:sz w:val="28"/>
          <w:szCs w:val="28"/>
        </w:rPr>
        <w:br/>
      </w:r>
      <w:r w:rsidR="00283ADA" w:rsidRPr="00BA74DA">
        <w:rPr>
          <w:b/>
          <w:sz w:val="28"/>
          <w:szCs w:val="28"/>
        </w:rPr>
        <w:t xml:space="preserve">of international research </w:t>
      </w:r>
      <w:r w:rsidR="00283ADA" w:rsidRPr="000F4E1D">
        <w:rPr>
          <w:b/>
          <w:sz w:val="28"/>
          <w:szCs w:val="28"/>
        </w:rPr>
        <w:t>infrastructures”</w:t>
      </w:r>
    </w:p>
    <w:p w14:paraId="6100AC02" w14:textId="77777777" w:rsidR="00283ADA" w:rsidRPr="001F0C98" w:rsidRDefault="00283ADA" w:rsidP="00283ADA">
      <w:pPr>
        <w:pStyle w:val="KeinLeerraum"/>
        <w:rPr>
          <w:b/>
          <w:sz w:val="20"/>
          <w:szCs w:val="20"/>
        </w:rPr>
      </w:pPr>
    </w:p>
    <w:p w14:paraId="14BB2EF8" w14:textId="6DACBCBB" w:rsidR="000E0301" w:rsidRPr="00BA74DA" w:rsidRDefault="00476289" w:rsidP="00E84264">
      <w:pPr>
        <w:pStyle w:val="KeinLeerraum"/>
        <w:jc w:val="center"/>
        <w:rPr>
          <w:b/>
          <w:sz w:val="24"/>
          <w:szCs w:val="24"/>
        </w:rPr>
      </w:pPr>
      <w:r w:rsidRPr="00BA74DA">
        <w:rPr>
          <w:b/>
          <w:sz w:val="24"/>
          <w:szCs w:val="24"/>
        </w:rPr>
        <w:t>L</w:t>
      </w:r>
      <w:r w:rsidR="000E0301" w:rsidRPr="00BA74DA">
        <w:rPr>
          <w:b/>
          <w:sz w:val="24"/>
          <w:szCs w:val="24"/>
        </w:rPr>
        <w:t>iterature review</w:t>
      </w:r>
    </w:p>
    <w:p w14:paraId="6C0599A3" w14:textId="77777777" w:rsidR="00EF2FF1" w:rsidRDefault="00EF2FF1" w:rsidP="000E0301">
      <w:pPr>
        <w:pStyle w:val="KeinLeerraum"/>
        <w:rPr>
          <w:sz w:val="20"/>
          <w:szCs w:val="20"/>
        </w:rPr>
      </w:pPr>
    </w:p>
    <w:p w14:paraId="3B59AEC5" w14:textId="500D57E5" w:rsidR="00036F7C" w:rsidRPr="008F2837" w:rsidRDefault="008F2837" w:rsidP="000E0301">
      <w:pPr>
        <w:pStyle w:val="KeinLeerraum"/>
        <w:rPr>
          <w:b/>
          <w:color w:val="FF0000"/>
          <w:sz w:val="24"/>
          <w:szCs w:val="24"/>
        </w:rPr>
      </w:pPr>
      <w:r w:rsidRPr="008F2837">
        <w:rPr>
          <w:b/>
          <w:color w:val="FF0000"/>
          <w:sz w:val="24"/>
          <w:szCs w:val="24"/>
        </w:rPr>
        <w:t>Table of Contents</w:t>
      </w:r>
    </w:p>
    <w:p w14:paraId="047322DE" w14:textId="77777777" w:rsidR="008F2837" w:rsidRDefault="008F2837" w:rsidP="000E0301">
      <w:pPr>
        <w:pStyle w:val="KeinLeerraum"/>
        <w:rPr>
          <w:sz w:val="20"/>
          <w:szCs w:val="20"/>
        </w:rPr>
      </w:pPr>
    </w:p>
    <w:p w14:paraId="16F98195" w14:textId="12D0C659" w:rsidR="008F2837" w:rsidRPr="00F8041F" w:rsidRDefault="008F2837" w:rsidP="00EB3255">
      <w:pPr>
        <w:pStyle w:val="KeinLeerraum"/>
        <w:tabs>
          <w:tab w:val="right" w:pos="9070"/>
        </w:tabs>
        <w:spacing w:after="60"/>
        <w:rPr>
          <w:b/>
          <w:sz w:val="20"/>
          <w:szCs w:val="20"/>
        </w:rPr>
      </w:pPr>
      <w:r w:rsidRPr="00F8041F">
        <w:rPr>
          <w:b/>
          <w:sz w:val="20"/>
          <w:szCs w:val="20"/>
        </w:rPr>
        <w:t>1. Introductory notes</w:t>
      </w:r>
      <w:r w:rsidRPr="00F8041F">
        <w:rPr>
          <w:b/>
          <w:sz w:val="20"/>
          <w:szCs w:val="20"/>
        </w:rPr>
        <w:tab/>
        <w:t>1</w:t>
      </w:r>
    </w:p>
    <w:p w14:paraId="4B16CD42" w14:textId="12E808EA" w:rsidR="008F2837" w:rsidRPr="00F8041F" w:rsidRDefault="008F2837" w:rsidP="008F2837">
      <w:pPr>
        <w:pStyle w:val="KeinLeerraum"/>
        <w:tabs>
          <w:tab w:val="right" w:pos="9070"/>
        </w:tabs>
        <w:rPr>
          <w:b/>
          <w:sz w:val="20"/>
          <w:szCs w:val="20"/>
        </w:rPr>
      </w:pPr>
      <w:r w:rsidRPr="00F8041F">
        <w:rPr>
          <w:b/>
          <w:sz w:val="20"/>
          <w:szCs w:val="20"/>
        </w:rPr>
        <w:t>2. Literature review</w:t>
      </w:r>
      <w:r w:rsidRPr="00F8041F">
        <w:rPr>
          <w:b/>
          <w:sz w:val="20"/>
          <w:szCs w:val="20"/>
        </w:rPr>
        <w:tab/>
        <w:t>1</w:t>
      </w:r>
    </w:p>
    <w:p w14:paraId="0A7057E1" w14:textId="3287ED1F" w:rsidR="008F2837" w:rsidRPr="00F8041F" w:rsidRDefault="008F2837" w:rsidP="008F2837">
      <w:pPr>
        <w:pStyle w:val="KeinLeerraum"/>
        <w:tabs>
          <w:tab w:val="right" w:pos="9070"/>
        </w:tabs>
        <w:rPr>
          <w:sz w:val="20"/>
          <w:szCs w:val="20"/>
        </w:rPr>
      </w:pPr>
      <w:r w:rsidRPr="00F8041F">
        <w:rPr>
          <w:sz w:val="20"/>
          <w:szCs w:val="20"/>
        </w:rPr>
        <w:t xml:space="preserve">2.1 </w:t>
      </w:r>
      <w:r w:rsidRPr="00F14DCB">
        <w:rPr>
          <w:i/>
          <w:sz w:val="20"/>
          <w:szCs w:val="20"/>
        </w:rPr>
        <w:t>Essential general reading</w:t>
      </w:r>
      <w:r w:rsidRPr="00F8041F">
        <w:rPr>
          <w:sz w:val="20"/>
          <w:szCs w:val="20"/>
        </w:rPr>
        <w:tab/>
        <w:t>1</w:t>
      </w:r>
    </w:p>
    <w:p w14:paraId="6AAAB8FF" w14:textId="633FCBE2" w:rsidR="008F2837" w:rsidRPr="00F8041F" w:rsidRDefault="008F2837" w:rsidP="008F2837">
      <w:pPr>
        <w:pStyle w:val="KeinLeerraum"/>
        <w:tabs>
          <w:tab w:val="right" w:pos="9070"/>
        </w:tabs>
        <w:rPr>
          <w:sz w:val="20"/>
          <w:szCs w:val="20"/>
        </w:rPr>
      </w:pPr>
      <w:r w:rsidRPr="00F8041F">
        <w:rPr>
          <w:sz w:val="20"/>
          <w:szCs w:val="20"/>
        </w:rPr>
        <w:t xml:space="preserve">2.2 </w:t>
      </w:r>
      <w:r w:rsidRPr="00F14DCB">
        <w:rPr>
          <w:i/>
          <w:sz w:val="20"/>
          <w:szCs w:val="20"/>
        </w:rPr>
        <w:t>Financial issues</w:t>
      </w:r>
      <w:r w:rsidRPr="00F8041F">
        <w:rPr>
          <w:sz w:val="20"/>
          <w:szCs w:val="20"/>
        </w:rPr>
        <w:tab/>
        <w:t>1</w:t>
      </w:r>
    </w:p>
    <w:p w14:paraId="23A099FA" w14:textId="649FC6B8" w:rsidR="008F2837" w:rsidRPr="00F8041F" w:rsidRDefault="008F2837" w:rsidP="00F8041F">
      <w:pPr>
        <w:pStyle w:val="KeinLeerraum"/>
        <w:tabs>
          <w:tab w:val="right" w:pos="9070"/>
        </w:tabs>
        <w:ind w:left="142"/>
        <w:rPr>
          <w:rFonts w:cs="Times New Roman"/>
          <w:sz w:val="20"/>
          <w:szCs w:val="20"/>
        </w:rPr>
      </w:pPr>
      <w:r w:rsidRPr="00F8041F">
        <w:rPr>
          <w:sz w:val="20"/>
          <w:szCs w:val="20"/>
        </w:rPr>
        <w:t xml:space="preserve">2.2.1 </w:t>
      </w:r>
      <w:r w:rsidRPr="00F8041F">
        <w:rPr>
          <w:rFonts w:cs="Times New Roman"/>
          <w:sz w:val="20"/>
          <w:szCs w:val="20"/>
        </w:rPr>
        <w:t>Best practices and/or novel solutions to help reduce costs for construction and implementation</w:t>
      </w:r>
      <w:r w:rsidRPr="00F8041F">
        <w:rPr>
          <w:rFonts w:cs="Times New Roman"/>
          <w:sz w:val="20"/>
          <w:szCs w:val="20"/>
        </w:rPr>
        <w:tab/>
        <w:t>1</w:t>
      </w:r>
    </w:p>
    <w:p w14:paraId="566465BC" w14:textId="5BC842AC" w:rsidR="008F2837" w:rsidRPr="00F8041F" w:rsidRDefault="003829F6" w:rsidP="00F8041F">
      <w:pPr>
        <w:pStyle w:val="KeinLeerraum"/>
        <w:tabs>
          <w:tab w:val="right" w:pos="9070"/>
        </w:tabs>
        <w:ind w:left="142"/>
        <w:rPr>
          <w:rFonts w:cs="Times New Roman"/>
          <w:sz w:val="20"/>
          <w:szCs w:val="20"/>
        </w:rPr>
      </w:pPr>
      <w:r w:rsidRPr="00F8041F">
        <w:rPr>
          <w:sz w:val="20"/>
          <w:szCs w:val="20"/>
        </w:rPr>
        <w:t xml:space="preserve">2.2.2 </w:t>
      </w:r>
      <w:r w:rsidRPr="00F8041F">
        <w:rPr>
          <w:rFonts w:cs="Times New Roman"/>
          <w:sz w:val="20"/>
          <w:szCs w:val="20"/>
        </w:rPr>
        <w:t>Operating models most appropriate for different types of RIs (single sites, distributed, e-RIs, etc.)</w:t>
      </w:r>
      <w:r w:rsidRPr="00F8041F">
        <w:rPr>
          <w:rFonts w:cs="Times New Roman"/>
          <w:sz w:val="20"/>
          <w:szCs w:val="20"/>
        </w:rPr>
        <w:tab/>
        <w:t>2</w:t>
      </w:r>
    </w:p>
    <w:p w14:paraId="3975158B" w14:textId="5FE58C71" w:rsidR="003829F6" w:rsidRPr="00F8041F" w:rsidRDefault="00926C59" w:rsidP="00F8041F">
      <w:pPr>
        <w:pStyle w:val="KeinLeerraum"/>
        <w:tabs>
          <w:tab w:val="right" w:pos="9070"/>
        </w:tabs>
        <w:ind w:left="142"/>
        <w:rPr>
          <w:rFonts w:cs="Times New Roman"/>
          <w:sz w:val="20"/>
          <w:szCs w:val="20"/>
        </w:rPr>
      </w:pPr>
      <w:r w:rsidRPr="00F8041F">
        <w:rPr>
          <w:rFonts w:cs="Times New Roman"/>
          <w:sz w:val="20"/>
          <w:szCs w:val="20"/>
        </w:rPr>
        <w:t>2.2.3 Effective models for securing operational costs</w:t>
      </w:r>
      <w:r w:rsidRPr="00F8041F">
        <w:rPr>
          <w:rFonts w:cs="Times New Roman"/>
          <w:sz w:val="20"/>
          <w:szCs w:val="20"/>
        </w:rPr>
        <w:tab/>
        <w:t>4</w:t>
      </w:r>
    </w:p>
    <w:p w14:paraId="546C7587" w14:textId="6093B1C8" w:rsidR="00926C59" w:rsidRPr="00F8041F" w:rsidRDefault="00926C59" w:rsidP="00F8041F">
      <w:pPr>
        <w:pStyle w:val="KeinLeerraum"/>
        <w:tabs>
          <w:tab w:val="right" w:pos="9070"/>
        </w:tabs>
        <w:ind w:left="142"/>
        <w:rPr>
          <w:rFonts w:cs="Times New Roman"/>
          <w:sz w:val="20"/>
          <w:szCs w:val="20"/>
        </w:rPr>
      </w:pPr>
      <w:r w:rsidRPr="00F8041F">
        <w:rPr>
          <w:rFonts w:cs="Times New Roman"/>
          <w:sz w:val="20"/>
          <w:szCs w:val="20"/>
        </w:rPr>
        <w:t xml:space="preserve">2.2.4 </w:t>
      </w:r>
      <w:r w:rsidR="00AB5122" w:rsidRPr="00F8041F">
        <w:rPr>
          <w:rFonts w:cs="Times New Roman"/>
          <w:sz w:val="20"/>
          <w:szCs w:val="20"/>
        </w:rPr>
        <w:t>Costs for agreed upon upgrades</w:t>
      </w:r>
      <w:r w:rsidRPr="00F8041F">
        <w:rPr>
          <w:rFonts w:cs="Times New Roman"/>
          <w:sz w:val="20"/>
          <w:szCs w:val="20"/>
        </w:rPr>
        <w:tab/>
      </w:r>
      <w:r w:rsidR="00AB5122" w:rsidRPr="00F8041F">
        <w:rPr>
          <w:rFonts w:cs="Times New Roman"/>
          <w:sz w:val="20"/>
          <w:szCs w:val="20"/>
        </w:rPr>
        <w:t>7</w:t>
      </w:r>
    </w:p>
    <w:p w14:paraId="0FA5A410" w14:textId="6F5A1DBD" w:rsidR="00AB5122" w:rsidRPr="00F8041F" w:rsidRDefault="00AB5122" w:rsidP="00F8041F">
      <w:pPr>
        <w:pStyle w:val="KeinLeerraum"/>
        <w:tabs>
          <w:tab w:val="right" w:pos="9070"/>
        </w:tabs>
        <w:ind w:left="142"/>
        <w:rPr>
          <w:rFonts w:cs="Times New Roman"/>
          <w:sz w:val="20"/>
          <w:szCs w:val="20"/>
        </w:rPr>
      </w:pPr>
      <w:r w:rsidRPr="00F8041F">
        <w:rPr>
          <w:rFonts w:cs="Times New Roman"/>
          <w:sz w:val="20"/>
          <w:szCs w:val="20"/>
        </w:rPr>
        <w:t>2.2.5 Funding policies of contributing partners for good medium to long-term planning</w:t>
      </w:r>
      <w:r w:rsidRPr="00F8041F">
        <w:rPr>
          <w:rFonts w:cs="Times New Roman"/>
          <w:sz w:val="20"/>
          <w:szCs w:val="20"/>
        </w:rPr>
        <w:tab/>
        <w:t>7</w:t>
      </w:r>
    </w:p>
    <w:p w14:paraId="439968E6" w14:textId="025C6B8C" w:rsidR="00AB5122" w:rsidRPr="00F8041F" w:rsidRDefault="004F20AE" w:rsidP="00F8041F">
      <w:pPr>
        <w:pStyle w:val="KeinLeerraum"/>
        <w:tabs>
          <w:tab w:val="right" w:pos="9070"/>
        </w:tabs>
        <w:ind w:left="142"/>
        <w:rPr>
          <w:rFonts w:cs="Times New Roman"/>
          <w:sz w:val="20"/>
          <w:szCs w:val="20"/>
        </w:rPr>
      </w:pPr>
      <w:r w:rsidRPr="00F8041F">
        <w:rPr>
          <w:sz w:val="20"/>
          <w:szCs w:val="20"/>
        </w:rPr>
        <w:t xml:space="preserve">2.2.6 </w:t>
      </w:r>
      <w:r w:rsidRPr="00F8041F">
        <w:rPr>
          <w:rFonts w:cs="Times New Roman"/>
          <w:sz w:val="20"/>
          <w:szCs w:val="20"/>
        </w:rPr>
        <w:t>Contributions and tangible/intangible assets, taking amortisation/depreciation into account</w:t>
      </w:r>
      <w:r w:rsidRPr="00F8041F">
        <w:rPr>
          <w:rFonts w:cs="Times New Roman"/>
          <w:sz w:val="20"/>
          <w:szCs w:val="20"/>
        </w:rPr>
        <w:tab/>
        <w:t>8</w:t>
      </w:r>
    </w:p>
    <w:p w14:paraId="4728C6B8" w14:textId="4DDC6C6E" w:rsidR="004F20AE" w:rsidRPr="00F8041F" w:rsidRDefault="00222266" w:rsidP="00F8041F">
      <w:pPr>
        <w:pStyle w:val="KeinLeerraum"/>
        <w:tabs>
          <w:tab w:val="right" w:pos="9070"/>
        </w:tabs>
        <w:ind w:left="142"/>
        <w:rPr>
          <w:rFonts w:cs="Times New Roman"/>
          <w:sz w:val="20"/>
          <w:szCs w:val="20"/>
        </w:rPr>
      </w:pPr>
      <w:r w:rsidRPr="00F8041F">
        <w:rPr>
          <w:sz w:val="20"/>
          <w:szCs w:val="20"/>
        </w:rPr>
        <w:t xml:space="preserve">2.2.7 </w:t>
      </w:r>
      <w:r w:rsidRPr="00F8041F">
        <w:rPr>
          <w:rFonts w:cs="Times New Roman"/>
          <w:sz w:val="20"/>
          <w:szCs w:val="20"/>
        </w:rPr>
        <w:t>Risk management strategies that can help mitigate unforeseen cost escalation</w:t>
      </w:r>
      <w:r w:rsidR="00E50C99">
        <w:rPr>
          <w:rFonts w:cs="Times New Roman"/>
          <w:sz w:val="20"/>
          <w:szCs w:val="20"/>
        </w:rPr>
        <w:tab/>
        <w:t>8</w:t>
      </w:r>
    </w:p>
    <w:p w14:paraId="28E4AA83" w14:textId="7CCFD766" w:rsidR="00222266" w:rsidRPr="00F8041F" w:rsidRDefault="00253241" w:rsidP="00F8041F">
      <w:pPr>
        <w:pStyle w:val="KeinLeerraum"/>
        <w:tabs>
          <w:tab w:val="right" w:pos="9070"/>
        </w:tabs>
        <w:ind w:left="142"/>
        <w:rPr>
          <w:rFonts w:cs="Times New Roman"/>
          <w:sz w:val="20"/>
          <w:szCs w:val="20"/>
        </w:rPr>
      </w:pPr>
      <w:r w:rsidRPr="00F8041F">
        <w:rPr>
          <w:sz w:val="20"/>
          <w:szCs w:val="20"/>
        </w:rPr>
        <w:t xml:space="preserve">2.2.8 </w:t>
      </w:r>
      <w:r w:rsidRPr="00F8041F">
        <w:rPr>
          <w:rFonts w:cs="Times New Roman"/>
          <w:sz w:val="20"/>
          <w:szCs w:val="20"/>
        </w:rPr>
        <w:t>Plan and management costs for termination phase</w:t>
      </w:r>
      <w:r w:rsidRPr="00F8041F">
        <w:rPr>
          <w:rFonts w:cs="Times New Roman"/>
          <w:sz w:val="20"/>
          <w:szCs w:val="20"/>
        </w:rPr>
        <w:tab/>
        <w:t>9</w:t>
      </w:r>
    </w:p>
    <w:p w14:paraId="15F1EAF8" w14:textId="4D4E6675" w:rsidR="00253241" w:rsidRPr="00F8041F" w:rsidRDefault="00C03007" w:rsidP="008F2837">
      <w:pPr>
        <w:pStyle w:val="KeinLeerraum"/>
        <w:tabs>
          <w:tab w:val="right" w:pos="9070"/>
        </w:tabs>
        <w:rPr>
          <w:sz w:val="20"/>
          <w:szCs w:val="20"/>
        </w:rPr>
      </w:pPr>
      <w:r w:rsidRPr="00F8041F">
        <w:rPr>
          <w:sz w:val="20"/>
          <w:szCs w:val="20"/>
        </w:rPr>
        <w:t xml:space="preserve">2.3 </w:t>
      </w:r>
      <w:r w:rsidRPr="00F14DCB">
        <w:rPr>
          <w:i/>
          <w:sz w:val="20"/>
          <w:szCs w:val="20"/>
        </w:rPr>
        <w:t>Human resources</w:t>
      </w:r>
      <w:r w:rsidRPr="00F8041F">
        <w:rPr>
          <w:sz w:val="20"/>
          <w:szCs w:val="20"/>
        </w:rPr>
        <w:tab/>
        <w:t>9</w:t>
      </w:r>
    </w:p>
    <w:p w14:paraId="22CA7DF2" w14:textId="7D7D6139" w:rsidR="00C03007" w:rsidRPr="00F8041F" w:rsidRDefault="00C03007" w:rsidP="00F8041F">
      <w:pPr>
        <w:pStyle w:val="KeinLeerraum"/>
        <w:tabs>
          <w:tab w:val="right" w:pos="9070"/>
        </w:tabs>
        <w:ind w:left="142"/>
        <w:rPr>
          <w:rFonts w:cs="Times New Roman"/>
          <w:sz w:val="20"/>
          <w:szCs w:val="20"/>
        </w:rPr>
      </w:pPr>
      <w:r w:rsidRPr="00F8041F">
        <w:rPr>
          <w:sz w:val="20"/>
          <w:szCs w:val="20"/>
        </w:rPr>
        <w:t xml:space="preserve">2.3.1 </w:t>
      </w:r>
      <w:r w:rsidRPr="00F8041F">
        <w:rPr>
          <w:rFonts w:cs="Times New Roman"/>
          <w:sz w:val="20"/>
          <w:szCs w:val="20"/>
        </w:rPr>
        <w:t>Policies/practices to attract and retain scientific, technical and administrative staff</w:t>
      </w:r>
      <w:r w:rsidRPr="00F8041F">
        <w:rPr>
          <w:rFonts w:cs="Times New Roman"/>
          <w:sz w:val="20"/>
          <w:szCs w:val="20"/>
        </w:rPr>
        <w:tab/>
        <w:t>9</w:t>
      </w:r>
    </w:p>
    <w:p w14:paraId="41949DFA" w14:textId="58032972" w:rsidR="00C03007" w:rsidRPr="00F8041F" w:rsidRDefault="00147018" w:rsidP="008F2837">
      <w:pPr>
        <w:pStyle w:val="KeinLeerraum"/>
        <w:tabs>
          <w:tab w:val="right" w:pos="9070"/>
        </w:tabs>
        <w:rPr>
          <w:sz w:val="20"/>
          <w:szCs w:val="20"/>
        </w:rPr>
      </w:pPr>
      <w:r w:rsidRPr="00F8041F">
        <w:rPr>
          <w:sz w:val="20"/>
          <w:szCs w:val="20"/>
        </w:rPr>
        <w:t xml:space="preserve">2.4 </w:t>
      </w:r>
      <w:r w:rsidRPr="00F14DCB">
        <w:rPr>
          <w:i/>
          <w:sz w:val="20"/>
          <w:szCs w:val="20"/>
        </w:rPr>
        <w:t>Other</w:t>
      </w:r>
      <w:r w:rsidRPr="00F8041F">
        <w:rPr>
          <w:sz w:val="20"/>
          <w:szCs w:val="20"/>
        </w:rPr>
        <w:tab/>
        <w:t>10</w:t>
      </w:r>
    </w:p>
    <w:p w14:paraId="1EF92B69" w14:textId="060265C3" w:rsidR="00147018" w:rsidRPr="00F8041F" w:rsidRDefault="00147018" w:rsidP="00F8041F">
      <w:pPr>
        <w:pStyle w:val="KeinLeerraum"/>
        <w:tabs>
          <w:tab w:val="right" w:pos="9070"/>
        </w:tabs>
        <w:ind w:left="142"/>
        <w:rPr>
          <w:rFonts w:cs="Times New Roman"/>
          <w:sz w:val="20"/>
          <w:szCs w:val="20"/>
        </w:rPr>
      </w:pPr>
      <w:r w:rsidRPr="00F8041F">
        <w:rPr>
          <w:sz w:val="20"/>
          <w:szCs w:val="20"/>
        </w:rPr>
        <w:t xml:space="preserve">2.4.1 </w:t>
      </w:r>
      <w:r w:rsidRPr="00F8041F">
        <w:rPr>
          <w:rFonts w:cs="Times New Roman"/>
          <w:sz w:val="20"/>
          <w:szCs w:val="20"/>
        </w:rPr>
        <w:t>Unforeseen challenges during the construction phase (e.g. developments in science and technology)</w:t>
      </w:r>
      <w:r w:rsidRPr="00F8041F">
        <w:rPr>
          <w:rFonts w:cs="Times New Roman"/>
          <w:sz w:val="20"/>
          <w:szCs w:val="20"/>
        </w:rPr>
        <w:tab/>
        <w:t>10</w:t>
      </w:r>
    </w:p>
    <w:p w14:paraId="0F6DE54D" w14:textId="399E5EC3" w:rsidR="00147018" w:rsidRPr="00F8041F" w:rsidRDefault="00147018" w:rsidP="00EB3255">
      <w:pPr>
        <w:pStyle w:val="KeinLeerraum"/>
        <w:tabs>
          <w:tab w:val="right" w:pos="9070"/>
        </w:tabs>
        <w:spacing w:after="60"/>
        <w:ind w:left="142"/>
        <w:rPr>
          <w:rFonts w:cs="Times New Roman"/>
          <w:sz w:val="20"/>
          <w:szCs w:val="20"/>
        </w:rPr>
      </w:pPr>
      <w:r w:rsidRPr="00F8041F">
        <w:rPr>
          <w:rFonts w:cs="Times New Roman"/>
          <w:sz w:val="20"/>
          <w:szCs w:val="20"/>
        </w:rPr>
        <w:t xml:space="preserve">2.4.2 </w:t>
      </w:r>
      <w:r w:rsidR="00BE2D8B" w:rsidRPr="00F8041F">
        <w:rPr>
          <w:rFonts w:cs="Times New Roman"/>
          <w:sz w:val="20"/>
          <w:szCs w:val="20"/>
        </w:rPr>
        <w:t>Legal framework</w:t>
      </w:r>
      <w:r w:rsidR="00BE2D8B" w:rsidRPr="00F8041F">
        <w:rPr>
          <w:rFonts w:cs="Times New Roman"/>
          <w:sz w:val="20"/>
          <w:szCs w:val="20"/>
        </w:rPr>
        <w:tab/>
        <w:t>10</w:t>
      </w:r>
    </w:p>
    <w:p w14:paraId="7C252F8E" w14:textId="3E7D132E" w:rsidR="00BE2D8B" w:rsidRPr="00F8041F" w:rsidRDefault="007D6EAF" w:rsidP="008F2837">
      <w:pPr>
        <w:pStyle w:val="KeinLeerraum"/>
        <w:tabs>
          <w:tab w:val="right" w:pos="9070"/>
        </w:tabs>
        <w:rPr>
          <w:rFonts w:cs="Times New Roman"/>
          <w:b/>
          <w:sz w:val="20"/>
          <w:szCs w:val="20"/>
        </w:rPr>
      </w:pPr>
      <w:r w:rsidRPr="00F8041F">
        <w:rPr>
          <w:rFonts w:cs="Times New Roman"/>
          <w:b/>
          <w:sz w:val="20"/>
          <w:szCs w:val="20"/>
        </w:rPr>
        <w:t>3. Bibliography</w:t>
      </w:r>
      <w:r w:rsidRPr="00F8041F">
        <w:rPr>
          <w:rFonts w:cs="Times New Roman"/>
          <w:b/>
          <w:sz w:val="20"/>
          <w:szCs w:val="20"/>
        </w:rPr>
        <w:tab/>
        <w:t>11</w:t>
      </w:r>
    </w:p>
    <w:p w14:paraId="7C1D13EC" w14:textId="71B4B24E" w:rsidR="007D6EAF" w:rsidRPr="00F8041F" w:rsidRDefault="007D6EAF" w:rsidP="008F2837">
      <w:pPr>
        <w:pStyle w:val="KeinLeerraum"/>
        <w:tabs>
          <w:tab w:val="right" w:pos="9070"/>
        </w:tabs>
        <w:rPr>
          <w:sz w:val="20"/>
          <w:szCs w:val="20"/>
        </w:rPr>
      </w:pPr>
      <w:r w:rsidRPr="00F8041F">
        <w:rPr>
          <w:sz w:val="20"/>
          <w:szCs w:val="20"/>
        </w:rPr>
        <w:t>3.1 Literature cited</w:t>
      </w:r>
      <w:r w:rsidRPr="00F8041F">
        <w:rPr>
          <w:sz w:val="20"/>
          <w:szCs w:val="20"/>
        </w:rPr>
        <w:tab/>
        <w:t>11</w:t>
      </w:r>
    </w:p>
    <w:p w14:paraId="5F5597FD" w14:textId="4036738A" w:rsidR="007D6EAF" w:rsidRPr="00F8041F" w:rsidRDefault="007D6EAF" w:rsidP="00EB3255">
      <w:pPr>
        <w:pStyle w:val="KeinLeerraum"/>
        <w:tabs>
          <w:tab w:val="right" w:pos="9070"/>
        </w:tabs>
        <w:spacing w:after="60"/>
        <w:rPr>
          <w:sz w:val="20"/>
          <w:szCs w:val="20"/>
        </w:rPr>
      </w:pPr>
      <w:r w:rsidRPr="00F8041F">
        <w:rPr>
          <w:sz w:val="20"/>
          <w:szCs w:val="20"/>
        </w:rPr>
        <w:t>3.2 Literature consulted, but not cited</w:t>
      </w:r>
      <w:r w:rsidRPr="00F8041F">
        <w:rPr>
          <w:sz w:val="20"/>
          <w:szCs w:val="20"/>
        </w:rPr>
        <w:tab/>
        <w:t>12</w:t>
      </w:r>
    </w:p>
    <w:p w14:paraId="65BBA5BB" w14:textId="1C38A3A3" w:rsidR="000A289A" w:rsidRPr="00F8041F" w:rsidRDefault="007D6EAF" w:rsidP="008F2837">
      <w:pPr>
        <w:pStyle w:val="KeinLeerraum"/>
        <w:tabs>
          <w:tab w:val="right" w:pos="9070"/>
        </w:tabs>
        <w:rPr>
          <w:b/>
          <w:sz w:val="20"/>
          <w:szCs w:val="20"/>
        </w:rPr>
      </w:pPr>
      <w:r w:rsidRPr="00F8041F">
        <w:rPr>
          <w:b/>
          <w:sz w:val="20"/>
          <w:szCs w:val="20"/>
        </w:rPr>
        <w:t xml:space="preserve">4. </w:t>
      </w:r>
      <w:r w:rsidR="00F8041F" w:rsidRPr="00F8041F">
        <w:rPr>
          <w:b/>
          <w:sz w:val="20"/>
          <w:szCs w:val="20"/>
        </w:rPr>
        <w:t>Questions emerging from the literature review</w:t>
      </w:r>
      <w:r w:rsidR="00E50C99">
        <w:rPr>
          <w:b/>
          <w:sz w:val="20"/>
          <w:szCs w:val="20"/>
        </w:rPr>
        <w:tab/>
        <w:t>12</w:t>
      </w:r>
    </w:p>
    <w:p w14:paraId="66789785" w14:textId="77777777" w:rsidR="00036F7C" w:rsidRDefault="00036F7C" w:rsidP="000E0301">
      <w:pPr>
        <w:pStyle w:val="KeinLeerraum"/>
        <w:rPr>
          <w:sz w:val="20"/>
          <w:szCs w:val="20"/>
        </w:rPr>
      </w:pPr>
    </w:p>
    <w:p w14:paraId="2AA39E89" w14:textId="77777777" w:rsidR="00EB3255" w:rsidRDefault="00EB3255" w:rsidP="000E0301">
      <w:pPr>
        <w:pStyle w:val="KeinLeerraum"/>
        <w:rPr>
          <w:sz w:val="20"/>
          <w:szCs w:val="20"/>
        </w:rPr>
      </w:pPr>
    </w:p>
    <w:p w14:paraId="200A6749" w14:textId="7685EA09" w:rsidR="00B01180" w:rsidRPr="00B01180" w:rsidRDefault="008F2837" w:rsidP="000F29DF">
      <w:pPr>
        <w:pStyle w:val="KeinLeerraum"/>
        <w:numPr>
          <w:ilvl w:val="0"/>
          <w:numId w:val="19"/>
        </w:numPr>
        <w:ind w:left="567" w:hanging="567"/>
        <w:rPr>
          <w:b/>
          <w:color w:val="FF0000"/>
          <w:sz w:val="24"/>
          <w:szCs w:val="24"/>
        </w:rPr>
      </w:pPr>
      <w:r>
        <w:rPr>
          <w:b/>
          <w:color w:val="FF0000"/>
          <w:sz w:val="24"/>
          <w:szCs w:val="24"/>
        </w:rPr>
        <w:t>Introductory n</w:t>
      </w:r>
      <w:r w:rsidR="00B01180" w:rsidRPr="00B01180">
        <w:rPr>
          <w:b/>
          <w:color w:val="FF0000"/>
          <w:sz w:val="24"/>
          <w:szCs w:val="24"/>
        </w:rPr>
        <w:t>otes</w:t>
      </w:r>
    </w:p>
    <w:p w14:paraId="4A291ECE" w14:textId="686BCB3E" w:rsidR="00B01180" w:rsidRDefault="003B7E74" w:rsidP="00036F7C">
      <w:pPr>
        <w:pStyle w:val="KeinLeerraum"/>
        <w:rPr>
          <w:sz w:val="20"/>
          <w:szCs w:val="20"/>
        </w:rPr>
      </w:pPr>
      <w:r>
        <w:rPr>
          <w:sz w:val="20"/>
          <w:szCs w:val="20"/>
        </w:rPr>
        <w:t>This</w:t>
      </w:r>
      <w:r w:rsidR="00C6205F">
        <w:rPr>
          <w:sz w:val="20"/>
          <w:szCs w:val="20"/>
        </w:rPr>
        <w:t xml:space="preserve"> literature review relies on texts </w:t>
      </w:r>
      <w:r w:rsidR="00EB3255">
        <w:rPr>
          <w:sz w:val="20"/>
          <w:szCs w:val="20"/>
        </w:rPr>
        <w:t xml:space="preserve">provided </w:t>
      </w:r>
      <w:r w:rsidR="006153DC">
        <w:rPr>
          <w:sz w:val="20"/>
          <w:szCs w:val="20"/>
        </w:rPr>
        <w:t>mainly</w:t>
      </w:r>
      <w:r w:rsidR="00C6205F">
        <w:rPr>
          <w:sz w:val="20"/>
          <w:szCs w:val="20"/>
        </w:rPr>
        <w:t xml:space="preserve"> </w:t>
      </w:r>
      <w:r w:rsidR="008F1B40">
        <w:rPr>
          <w:sz w:val="20"/>
          <w:szCs w:val="20"/>
        </w:rPr>
        <w:t>by</w:t>
      </w:r>
      <w:r w:rsidR="00C6205F">
        <w:rPr>
          <w:sz w:val="20"/>
          <w:szCs w:val="20"/>
        </w:rPr>
        <w:t xml:space="preserve"> the Secretariat at the OECD Global Science Forum (GSF)</w:t>
      </w:r>
      <w:r w:rsidR="00167CBC">
        <w:rPr>
          <w:sz w:val="20"/>
          <w:szCs w:val="20"/>
        </w:rPr>
        <w:t xml:space="preserve">, complemented with information from staff </w:t>
      </w:r>
      <w:r w:rsidR="00C6205F">
        <w:rPr>
          <w:sz w:val="20"/>
          <w:szCs w:val="20"/>
        </w:rPr>
        <w:t>at the Swiss State Secretariat for Education, Research and Innovation (SERI)</w:t>
      </w:r>
      <w:r w:rsidR="00167CBC">
        <w:rPr>
          <w:sz w:val="20"/>
          <w:szCs w:val="20"/>
        </w:rPr>
        <w:t xml:space="preserve"> and work by the </w:t>
      </w:r>
      <w:r w:rsidR="00F61C6B">
        <w:rPr>
          <w:sz w:val="20"/>
          <w:szCs w:val="20"/>
        </w:rPr>
        <w:t>author of this documents</w:t>
      </w:r>
      <w:r w:rsidR="00C768FB">
        <w:rPr>
          <w:sz w:val="20"/>
          <w:szCs w:val="20"/>
        </w:rPr>
        <w:t>, i.e. the assistant to the co-chair of this GSF Activity</w:t>
      </w:r>
      <w:r w:rsidR="00C6205F">
        <w:rPr>
          <w:sz w:val="20"/>
          <w:szCs w:val="20"/>
        </w:rPr>
        <w:t xml:space="preserve">. </w:t>
      </w:r>
      <w:r w:rsidR="006153DC">
        <w:rPr>
          <w:sz w:val="20"/>
          <w:szCs w:val="20"/>
        </w:rPr>
        <w:t>All available</w:t>
      </w:r>
      <w:r w:rsidR="00C6205F">
        <w:rPr>
          <w:sz w:val="20"/>
          <w:szCs w:val="20"/>
        </w:rPr>
        <w:t xml:space="preserve"> texts were </w:t>
      </w:r>
      <w:r w:rsidR="00DA54C4">
        <w:rPr>
          <w:sz w:val="20"/>
          <w:szCs w:val="20"/>
        </w:rPr>
        <w:t xml:space="preserve">scanned </w:t>
      </w:r>
      <w:r w:rsidR="00221B4C">
        <w:rPr>
          <w:sz w:val="20"/>
          <w:szCs w:val="20"/>
        </w:rPr>
        <w:t>alongside</w:t>
      </w:r>
      <w:r w:rsidR="00C669D0">
        <w:rPr>
          <w:sz w:val="20"/>
          <w:szCs w:val="20"/>
        </w:rPr>
        <w:t xml:space="preserve"> </w:t>
      </w:r>
      <w:r w:rsidR="00BC4585">
        <w:rPr>
          <w:sz w:val="20"/>
          <w:szCs w:val="20"/>
        </w:rPr>
        <w:t xml:space="preserve">the terms of reference proposed for this GSF Activity and </w:t>
      </w:r>
      <w:r w:rsidR="00C669D0">
        <w:rPr>
          <w:sz w:val="20"/>
          <w:szCs w:val="20"/>
        </w:rPr>
        <w:t>relevant passages we</w:t>
      </w:r>
      <w:r w:rsidR="00BC4585">
        <w:rPr>
          <w:sz w:val="20"/>
          <w:szCs w:val="20"/>
        </w:rPr>
        <w:t xml:space="preserve">re organised in </w:t>
      </w:r>
      <w:r w:rsidR="00EA064B">
        <w:rPr>
          <w:sz w:val="20"/>
          <w:szCs w:val="20"/>
        </w:rPr>
        <w:t xml:space="preserve">corresponding </w:t>
      </w:r>
      <w:r w:rsidR="00BC4585">
        <w:rPr>
          <w:sz w:val="20"/>
          <w:szCs w:val="20"/>
        </w:rPr>
        <w:t>chapters</w:t>
      </w:r>
      <w:r w:rsidR="00EA064B">
        <w:rPr>
          <w:sz w:val="20"/>
          <w:szCs w:val="20"/>
        </w:rPr>
        <w:t xml:space="preserve"> below</w:t>
      </w:r>
      <w:r w:rsidR="00BC4585">
        <w:rPr>
          <w:sz w:val="20"/>
          <w:szCs w:val="20"/>
        </w:rPr>
        <w:t>.</w:t>
      </w:r>
      <w:r w:rsidR="000F29DF">
        <w:rPr>
          <w:sz w:val="20"/>
          <w:szCs w:val="20"/>
        </w:rPr>
        <w:t xml:space="preserve"> </w:t>
      </w:r>
      <w:r w:rsidR="00036F7C">
        <w:rPr>
          <w:sz w:val="20"/>
          <w:szCs w:val="20"/>
        </w:rPr>
        <w:t>All referenced literature is compi</w:t>
      </w:r>
      <w:r w:rsidR="002D1056">
        <w:rPr>
          <w:sz w:val="20"/>
          <w:szCs w:val="20"/>
        </w:rPr>
        <w:t>led in a biblio</w:t>
      </w:r>
      <w:r w:rsidR="002D1056">
        <w:rPr>
          <w:sz w:val="20"/>
          <w:szCs w:val="20"/>
        </w:rPr>
        <w:t>g</w:t>
      </w:r>
      <w:r w:rsidR="002D1056">
        <w:rPr>
          <w:sz w:val="20"/>
          <w:szCs w:val="20"/>
        </w:rPr>
        <w:t>raphy, followed by</w:t>
      </w:r>
      <w:r w:rsidR="00036F7C">
        <w:rPr>
          <w:sz w:val="20"/>
          <w:szCs w:val="20"/>
        </w:rPr>
        <w:t xml:space="preserve"> a list of additional questions that </w:t>
      </w:r>
      <w:r w:rsidR="002D1056">
        <w:rPr>
          <w:sz w:val="20"/>
          <w:szCs w:val="20"/>
        </w:rPr>
        <w:t>emerged</w:t>
      </w:r>
      <w:r w:rsidR="00036F7C">
        <w:rPr>
          <w:sz w:val="20"/>
          <w:szCs w:val="20"/>
        </w:rPr>
        <w:t xml:space="preserve"> as a result of the </w:t>
      </w:r>
      <w:r w:rsidR="00023E56">
        <w:rPr>
          <w:sz w:val="20"/>
          <w:szCs w:val="20"/>
        </w:rPr>
        <w:t>literature review.</w:t>
      </w:r>
    </w:p>
    <w:p w14:paraId="3ACC6678" w14:textId="77777777" w:rsidR="002D1056" w:rsidRDefault="002D1056" w:rsidP="00036F7C">
      <w:pPr>
        <w:pStyle w:val="KeinLeerraum"/>
        <w:rPr>
          <w:sz w:val="20"/>
          <w:szCs w:val="20"/>
        </w:rPr>
      </w:pPr>
    </w:p>
    <w:p w14:paraId="455D80AF" w14:textId="57194AEE" w:rsidR="00036F7C" w:rsidRPr="00075EC8" w:rsidRDefault="00036F7C" w:rsidP="000E0301">
      <w:pPr>
        <w:pStyle w:val="KeinLeerraum"/>
        <w:rPr>
          <w:sz w:val="20"/>
          <w:szCs w:val="20"/>
        </w:rPr>
      </w:pPr>
      <w:r>
        <w:rPr>
          <w:sz w:val="20"/>
          <w:szCs w:val="20"/>
        </w:rPr>
        <w:t>With the exception of two texts (</w:t>
      </w:r>
      <w:proofErr w:type="spellStart"/>
      <w:r>
        <w:rPr>
          <w:sz w:val="20"/>
          <w:szCs w:val="20"/>
        </w:rPr>
        <w:t>Péro</w:t>
      </w:r>
      <w:proofErr w:type="spellEnd"/>
      <w:r>
        <w:rPr>
          <w:sz w:val="20"/>
          <w:szCs w:val="20"/>
        </w:rPr>
        <w:t xml:space="preserve"> 2011 and 2007), all other </w:t>
      </w:r>
      <w:r w:rsidR="00B61952">
        <w:rPr>
          <w:sz w:val="20"/>
          <w:szCs w:val="20"/>
        </w:rPr>
        <w:t>references</w:t>
      </w:r>
      <w:r>
        <w:rPr>
          <w:sz w:val="20"/>
          <w:szCs w:val="20"/>
        </w:rPr>
        <w:t xml:space="preserve"> </w:t>
      </w:r>
      <w:r w:rsidR="002D1056">
        <w:rPr>
          <w:sz w:val="20"/>
          <w:szCs w:val="20"/>
        </w:rPr>
        <w:t xml:space="preserve">have an </w:t>
      </w:r>
      <w:r>
        <w:rPr>
          <w:sz w:val="20"/>
          <w:szCs w:val="20"/>
        </w:rPr>
        <w:t xml:space="preserve">online link </w:t>
      </w:r>
      <w:r w:rsidR="002D1056">
        <w:rPr>
          <w:sz w:val="20"/>
          <w:szCs w:val="20"/>
        </w:rPr>
        <w:t xml:space="preserve">to documents that are available open access </w:t>
      </w:r>
      <w:r>
        <w:rPr>
          <w:sz w:val="20"/>
          <w:szCs w:val="20"/>
        </w:rPr>
        <w:t xml:space="preserve">(NB. </w:t>
      </w:r>
      <w:r w:rsidR="002D1056">
        <w:rPr>
          <w:sz w:val="20"/>
          <w:szCs w:val="20"/>
        </w:rPr>
        <w:t>If clicking on the link produces an error message, copy the link and insert it in the address line of your Internet browser).</w:t>
      </w:r>
      <w:r w:rsidR="00075EC8">
        <w:rPr>
          <w:sz w:val="20"/>
          <w:szCs w:val="20"/>
        </w:rPr>
        <w:t xml:space="preserve"> In addition, the material is also available on the web platform </w:t>
      </w:r>
      <w:bookmarkStart w:id="0" w:name="_GoBack"/>
      <w:r w:rsidR="00075EC8" w:rsidRPr="00075EC8">
        <w:rPr>
          <w:rFonts w:cs="Helvetica"/>
          <w:color w:val="386EFF"/>
          <w:sz w:val="20"/>
          <w:szCs w:val="20"/>
          <w:u w:val="single" w:color="386EFF"/>
          <w:lang w:val="de-DE"/>
        </w:rPr>
        <w:fldChar w:fldCharType="begin"/>
      </w:r>
      <w:r w:rsidR="00075EC8" w:rsidRPr="00075EC8">
        <w:rPr>
          <w:rFonts w:cs="Helvetica"/>
          <w:color w:val="386EFF"/>
          <w:sz w:val="20"/>
          <w:szCs w:val="20"/>
          <w:u w:val="single" w:color="386EFF"/>
          <w:lang w:val="de-DE"/>
        </w:rPr>
        <w:instrText xml:space="preserve"> HYPERLINK "</w:instrText>
      </w:r>
      <w:r w:rsidR="00075EC8" w:rsidRPr="00075EC8">
        <w:rPr>
          <w:rFonts w:cs="Helvetica"/>
          <w:color w:val="386EFF"/>
          <w:sz w:val="20"/>
          <w:szCs w:val="20"/>
          <w:u w:val="single" w:color="386EFF"/>
          <w:lang w:val="de-DE"/>
        </w:rPr>
        <w:instrText>https://www.innovationpolicyplatform.org/strengthening-sustainability-and-effectiveness-international-research-infrastructures-0/ri-1-0</w:instrText>
      </w:r>
      <w:r w:rsidR="00075EC8" w:rsidRPr="00075EC8">
        <w:rPr>
          <w:rFonts w:cs="Helvetica"/>
          <w:color w:val="386EFF"/>
          <w:sz w:val="20"/>
          <w:szCs w:val="20"/>
          <w:u w:val="single" w:color="386EFF"/>
          <w:lang w:val="de-DE"/>
        </w:rPr>
        <w:instrText xml:space="preserve">" </w:instrText>
      </w:r>
      <w:r w:rsidR="00075EC8" w:rsidRPr="00075EC8">
        <w:rPr>
          <w:rFonts w:cs="Helvetica"/>
          <w:color w:val="386EFF"/>
          <w:sz w:val="20"/>
          <w:szCs w:val="20"/>
          <w:u w:val="single" w:color="386EFF"/>
          <w:lang w:val="de-DE"/>
        </w:rPr>
        <w:fldChar w:fldCharType="separate"/>
      </w:r>
      <w:r w:rsidR="00075EC8" w:rsidRPr="00075EC8">
        <w:rPr>
          <w:rStyle w:val="Link"/>
          <w:rFonts w:cs="Helvetica"/>
          <w:sz w:val="20"/>
          <w:szCs w:val="20"/>
          <w:u w:color="386EFF"/>
          <w:lang w:val="de-DE"/>
        </w:rPr>
        <w:t>https://www.innovationpolicyplatform.org/strengthening-sustainability-and-effectiveness-international-research-infrastructures-0/ri-1-0</w:t>
      </w:r>
      <w:r w:rsidR="00075EC8" w:rsidRPr="00075EC8">
        <w:rPr>
          <w:rFonts w:cs="Helvetica"/>
          <w:color w:val="386EFF"/>
          <w:sz w:val="20"/>
          <w:szCs w:val="20"/>
          <w:u w:val="single" w:color="386EFF"/>
          <w:lang w:val="de-DE"/>
        </w:rPr>
        <w:fldChar w:fldCharType="end"/>
      </w:r>
      <w:r w:rsidR="00075EC8" w:rsidRPr="00075EC8">
        <w:rPr>
          <w:rFonts w:cs="Helvetica"/>
          <w:color w:val="386EFF"/>
          <w:sz w:val="20"/>
          <w:szCs w:val="20"/>
          <w:u w:val="single" w:color="386EFF"/>
          <w:lang w:val="de-DE"/>
        </w:rPr>
        <w:t>.</w:t>
      </w:r>
    </w:p>
    <w:bookmarkEnd w:id="0"/>
    <w:p w14:paraId="24E079C8" w14:textId="77777777" w:rsidR="00B01180" w:rsidRDefault="00B01180" w:rsidP="000E0301">
      <w:pPr>
        <w:pStyle w:val="KeinLeerraum"/>
        <w:rPr>
          <w:sz w:val="20"/>
          <w:szCs w:val="20"/>
        </w:rPr>
      </w:pPr>
    </w:p>
    <w:p w14:paraId="52ACB00B" w14:textId="77777777" w:rsidR="00B01180" w:rsidRDefault="00B01180" w:rsidP="000E0301">
      <w:pPr>
        <w:pStyle w:val="KeinLeerraum"/>
        <w:rPr>
          <w:sz w:val="20"/>
          <w:szCs w:val="20"/>
        </w:rPr>
      </w:pPr>
    </w:p>
    <w:p w14:paraId="468A8327" w14:textId="130E8F36" w:rsidR="000F29DF" w:rsidRPr="00B01180" w:rsidRDefault="000F29DF" w:rsidP="000F29DF">
      <w:pPr>
        <w:pStyle w:val="KeinLeerraum"/>
        <w:numPr>
          <w:ilvl w:val="0"/>
          <w:numId w:val="19"/>
        </w:numPr>
        <w:ind w:left="567" w:hanging="567"/>
        <w:rPr>
          <w:b/>
          <w:color w:val="FF0000"/>
          <w:sz w:val="24"/>
          <w:szCs w:val="24"/>
        </w:rPr>
      </w:pPr>
      <w:r>
        <w:rPr>
          <w:b/>
          <w:color w:val="FF0000"/>
          <w:sz w:val="24"/>
          <w:szCs w:val="24"/>
        </w:rPr>
        <w:t>Literature review</w:t>
      </w:r>
    </w:p>
    <w:p w14:paraId="52796E84" w14:textId="77777777" w:rsidR="000F29DF" w:rsidRDefault="000F29DF" w:rsidP="000E0301">
      <w:pPr>
        <w:pStyle w:val="KeinLeerraum"/>
        <w:rPr>
          <w:sz w:val="20"/>
          <w:szCs w:val="20"/>
        </w:rPr>
      </w:pPr>
    </w:p>
    <w:p w14:paraId="566455C5" w14:textId="49278F02" w:rsidR="007E3B49" w:rsidRPr="001416B8" w:rsidRDefault="00D04585" w:rsidP="000F29DF">
      <w:pPr>
        <w:pStyle w:val="KeinLeerraum"/>
        <w:numPr>
          <w:ilvl w:val="0"/>
          <w:numId w:val="20"/>
        </w:numPr>
        <w:ind w:left="567" w:hanging="567"/>
        <w:rPr>
          <w:b/>
          <w:color w:val="FF0000"/>
          <w:sz w:val="24"/>
          <w:szCs w:val="24"/>
        </w:rPr>
      </w:pPr>
      <w:r>
        <w:rPr>
          <w:b/>
          <w:color w:val="FF0000"/>
          <w:sz w:val="24"/>
          <w:szCs w:val="24"/>
        </w:rPr>
        <w:t>Essential</w:t>
      </w:r>
      <w:r w:rsidR="007E3B49">
        <w:rPr>
          <w:b/>
          <w:color w:val="FF0000"/>
          <w:sz w:val="24"/>
          <w:szCs w:val="24"/>
        </w:rPr>
        <w:t xml:space="preserve"> general </w:t>
      </w:r>
      <w:r>
        <w:rPr>
          <w:b/>
          <w:color w:val="FF0000"/>
          <w:sz w:val="24"/>
          <w:szCs w:val="24"/>
        </w:rPr>
        <w:t>reading</w:t>
      </w:r>
    </w:p>
    <w:p w14:paraId="256C0E11" w14:textId="4ECECFEA" w:rsidR="00E551D6" w:rsidRPr="001F0C98" w:rsidRDefault="00E551D6" w:rsidP="00E551D6">
      <w:pPr>
        <w:pStyle w:val="StandardWeb"/>
        <w:spacing w:before="0" w:beforeAutospacing="0" w:after="0" w:afterAutospacing="0"/>
        <w:rPr>
          <w:lang w:val="en-GB"/>
        </w:rPr>
      </w:pPr>
      <w:r w:rsidRPr="001F0C98">
        <w:rPr>
          <w:rFonts w:asciiTheme="minorHAnsi" w:hAnsiTheme="minorHAnsi"/>
          <w:lang w:val="en-GB"/>
        </w:rPr>
        <w:t>European Commission</w:t>
      </w:r>
      <w:r>
        <w:rPr>
          <w:rFonts w:asciiTheme="minorHAnsi" w:hAnsiTheme="minorHAnsi"/>
          <w:lang w:val="en-GB"/>
        </w:rPr>
        <w:t>. 2010.</w:t>
      </w:r>
      <w:r w:rsidRPr="001F0C98">
        <w:t xml:space="preserve"> </w:t>
      </w:r>
      <w:hyperlink r:id="rId9" w:history="1">
        <w:r w:rsidRPr="00D41586">
          <w:rPr>
            <w:rStyle w:val="Link"/>
            <w:rFonts w:asciiTheme="minorHAnsi" w:hAnsiTheme="minorHAnsi"/>
            <w:i/>
            <w:lang w:val="en-GB"/>
          </w:rPr>
          <w:t>Cost control and management issues of global research infrastructures: report of the European expert group</w:t>
        </w:r>
      </w:hyperlink>
      <w:r>
        <w:rPr>
          <w:rFonts w:asciiTheme="minorHAnsi" w:hAnsiTheme="minorHAnsi"/>
          <w:lang w:val="en-GB"/>
        </w:rPr>
        <w:t xml:space="preserve">. </w:t>
      </w:r>
      <w:r w:rsidRPr="001F0C98">
        <w:rPr>
          <w:rFonts w:asciiTheme="minorHAnsi" w:hAnsiTheme="minorHAnsi"/>
          <w:lang w:val="en-GB"/>
        </w:rPr>
        <w:t>Brussels</w:t>
      </w:r>
      <w:r w:rsidR="00B34F98">
        <w:rPr>
          <w:rFonts w:asciiTheme="minorHAnsi" w:hAnsiTheme="minorHAnsi"/>
          <w:lang w:val="en-GB"/>
        </w:rPr>
        <w:t>.</w:t>
      </w:r>
    </w:p>
    <w:p w14:paraId="2A76253F" w14:textId="7CFFBC96" w:rsidR="007E3B49" w:rsidRDefault="00176278" w:rsidP="000E0301">
      <w:pPr>
        <w:pStyle w:val="KeinLeerraum"/>
        <w:rPr>
          <w:sz w:val="20"/>
          <w:szCs w:val="20"/>
        </w:rPr>
      </w:pPr>
      <w:proofErr w:type="gramStart"/>
      <w:r>
        <w:rPr>
          <w:sz w:val="20"/>
          <w:szCs w:val="20"/>
        </w:rPr>
        <w:t>C</w:t>
      </w:r>
      <w:r w:rsidR="007E3B49">
        <w:rPr>
          <w:sz w:val="20"/>
          <w:szCs w:val="20"/>
        </w:rPr>
        <w:t>hapters “Political issues” (p. 9-10), “Governance” (p. 11-12), “Project approval” (p. 13-16), “Management”</w:t>
      </w:r>
      <w:r w:rsidR="00300584">
        <w:rPr>
          <w:sz w:val="20"/>
          <w:szCs w:val="20"/>
        </w:rPr>
        <w:t xml:space="preserve"> (p. 16-17), “Project controlling and culture” </w:t>
      </w:r>
      <w:r w:rsidR="00C025E8">
        <w:rPr>
          <w:sz w:val="20"/>
          <w:szCs w:val="20"/>
        </w:rPr>
        <w:t xml:space="preserve">(p. 18-19) and </w:t>
      </w:r>
      <w:r w:rsidR="009856CE">
        <w:rPr>
          <w:sz w:val="20"/>
          <w:szCs w:val="20"/>
        </w:rPr>
        <w:t>“Costs” (p. 22-</w:t>
      </w:r>
      <w:r w:rsidR="00011963">
        <w:rPr>
          <w:sz w:val="20"/>
          <w:szCs w:val="20"/>
        </w:rPr>
        <w:t>23).</w:t>
      </w:r>
      <w:proofErr w:type="gramEnd"/>
    </w:p>
    <w:p w14:paraId="5EB2C1AD" w14:textId="77777777" w:rsidR="007E3B49" w:rsidRDefault="007E3B49" w:rsidP="000E0301">
      <w:pPr>
        <w:pStyle w:val="KeinLeerraum"/>
        <w:rPr>
          <w:sz w:val="20"/>
          <w:szCs w:val="20"/>
        </w:rPr>
      </w:pPr>
    </w:p>
    <w:p w14:paraId="30689A30" w14:textId="442033FB" w:rsidR="00A314ED" w:rsidRDefault="00075EC8" w:rsidP="00A314ED">
      <w:pPr>
        <w:pStyle w:val="KeinLeerraum"/>
        <w:rPr>
          <w:sz w:val="20"/>
          <w:szCs w:val="20"/>
        </w:rPr>
      </w:pPr>
      <w:hyperlink r:id="rId10" w:history="1">
        <w:proofErr w:type="spellStart"/>
        <w:r w:rsidR="00A314ED" w:rsidRPr="001F0C98">
          <w:rPr>
            <w:rStyle w:val="Link"/>
            <w:sz w:val="20"/>
            <w:szCs w:val="20"/>
          </w:rPr>
          <w:t>Ramiri</w:t>
        </w:r>
        <w:proofErr w:type="spellEnd"/>
        <w:r w:rsidR="00A314ED" w:rsidRPr="001F0C98">
          <w:rPr>
            <w:rStyle w:val="Link"/>
            <w:sz w:val="20"/>
            <w:szCs w:val="20"/>
          </w:rPr>
          <w:t xml:space="preserve"> handbook</w:t>
        </w:r>
      </w:hyperlink>
      <w:r w:rsidR="00A314ED">
        <w:rPr>
          <w:sz w:val="20"/>
          <w:szCs w:val="20"/>
        </w:rPr>
        <w:t>. 2013. (</w:t>
      </w:r>
      <w:proofErr w:type="gramStart"/>
      <w:r w:rsidR="00A314ED">
        <w:rPr>
          <w:sz w:val="20"/>
          <w:szCs w:val="20"/>
        </w:rPr>
        <w:t>online</w:t>
      </w:r>
      <w:proofErr w:type="gramEnd"/>
      <w:r w:rsidR="00A314ED">
        <w:rPr>
          <w:sz w:val="20"/>
          <w:szCs w:val="20"/>
        </w:rPr>
        <w:t xml:space="preserve"> tool</w:t>
      </w:r>
      <w:r w:rsidR="00D04585">
        <w:rPr>
          <w:sz w:val="20"/>
          <w:szCs w:val="20"/>
        </w:rPr>
        <w:t xml:space="preserve">, funded under a grant </w:t>
      </w:r>
      <w:r w:rsidR="00A314ED" w:rsidRPr="001F0C98">
        <w:rPr>
          <w:sz w:val="20"/>
          <w:szCs w:val="20"/>
        </w:rPr>
        <w:t>agreement</w:t>
      </w:r>
      <w:r w:rsidR="00D04585">
        <w:rPr>
          <w:sz w:val="20"/>
          <w:szCs w:val="20"/>
        </w:rPr>
        <w:t xml:space="preserve"> of FP7, the 7</w:t>
      </w:r>
      <w:r w:rsidR="00D04585" w:rsidRPr="00D04585">
        <w:rPr>
          <w:sz w:val="20"/>
          <w:szCs w:val="20"/>
          <w:vertAlign w:val="superscript"/>
        </w:rPr>
        <w:t>th</w:t>
      </w:r>
      <w:r w:rsidR="00D04585">
        <w:rPr>
          <w:sz w:val="20"/>
          <w:szCs w:val="20"/>
        </w:rPr>
        <w:t xml:space="preserve"> Framework Programme</w:t>
      </w:r>
      <w:r w:rsidR="00277D68">
        <w:rPr>
          <w:sz w:val="20"/>
          <w:szCs w:val="20"/>
        </w:rPr>
        <w:t xml:space="preserve"> for Research and Technological Development</w:t>
      </w:r>
      <w:r w:rsidR="00D04585">
        <w:rPr>
          <w:sz w:val="20"/>
          <w:szCs w:val="20"/>
        </w:rPr>
        <w:t xml:space="preserve"> of the European Union)</w:t>
      </w:r>
      <w:r w:rsidR="00A314ED">
        <w:rPr>
          <w:sz w:val="20"/>
          <w:szCs w:val="20"/>
        </w:rPr>
        <w:t>.</w:t>
      </w:r>
    </w:p>
    <w:p w14:paraId="72148572" w14:textId="5AA91BE7" w:rsidR="00B34F98" w:rsidRPr="00B34F98" w:rsidRDefault="00176278" w:rsidP="00B34F98">
      <w:pPr>
        <w:pStyle w:val="KeinLeerraum"/>
      </w:pPr>
      <w:r>
        <w:rPr>
          <w:sz w:val="20"/>
          <w:szCs w:val="20"/>
        </w:rPr>
        <w:t>C</w:t>
      </w:r>
      <w:r w:rsidR="00A314ED">
        <w:rPr>
          <w:sz w:val="20"/>
          <w:szCs w:val="20"/>
        </w:rPr>
        <w:t>hapter</w:t>
      </w:r>
      <w:r w:rsidR="00B34F98">
        <w:rPr>
          <w:sz w:val="20"/>
          <w:szCs w:val="20"/>
        </w:rPr>
        <w:t>s</w:t>
      </w:r>
      <w:r w:rsidR="00A314ED">
        <w:rPr>
          <w:sz w:val="20"/>
          <w:szCs w:val="20"/>
        </w:rPr>
        <w:t xml:space="preserve"> 4 “</w:t>
      </w:r>
      <w:hyperlink r:id="rId11" w:history="1">
        <w:r w:rsidR="00A314ED">
          <w:rPr>
            <w:rStyle w:val="Link"/>
            <w:sz w:val="20"/>
            <w:szCs w:val="20"/>
          </w:rPr>
          <w:t>F</w:t>
        </w:r>
        <w:r w:rsidR="00A314ED" w:rsidRPr="001F0C98">
          <w:rPr>
            <w:rStyle w:val="Link"/>
            <w:sz w:val="20"/>
            <w:szCs w:val="20"/>
          </w:rPr>
          <w:t>inance</w:t>
        </w:r>
      </w:hyperlink>
      <w:r w:rsidR="00A314ED">
        <w:rPr>
          <w:sz w:val="20"/>
          <w:szCs w:val="20"/>
        </w:rPr>
        <w:t>”</w:t>
      </w:r>
      <w:r w:rsidR="00B34F98">
        <w:rPr>
          <w:sz w:val="20"/>
          <w:szCs w:val="20"/>
        </w:rPr>
        <w:t xml:space="preserve"> and 5 “</w:t>
      </w:r>
      <w:hyperlink r:id="rId12" w:history="1">
        <w:r w:rsidR="00B34F98">
          <w:rPr>
            <w:rStyle w:val="Link"/>
            <w:sz w:val="20"/>
            <w:szCs w:val="20"/>
          </w:rPr>
          <w:t>H</w:t>
        </w:r>
        <w:r w:rsidR="00B34F98" w:rsidRPr="001F0C98">
          <w:rPr>
            <w:rStyle w:val="Link"/>
            <w:sz w:val="20"/>
            <w:szCs w:val="20"/>
          </w:rPr>
          <w:t>uman resources</w:t>
        </w:r>
      </w:hyperlink>
      <w:r w:rsidR="00B34F98">
        <w:rPr>
          <w:sz w:val="20"/>
          <w:szCs w:val="20"/>
        </w:rPr>
        <w:t>”</w:t>
      </w:r>
    </w:p>
    <w:p w14:paraId="08A66244" w14:textId="77777777" w:rsidR="00B34F98" w:rsidRDefault="00B34F98" w:rsidP="000E0301">
      <w:pPr>
        <w:pStyle w:val="KeinLeerraum"/>
        <w:rPr>
          <w:sz w:val="20"/>
          <w:szCs w:val="20"/>
        </w:rPr>
      </w:pPr>
    </w:p>
    <w:p w14:paraId="117FA9D2" w14:textId="77777777" w:rsidR="007E3B49" w:rsidRPr="001F0C98" w:rsidRDefault="007E3B49" w:rsidP="000E0301">
      <w:pPr>
        <w:pStyle w:val="KeinLeerraum"/>
        <w:rPr>
          <w:sz w:val="20"/>
          <w:szCs w:val="20"/>
        </w:rPr>
      </w:pPr>
    </w:p>
    <w:p w14:paraId="1A03CE3B" w14:textId="6A48F682" w:rsidR="00DB431D" w:rsidRDefault="00D80E1E" w:rsidP="000F29DF">
      <w:pPr>
        <w:pStyle w:val="KeinLeerraum"/>
        <w:numPr>
          <w:ilvl w:val="0"/>
          <w:numId w:val="20"/>
        </w:numPr>
        <w:ind w:left="567" w:hanging="567"/>
        <w:rPr>
          <w:b/>
          <w:color w:val="FF0000"/>
          <w:sz w:val="24"/>
          <w:szCs w:val="24"/>
        </w:rPr>
      </w:pPr>
      <w:r w:rsidRPr="001416B8">
        <w:rPr>
          <w:b/>
          <w:color w:val="FF0000"/>
          <w:sz w:val="24"/>
          <w:szCs w:val="24"/>
        </w:rPr>
        <w:t>Financial</w:t>
      </w:r>
      <w:r w:rsidR="00856772" w:rsidRPr="001416B8">
        <w:rPr>
          <w:b/>
          <w:color w:val="FF0000"/>
          <w:sz w:val="24"/>
          <w:szCs w:val="24"/>
        </w:rPr>
        <w:t xml:space="preserve"> issues</w:t>
      </w:r>
    </w:p>
    <w:p w14:paraId="5629F297" w14:textId="1E5E54D5" w:rsidR="00176278" w:rsidRPr="00176278" w:rsidRDefault="00176278" w:rsidP="00176278">
      <w:pPr>
        <w:widowControl w:val="0"/>
        <w:autoSpaceDE w:val="0"/>
        <w:autoSpaceDN w:val="0"/>
        <w:adjustRightInd w:val="0"/>
        <w:spacing w:after="0" w:line="240" w:lineRule="auto"/>
        <w:rPr>
          <w:rFonts w:cs="Times"/>
          <w:sz w:val="20"/>
          <w:szCs w:val="20"/>
        </w:rPr>
      </w:pPr>
      <w:r w:rsidRPr="00176278">
        <w:rPr>
          <w:sz w:val="20"/>
          <w:szCs w:val="20"/>
        </w:rPr>
        <w:t xml:space="preserve">Chapter 3 “Cost-sharing” </w:t>
      </w:r>
      <w:r w:rsidR="00AF7146">
        <w:rPr>
          <w:sz w:val="20"/>
          <w:szCs w:val="20"/>
        </w:rPr>
        <w:t xml:space="preserve">(p. 8-15) </w:t>
      </w:r>
      <w:r w:rsidRPr="00176278">
        <w:rPr>
          <w:sz w:val="20"/>
          <w:szCs w:val="20"/>
        </w:rPr>
        <w:t xml:space="preserve">on </w:t>
      </w:r>
      <w:r>
        <w:rPr>
          <w:sz w:val="20"/>
          <w:szCs w:val="20"/>
        </w:rPr>
        <w:t xml:space="preserve">the </w:t>
      </w:r>
      <w:r w:rsidRPr="00176278">
        <w:rPr>
          <w:rFonts w:cs="Times"/>
          <w:sz w:val="20"/>
          <w:szCs w:val="20"/>
        </w:rPr>
        <w:t>model</w:t>
      </w:r>
      <w:r>
        <w:rPr>
          <w:rFonts w:cs="Times"/>
          <w:sz w:val="20"/>
          <w:szCs w:val="20"/>
        </w:rPr>
        <w:t xml:space="preserve">s </w:t>
      </w:r>
      <w:r w:rsidR="00D30FEC">
        <w:rPr>
          <w:rFonts w:cs="Times"/>
          <w:sz w:val="20"/>
          <w:szCs w:val="20"/>
        </w:rPr>
        <w:t xml:space="preserve">for </w:t>
      </w:r>
      <w:r w:rsidRPr="00176278">
        <w:rPr>
          <w:rFonts w:cs="Times"/>
          <w:sz w:val="20"/>
          <w:szCs w:val="20"/>
        </w:rPr>
        <w:t xml:space="preserve">operation and construction of the vessel </w:t>
      </w:r>
      <w:r>
        <w:rPr>
          <w:rFonts w:cs="Times"/>
          <w:sz w:val="20"/>
          <w:szCs w:val="20"/>
        </w:rPr>
        <w:t xml:space="preserve">and on </w:t>
      </w:r>
      <w:r w:rsidR="00D30FEC">
        <w:rPr>
          <w:rFonts w:cs="Times"/>
          <w:sz w:val="20"/>
          <w:szCs w:val="20"/>
        </w:rPr>
        <w:t xml:space="preserve">regarding </w:t>
      </w:r>
      <w:r w:rsidRPr="00176278">
        <w:rPr>
          <w:rFonts w:cs="Times"/>
          <w:sz w:val="20"/>
          <w:szCs w:val="20"/>
        </w:rPr>
        <w:t>contribution</w:t>
      </w:r>
      <w:r w:rsidR="00D30FEC">
        <w:rPr>
          <w:rFonts w:cs="Times"/>
          <w:sz w:val="20"/>
          <w:szCs w:val="20"/>
        </w:rPr>
        <w:t>s</w:t>
      </w:r>
      <w:r w:rsidRPr="00176278">
        <w:rPr>
          <w:rFonts w:cs="Times"/>
          <w:sz w:val="20"/>
          <w:szCs w:val="20"/>
        </w:rPr>
        <w:t xml:space="preserve"> foreseen for the </w:t>
      </w:r>
      <w:r>
        <w:rPr>
          <w:rFonts w:cs="Times"/>
          <w:sz w:val="20"/>
          <w:szCs w:val="20"/>
        </w:rPr>
        <w:t xml:space="preserve">consortium </w:t>
      </w:r>
      <w:r w:rsidR="00D30FEC">
        <w:rPr>
          <w:rFonts w:cs="Times"/>
          <w:sz w:val="20"/>
          <w:szCs w:val="20"/>
        </w:rPr>
        <w:t xml:space="preserve">members as well as Chapter 5 </w:t>
      </w:r>
      <w:r w:rsidR="00FA6BD2">
        <w:rPr>
          <w:rFonts w:cs="Times"/>
          <w:sz w:val="20"/>
          <w:szCs w:val="20"/>
        </w:rPr>
        <w:t xml:space="preserve">“Investment </w:t>
      </w:r>
      <w:proofErr w:type="spellStart"/>
      <w:r w:rsidR="00FA6BD2">
        <w:rPr>
          <w:rFonts w:cs="Times"/>
          <w:sz w:val="20"/>
          <w:szCs w:val="20"/>
        </w:rPr>
        <w:t>vs</w:t>
      </w:r>
      <w:proofErr w:type="spellEnd"/>
      <w:r w:rsidR="00FA6BD2">
        <w:rPr>
          <w:rFonts w:cs="Times"/>
          <w:sz w:val="20"/>
          <w:szCs w:val="20"/>
        </w:rPr>
        <w:t xml:space="preserve"> access” </w:t>
      </w:r>
      <w:r w:rsidR="00D30FEC">
        <w:rPr>
          <w:rFonts w:cs="Times"/>
          <w:sz w:val="20"/>
          <w:szCs w:val="20"/>
        </w:rPr>
        <w:t xml:space="preserve">(p. </w:t>
      </w:r>
      <w:r w:rsidR="00FA6BD2">
        <w:rPr>
          <w:rFonts w:cs="Times"/>
          <w:sz w:val="20"/>
          <w:szCs w:val="20"/>
        </w:rPr>
        <w:t xml:space="preserve">19-23) </w:t>
      </w:r>
      <w:r w:rsidR="00113DF9">
        <w:rPr>
          <w:rFonts w:cs="Times"/>
          <w:sz w:val="20"/>
          <w:szCs w:val="20"/>
        </w:rPr>
        <w:t xml:space="preserve">on the trade off between member contributions </w:t>
      </w:r>
      <w:r w:rsidR="007D0912">
        <w:rPr>
          <w:rFonts w:cs="Times"/>
          <w:sz w:val="20"/>
          <w:szCs w:val="20"/>
        </w:rPr>
        <w:t>and their access rights to the vessel.</w:t>
      </w:r>
      <w:r w:rsidR="00011963">
        <w:rPr>
          <w:rFonts w:cs="Times"/>
          <w:sz w:val="20"/>
          <w:szCs w:val="20"/>
        </w:rPr>
        <w:t xml:space="preserve"> (ERICON, 2011)</w:t>
      </w:r>
    </w:p>
    <w:p w14:paraId="224C7255" w14:textId="77777777" w:rsidR="00176278" w:rsidRDefault="00176278" w:rsidP="00176278">
      <w:pPr>
        <w:pStyle w:val="StandardWeb"/>
        <w:spacing w:before="0" w:beforeAutospacing="0" w:after="0" w:afterAutospacing="0"/>
        <w:rPr>
          <w:rFonts w:asciiTheme="minorHAnsi" w:hAnsiTheme="minorHAnsi"/>
          <w:lang w:val="en-GB"/>
        </w:rPr>
      </w:pPr>
    </w:p>
    <w:p w14:paraId="42005F6E" w14:textId="77777777" w:rsidR="00176278" w:rsidRPr="001416B8" w:rsidRDefault="00176278" w:rsidP="00176278">
      <w:pPr>
        <w:pStyle w:val="KeinLeerraum"/>
        <w:rPr>
          <w:b/>
          <w:color w:val="FF0000"/>
          <w:sz w:val="24"/>
          <w:szCs w:val="24"/>
        </w:rPr>
      </w:pPr>
    </w:p>
    <w:p w14:paraId="49D21C4B" w14:textId="1E0062F0" w:rsidR="00DB431D" w:rsidRPr="001416B8" w:rsidRDefault="005B3EDC" w:rsidP="000F29DF">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B</w:t>
      </w:r>
      <w:r w:rsidR="00DB431D" w:rsidRPr="001416B8">
        <w:rPr>
          <w:rFonts w:cs="Times New Roman"/>
          <w:b/>
          <w:color w:val="FF0000"/>
          <w:sz w:val="20"/>
          <w:szCs w:val="20"/>
        </w:rPr>
        <w:t xml:space="preserve">est practices and/or novel solutions </w:t>
      </w:r>
      <w:r w:rsidR="006E7CE7" w:rsidRPr="001416B8">
        <w:rPr>
          <w:rFonts w:cs="Times New Roman"/>
          <w:b/>
          <w:color w:val="FF0000"/>
          <w:sz w:val="20"/>
          <w:szCs w:val="20"/>
        </w:rPr>
        <w:t>to</w:t>
      </w:r>
      <w:r w:rsidR="00DB431D" w:rsidRPr="001416B8">
        <w:rPr>
          <w:rFonts w:cs="Times New Roman"/>
          <w:b/>
          <w:color w:val="FF0000"/>
          <w:sz w:val="20"/>
          <w:szCs w:val="20"/>
        </w:rPr>
        <w:t xml:space="preserve"> help</w:t>
      </w:r>
      <w:r w:rsidR="00302150" w:rsidRPr="001416B8">
        <w:rPr>
          <w:rFonts w:cs="Times New Roman"/>
          <w:b/>
          <w:color w:val="FF0000"/>
          <w:sz w:val="20"/>
          <w:szCs w:val="20"/>
        </w:rPr>
        <w:t xml:space="preserve"> reduce costs for construction and </w:t>
      </w:r>
      <w:r w:rsidR="00DB431D" w:rsidRPr="001416B8">
        <w:rPr>
          <w:rFonts w:cs="Times New Roman"/>
          <w:b/>
          <w:color w:val="FF0000"/>
          <w:sz w:val="20"/>
          <w:szCs w:val="20"/>
        </w:rPr>
        <w:t>imple</w:t>
      </w:r>
      <w:r w:rsidR="00302150" w:rsidRPr="001416B8">
        <w:rPr>
          <w:rFonts w:cs="Times New Roman"/>
          <w:b/>
          <w:color w:val="FF0000"/>
          <w:sz w:val="20"/>
          <w:szCs w:val="20"/>
        </w:rPr>
        <w:t>mentation</w:t>
      </w:r>
    </w:p>
    <w:p w14:paraId="6C4A8FA3" w14:textId="2055E5EA" w:rsidR="004A44D2" w:rsidRPr="00F71408" w:rsidRDefault="00420BD5" w:rsidP="00F71408">
      <w:pPr>
        <w:widowControl w:val="0"/>
        <w:autoSpaceDE w:val="0"/>
        <w:autoSpaceDN w:val="0"/>
        <w:adjustRightInd w:val="0"/>
        <w:spacing w:after="0" w:line="240" w:lineRule="auto"/>
        <w:rPr>
          <w:rFonts w:cs="Times"/>
          <w:sz w:val="20"/>
          <w:szCs w:val="20"/>
        </w:rPr>
      </w:pPr>
      <w:r w:rsidRPr="00F71408">
        <w:rPr>
          <w:rFonts w:cs="Times"/>
          <w:sz w:val="20"/>
          <w:szCs w:val="20"/>
        </w:rPr>
        <w:t>“</w:t>
      </w:r>
      <w:r w:rsidR="00BE25F7" w:rsidRPr="00F71408">
        <w:rPr>
          <w:rFonts w:cs="Times"/>
          <w:sz w:val="20"/>
          <w:szCs w:val="20"/>
        </w:rPr>
        <w:t>Research funding agencies, institutions, and private and philanthropic organizations have often assumed the initial start up and infrastructure costs and some initial operational costs of individual biobanks. But there has been an underlying belief that biobanks at some point should be capable of becoming ‘‘self-sustaining.’’ This may be achievable in the context of planning a large national infrastructure with a 15- to 20-year life cycle per</w:t>
      </w:r>
      <w:r w:rsidR="00BE25F7" w:rsidRPr="00F71408">
        <w:rPr>
          <w:rFonts w:cs="Times"/>
          <w:sz w:val="20"/>
          <w:szCs w:val="20"/>
        </w:rPr>
        <w:t>i</w:t>
      </w:r>
      <w:r w:rsidR="00BE25F7" w:rsidRPr="00F71408">
        <w:rPr>
          <w:rFonts w:cs="Times"/>
          <w:sz w:val="20"/>
          <w:szCs w:val="20"/>
        </w:rPr>
        <w:t xml:space="preserve">od. But for </w:t>
      </w:r>
      <w:r w:rsidR="00C3763A" w:rsidRPr="00F71408">
        <w:rPr>
          <w:rFonts w:cs="Times"/>
          <w:sz w:val="20"/>
          <w:szCs w:val="20"/>
        </w:rPr>
        <w:t>most existing types of biobanks this has not proved possible (...)</w:t>
      </w:r>
      <w:r w:rsidRPr="00F71408">
        <w:rPr>
          <w:rFonts w:cs="Times"/>
          <w:sz w:val="20"/>
          <w:szCs w:val="20"/>
        </w:rPr>
        <w:t>.”</w:t>
      </w:r>
      <w:r w:rsidR="00D01987" w:rsidRPr="00F71408">
        <w:rPr>
          <w:rFonts w:cs="Times"/>
          <w:sz w:val="20"/>
          <w:szCs w:val="20"/>
        </w:rPr>
        <w:t xml:space="preserve"> (Watson, 2014</w:t>
      </w:r>
      <w:r w:rsidR="00BA4AF4" w:rsidRPr="00F71408">
        <w:rPr>
          <w:rFonts w:cs="Times"/>
          <w:sz w:val="20"/>
          <w:szCs w:val="20"/>
        </w:rPr>
        <w:t xml:space="preserve">, </w:t>
      </w:r>
      <w:r w:rsidR="00D01987" w:rsidRPr="00F71408">
        <w:rPr>
          <w:rFonts w:cs="Times"/>
          <w:sz w:val="20"/>
          <w:szCs w:val="20"/>
        </w:rPr>
        <w:t>60</w:t>
      </w:r>
      <w:r w:rsidR="002B0020" w:rsidRPr="00F71408">
        <w:rPr>
          <w:rFonts w:cs="Times"/>
          <w:sz w:val="20"/>
          <w:szCs w:val="20"/>
        </w:rPr>
        <w:t>-1</w:t>
      </w:r>
      <w:r w:rsidR="00D01987" w:rsidRPr="00F71408">
        <w:rPr>
          <w:rFonts w:cs="Times"/>
          <w:sz w:val="20"/>
          <w:szCs w:val="20"/>
        </w:rPr>
        <w:t>)</w:t>
      </w:r>
    </w:p>
    <w:p w14:paraId="11BCE89F" w14:textId="77777777" w:rsidR="00CE63F7" w:rsidRDefault="00CE63F7" w:rsidP="004A44D2">
      <w:pPr>
        <w:widowControl w:val="0"/>
        <w:autoSpaceDE w:val="0"/>
        <w:autoSpaceDN w:val="0"/>
        <w:adjustRightInd w:val="0"/>
        <w:spacing w:after="0" w:line="240" w:lineRule="auto"/>
        <w:rPr>
          <w:rFonts w:cs="Times"/>
          <w:sz w:val="20"/>
          <w:szCs w:val="20"/>
        </w:rPr>
      </w:pPr>
    </w:p>
    <w:p w14:paraId="69804F47" w14:textId="77777777" w:rsidR="00F71408" w:rsidRPr="001F0C98" w:rsidRDefault="00F71408" w:rsidP="004A44D2">
      <w:pPr>
        <w:widowControl w:val="0"/>
        <w:autoSpaceDE w:val="0"/>
        <w:autoSpaceDN w:val="0"/>
        <w:adjustRightInd w:val="0"/>
        <w:spacing w:after="0" w:line="240" w:lineRule="auto"/>
        <w:rPr>
          <w:rFonts w:cs="Times"/>
          <w:sz w:val="20"/>
          <w:szCs w:val="20"/>
        </w:rPr>
      </w:pPr>
    </w:p>
    <w:p w14:paraId="1C944E54" w14:textId="45F58AA6" w:rsidR="00DB431D" w:rsidRPr="001416B8" w:rsidRDefault="005B3EDC" w:rsidP="000F29DF">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O</w:t>
      </w:r>
      <w:r w:rsidR="00DB431D" w:rsidRPr="001416B8">
        <w:rPr>
          <w:rFonts w:cs="Times New Roman"/>
          <w:b/>
          <w:color w:val="FF0000"/>
          <w:sz w:val="20"/>
          <w:szCs w:val="20"/>
        </w:rPr>
        <w:t>perating models most appropriate for different types of RIs (single sites, distributed, e-RIs</w:t>
      </w:r>
      <w:r w:rsidR="005D0841" w:rsidRPr="001416B8">
        <w:rPr>
          <w:rFonts w:cs="Times New Roman"/>
          <w:b/>
          <w:color w:val="FF0000"/>
          <w:sz w:val="20"/>
          <w:szCs w:val="20"/>
        </w:rPr>
        <w:t>, etc.)</w:t>
      </w:r>
    </w:p>
    <w:p w14:paraId="0375546F" w14:textId="3B8C224A" w:rsidR="004A44D2" w:rsidRPr="00C125CA" w:rsidRDefault="00757CD0" w:rsidP="00E436D0">
      <w:pPr>
        <w:widowControl w:val="0"/>
        <w:autoSpaceDE w:val="0"/>
        <w:autoSpaceDN w:val="0"/>
        <w:adjustRightInd w:val="0"/>
        <w:spacing w:after="0" w:line="240" w:lineRule="auto"/>
        <w:rPr>
          <w:rFonts w:cs="Times"/>
          <w:sz w:val="20"/>
          <w:szCs w:val="20"/>
        </w:rPr>
      </w:pPr>
      <w:r w:rsidRPr="00C125CA">
        <w:rPr>
          <w:rFonts w:cs="Times"/>
          <w:sz w:val="20"/>
          <w:szCs w:val="20"/>
        </w:rPr>
        <w:t>“</w:t>
      </w:r>
      <w:r w:rsidRPr="00C125CA">
        <w:rPr>
          <w:rFonts w:cs="Calibri Bold Italic"/>
          <w:sz w:val="20"/>
          <w:szCs w:val="20"/>
        </w:rPr>
        <w:t>While “one-off” project funding can be used to address a specific research question, or to emphasize priority areas for investment in research, it is not an adequate mechanism to support the operation of a large-scale RI and, through this, to build and maintain basic research capability in the long term.</w:t>
      </w:r>
      <w:r w:rsidRPr="00C125CA">
        <w:rPr>
          <w:rFonts w:cs="Times"/>
          <w:sz w:val="20"/>
          <w:szCs w:val="20"/>
        </w:rPr>
        <w:t>” (EIRO, 2015</w:t>
      </w:r>
      <w:r w:rsidR="00BA4AF4">
        <w:rPr>
          <w:rFonts w:cs="Times"/>
          <w:sz w:val="20"/>
          <w:szCs w:val="20"/>
        </w:rPr>
        <w:t xml:space="preserve">, </w:t>
      </w:r>
      <w:r w:rsidRPr="00C125CA">
        <w:rPr>
          <w:rFonts w:cs="Times"/>
          <w:sz w:val="20"/>
          <w:szCs w:val="20"/>
        </w:rPr>
        <w:t>4)</w:t>
      </w:r>
    </w:p>
    <w:p w14:paraId="31959D28" w14:textId="11990F8B" w:rsidR="003D1B87" w:rsidRPr="00C125CA" w:rsidRDefault="003D1B87" w:rsidP="00E436D0">
      <w:pPr>
        <w:widowControl w:val="0"/>
        <w:autoSpaceDE w:val="0"/>
        <w:autoSpaceDN w:val="0"/>
        <w:adjustRightInd w:val="0"/>
        <w:spacing w:after="0" w:line="240" w:lineRule="auto"/>
        <w:rPr>
          <w:rFonts w:cs="Times"/>
          <w:sz w:val="20"/>
          <w:szCs w:val="20"/>
        </w:rPr>
      </w:pPr>
      <w:r w:rsidRPr="00C125CA">
        <w:rPr>
          <w:rFonts w:cs="Times"/>
          <w:sz w:val="20"/>
          <w:szCs w:val="20"/>
        </w:rPr>
        <w:t>“</w:t>
      </w:r>
      <w:r w:rsidRPr="00C125CA">
        <w:rPr>
          <w:rFonts w:cs="Calibri Bold Italic"/>
          <w:sz w:val="20"/>
          <w:szCs w:val="20"/>
        </w:rPr>
        <w:t xml:space="preserve">Considering therefore that all RIs need adequate resources to stay at the front-line – both human and capital resources – these facilities can only be successful if they operate with a </w:t>
      </w:r>
      <w:r w:rsidRPr="00C125CA">
        <w:rPr>
          <w:rFonts w:cs="Calibri Bold Italic"/>
          <w:sz w:val="20"/>
          <w:szCs w:val="20"/>
          <w:lang w:val="en-US"/>
        </w:rPr>
        <w:t>favorable</w:t>
      </w:r>
      <w:r w:rsidRPr="00C125CA">
        <w:rPr>
          <w:rFonts w:cs="Calibri Bold Italic"/>
          <w:sz w:val="20"/>
          <w:szCs w:val="20"/>
        </w:rPr>
        <w:t xml:space="preserve"> long-term perspective, i.e. one that enables long-term financial planning with appropriate guarantees by the funding countries or other shareholders. This implies the existence of regulations ensuring a long-term commitment from the funders. Crucially, the long-term financial planning must cover operations cost, including the necessary maintenance and instrumentation upgrade costs. The long-term nature of basic research calls for long-term security for the supporting RIs. A common characteristic of the EIROs is that they are able to link long-term funding with clearly defined scientific objectives/programmes. In addition to the strong scientific case, transparent evaluation and reporting arrangements facilitate funding decisions.</w:t>
      </w:r>
      <w:r w:rsidRPr="00C125CA">
        <w:rPr>
          <w:rFonts w:cs="Times"/>
          <w:sz w:val="20"/>
          <w:szCs w:val="20"/>
        </w:rPr>
        <w:t>” (</w:t>
      </w:r>
      <w:proofErr w:type="spellStart"/>
      <w:r w:rsidRPr="00C125CA">
        <w:rPr>
          <w:rFonts w:cs="Times"/>
          <w:sz w:val="20"/>
          <w:szCs w:val="20"/>
        </w:rPr>
        <w:t>EIRO</w:t>
      </w:r>
      <w:r w:rsidR="007513D2" w:rsidRPr="00C125CA">
        <w:rPr>
          <w:rFonts w:cs="Times"/>
          <w:sz w:val="20"/>
          <w:szCs w:val="20"/>
        </w:rPr>
        <w:t>forum</w:t>
      </w:r>
      <w:proofErr w:type="spellEnd"/>
      <w:r w:rsidRPr="00C125CA">
        <w:rPr>
          <w:rFonts w:cs="Times"/>
          <w:sz w:val="20"/>
          <w:szCs w:val="20"/>
        </w:rPr>
        <w:t>, 2015</w:t>
      </w:r>
      <w:r w:rsidR="00BA4AF4">
        <w:rPr>
          <w:rFonts w:cs="Times"/>
          <w:sz w:val="20"/>
          <w:szCs w:val="20"/>
        </w:rPr>
        <w:t xml:space="preserve">, </w:t>
      </w:r>
      <w:r w:rsidRPr="00C125CA">
        <w:rPr>
          <w:rFonts w:cs="Times"/>
          <w:sz w:val="20"/>
          <w:szCs w:val="20"/>
        </w:rPr>
        <w:t>5)</w:t>
      </w:r>
    </w:p>
    <w:p w14:paraId="7B9FB8FD" w14:textId="77777777" w:rsidR="00066E33" w:rsidRDefault="00066E33" w:rsidP="00E436D0">
      <w:pPr>
        <w:widowControl w:val="0"/>
        <w:autoSpaceDE w:val="0"/>
        <w:autoSpaceDN w:val="0"/>
        <w:adjustRightInd w:val="0"/>
        <w:spacing w:after="0" w:line="240" w:lineRule="auto"/>
        <w:rPr>
          <w:rFonts w:cs="Times"/>
          <w:sz w:val="20"/>
          <w:szCs w:val="20"/>
          <w:lang w:val="en-US"/>
        </w:rPr>
      </w:pPr>
    </w:p>
    <w:p w14:paraId="7393A2B3" w14:textId="4B28AE89" w:rsidR="00C509D4" w:rsidRPr="00C509D4" w:rsidRDefault="00066E33" w:rsidP="00C509D4">
      <w:pPr>
        <w:widowControl w:val="0"/>
        <w:autoSpaceDE w:val="0"/>
        <w:autoSpaceDN w:val="0"/>
        <w:adjustRightInd w:val="0"/>
        <w:spacing w:after="0" w:line="240" w:lineRule="auto"/>
        <w:rPr>
          <w:rFonts w:cs="Times"/>
          <w:sz w:val="20"/>
          <w:szCs w:val="20"/>
          <w:lang w:val="en-US"/>
        </w:rPr>
      </w:pPr>
      <w:r w:rsidRPr="00C509D4">
        <w:rPr>
          <w:rFonts w:cs="Times"/>
          <w:sz w:val="20"/>
          <w:szCs w:val="20"/>
          <w:lang w:val="en-US"/>
        </w:rPr>
        <w:t>“</w:t>
      </w:r>
      <w:r w:rsidR="00C509D4" w:rsidRPr="00C509D4">
        <w:rPr>
          <w:rFonts w:cs="Calibri Bold Italic"/>
          <w:sz w:val="20"/>
          <w:szCs w:val="20"/>
          <w:lang w:val="en-US"/>
        </w:rPr>
        <w:t xml:space="preserve">In the ensuing discussions, one of the most common challenges that participants identified was the user community’s aversion to fee structures. When exploring funding models that do not rely entirely on </w:t>
      </w:r>
      <w:r w:rsidR="00C509D4" w:rsidRPr="00C509D4">
        <w:rPr>
          <w:rFonts w:cs="Times"/>
          <w:sz w:val="20"/>
          <w:szCs w:val="20"/>
          <w:lang w:val="en-US"/>
        </w:rPr>
        <w:t> </w:t>
      </w:r>
      <w:r w:rsidR="00C509D4" w:rsidRPr="00C509D4">
        <w:rPr>
          <w:rFonts w:cs="Calibri Bold Italic"/>
          <w:sz w:val="20"/>
          <w:szCs w:val="20"/>
          <w:lang w:val="en-US"/>
        </w:rPr>
        <w:t xml:space="preserve"> grant funding, many organizations have at least investigated some type of user fee. Depending on the resource and the user community, these discussions can result in serious backlash. In communities where free access to infrastructure is typical, significant cultural change may be necessary for a user- pays model to be successful. Participants identified several broad factors that would be imp</w:t>
      </w:r>
      <w:r w:rsidR="00A16782">
        <w:rPr>
          <w:rFonts w:cs="Calibri Bold Italic"/>
          <w:sz w:val="20"/>
          <w:szCs w:val="20"/>
          <w:lang w:val="en-US"/>
        </w:rPr>
        <w:t>ortant to this cultural change:</w:t>
      </w:r>
    </w:p>
    <w:p w14:paraId="01D5AB6F" w14:textId="77777777" w:rsidR="00C509D4" w:rsidRPr="00C509D4" w:rsidRDefault="00C509D4" w:rsidP="000F29DF">
      <w:pPr>
        <w:widowControl w:val="0"/>
        <w:numPr>
          <w:ilvl w:val="0"/>
          <w:numId w:val="1"/>
        </w:numPr>
        <w:autoSpaceDE w:val="0"/>
        <w:autoSpaceDN w:val="0"/>
        <w:adjustRightInd w:val="0"/>
        <w:spacing w:after="0" w:line="240" w:lineRule="auto"/>
        <w:ind w:left="284" w:hanging="284"/>
        <w:rPr>
          <w:rFonts w:cs="Calibri Bold Italic"/>
          <w:sz w:val="20"/>
          <w:szCs w:val="20"/>
          <w:lang w:val="en-US"/>
        </w:rPr>
      </w:pPr>
      <w:r w:rsidRPr="00C509D4">
        <w:rPr>
          <w:rFonts w:cs="Calibri Bold Italic"/>
          <w:sz w:val="20"/>
          <w:szCs w:val="20"/>
          <w:lang w:val="en-US"/>
        </w:rPr>
        <w:t xml:space="preserve">Each project needs to analyze its own user community to determine how to implement user fees effectively. Important questions to answer include: </w:t>
      </w:r>
    </w:p>
    <w:p w14:paraId="7D1E8548" w14:textId="64C4D6F0" w:rsidR="00C509D4" w:rsidRPr="00C509D4" w:rsidRDefault="00C509D4" w:rsidP="000F29DF">
      <w:pPr>
        <w:widowControl w:val="0"/>
        <w:numPr>
          <w:ilvl w:val="2"/>
          <w:numId w:val="5"/>
        </w:numPr>
        <w:autoSpaceDE w:val="0"/>
        <w:autoSpaceDN w:val="0"/>
        <w:adjustRightInd w:val="0"/>
        <w:spacing w:after="0" w:line="240" w:lineRule="auto"/>
        <w:ind w:left="567" w:hanging="283"/>
        <w:rPr>
          <w:rFonts w:cs="Calibri Bold Italic"/>
          <w:sz w:val="20"/>
          <w:szCs w:val="20"/>
          <w:lang w:val="en-US"/>
        </w:rPr>
      </w:pPr>
      <w:r w:rsidRPr="00C509D4">
        <w:rPr>
          <w:rFonts w:cs="Calibri Bold Italic"/>
          <w:sz w:val="20"/>
          <w:szCs w:val="20"/>
          <w:lang w:val="en-US"/>
        </w:rPr>
        <w:t>Wha</w:t>
      </w:r>
      <w:r w:rsidR="00A16782">
        <w:rPr>
          <w:rFonts w:cs="Calibri Bold Italic"/>
          <w:sz w:val="20"/>
          <w:szCs w:val="20"/>
          <w:lang w:val="en-US"/>
        </w:rPr>
        <w:t>t do the users value the most?</w:t>
      </w:r>
    </w:p>
    <w:p w14:paraId="16EC11B3" w14:textId="594DA3B1" w:rsidR="00C509D4" w:rsidRPr="00C509D4" w:rsidRDefault="00C509D4" w:rsidP="000F29DF">
      <w:pPr>
        <w:widowControl w:val="0"/>
        <w:numPr>
          <w:ilvl w:val="2"/>
          <w:numId w:val="5"/>
        </w:numPr>
        <w:autoSpaceDE w:val="0"/>
        <w:autoSpaceDN w:val="0"/>
        <w:adjustRightInd w:val="0"/>
        <w:spacing w:after="0" w:line="240" w:lineRule="auto"/>
        <w:ind w:left="567" w:hanging="283"/>
        <w:rPr>
          <w:rFonts w:cs="Calibri Bold Italic"/>
          <w:sz w:val="20"/>
          <w:szCs w:val="20"/>
          <w:lang w:val="en-US"/>
        </w:rPr>
      </w:pPr>
      <w:r w:rsidRPr="00C509D4">
        <w:rPr>
          <w:rFonts w:cs="Calibri Bold Italic"/>
          <w:sz w:val="20"/>
          <w:szCs w:val="20"/>
          <w:lang w:val="en-US"/>
        </w:rPr>
        <w:t>What are they willing to pay for, and how much? For example, most users are currently  more receptive to charges for software and services than they are to data ac</w:t>
      </w:r>
      <w:r w:rsidR="00A16782">
        <w:rPr>
          <w:rFonts w:cs="Calibri Bold Italic"/>
          <w:sz w:val="20"/>
          <w:szCs w:val="20"/>
          <w:lang w:val="en-US"/>
        </w:rPr>
        <w:t>cess fees.</w:t>
      </w:r>
    </w:p>
    <w:p w14:paraId="796FB1DA" w14:textId="5DF485DA" w:rsidR="00C509D4" w:rsidRPr="00C509D4" w:rsidRDefault="00C509D4" w:rsidP="000F29DF">
      <w:pPr>
        <w:widowControl w:val="0"/>
        <w:numPr>
          <w:ilvl w:val="2"/>
          <w:numId w:val="5"/>
        </w:numPr>
        <w:autoSpaceDE w:val="0"/>
        <w:autoSpaceDN w:val="0"/>
        <w:adjustRightInd w:val="0"/>
        <w:spacing w:after="0" w:line="240" w:lineRule="auto"/>
        <w:ind w:left="567" w:hanging="283"/>
        <w:rPr>
          <w:rFonts w:cs="Calibri Bold Italic"/>
          <w:sz w:val="20"/>
          <w:szCs w:val="20"/>
          <w:lang w:val="en-US"/>
        </w:rPr>
      </w:pPr>
      <w:r w:rsidRPr="00C509D4">
        <w:rPr>
          <w:rFonts w:cs="Calibri Bold Italic"/>
          <w:sz w:val="20"/>
          <w:szCs w:val="20"/>
          <w:lang w:val="en-US"/>
        </w:rPr>
        <w:t>What level</w:t>
      </w:r>
      <w:r w:rsidR="00A16782">
        <w:rPr>
          <w:rFonts w:cs="Calibri Bold Italic"/>
          <w:sz w:val="20"/>
          <w:szCs w:val="20"/>
          <w:lang w:val="en-US"/>
        </w:rPr>
        <w:t xml:space="preserve"> of cost would be prohibitive?</w:t>
      </w:r>
    </w:p>
    <w:p w14:paraId="4D06F061" w14:textId="431E21F5" w:rsidR="00C509D4" w:rsidRPr="00C509D4" w:rsidRDefault="00C509D4" w:rsidP="000F29DF">
      <w:pPr>
        <w:widowControl w:val="0"/>
        <w:numPr>
          <w:ilvl w:val="2"/>
          <w:numId w:val="5"/>
        </w:numPr>
        <w:autoSpaceDE w:val="0"/>
        <w:autoSpaceDN w:val="0"/>
        <w:adjustRightInd w:val="0"/>
        <w:spacing w:after="0" w:line="240" w:lineRule="auto"/>
        <w:ind w:left="567" w:hanging="283"/>
        <w:rPr>
          <w:rFonts w:cs="Calibri Bold Italic"/>
          <w:sz w:val="20"/>
          <w:szCs w:val="20"/>
          <w:lang w:val="en-US"/>
        </w:rPr>
      </w:pPr>
      <w:r w:rsidRPr="00C509D4">
        <w:rPr>
          <w:rFonts w:cs="Calibri Bold Italic"/>
          <w:sz w:val="20"/>
          <w:szCs w:val="20"/>
          <w:lang w:val="en-US"/>
        </w:rPr>
        <w:t>How can we make services personally useful, important, and enjoyable, so that users  are willing to d</w:t>
      </w:r>
      <w:r w:rsidRPr="00C509D4">
        <w:rPr>
          <w:rFonts w:cs="Calibri Bold Italic"/>
          <w:sz w:val="20"/>
          <w:szCs w:val="20"/>
          <w:lang w:val="en-US"/>
        </w:rPr>
        <w:t>o</w:t>
      </w:r>
      <w:r w:rsidRPr="00C509D4">
        <w:rPr>
          <w:rFonts w:cs="Calibri Bold Italic"/>
          <w:sz w:val="20"/>
          <w:szCs w:val="20"/>
          <w:lang w:val="en-US"/>
        </w:rPr>
        <w:t>nate to keep the sys</w:t>
      </w:r>
      <w:r w:rsidR="00A16782">
        <w:rPr>
          <w:rFonts w:cs="Calibri Bold Italic"/>
          <w:sz w:val="20"/>
          <w:szCs w:val="20"/>
          <w:lang w:val="en-US"/>
        </w:rPr>
        <w:t>tem going?</w:t>
      </w:r>
    </w:p>
    <w:p w14:paraId="1E40A091" w14:textId="68A75CB9" w:rsidR="00C509D4" w:rsidRPr="00C509D4" w:rsidRDefault="00C509D4" w:rsidP="000F29DF">
      <w:pPr>
        <w:widowControl w:val="0"/>
        <w:numPr>
          <w:ilvl w:val="0"/>
          <w:numId w:val="1"/>
        </w:numPr>
        <w:autoSpaceDE w:val="0"/>
        <w:autoSpaceDN w:val="0"/>
        <w:adjustRightInd w:val="0"/>
        <w:spacing w:after="0" w:line="240" w:lineRule="auto"/>
        <w:ind w:left="284" w:hanging="284"/>
        <w:rPr>
          <w:rFonts w:cs="Calibri Bold Italic"/>
          <w:sz w:val="20"/>
          <w:szCs w:val="20"/>
          <w:lang w:val="en-US"/>
        </w:rPr>
      </w:pPr>
      <w:r w:rsidRPr="00C509D4">
        <w:rPr>
          <w:rFonts w:cs="Calibri Bold Italic"/>
          <w:sz w:val="20"/>
          <w:szCs w:val="20"/>
          <w:lang w:val="en-US"/>
        </w:rPr>
        <w:t>There is a need to involve agencies and the international community. If there are other related  projects out there providing free access, competition will render a</w:t>
      </w:r>
      <w:r w:rsidR="00A16782">
        <w:rPr>
          <w:rFonts w:cs="Calibri Bold Italic"/>
          <w:sz w:val="20"/>
          <w:szCs w:val="20"/>
          <w:lang w:val="en-US"/>
        </w:rPr>
        <w:t>ny user fee model ineffective.</w:t>
      </w:r>
    </w:p>
    <w:p w14:paraId="305CA0A9" w14:textId="16265D24" w:rsidR="00C509D4" w:rsidRPr="00C509D4" w:rsidRDefault="00C509D4" w:rsidP="000F29DF">
      <w:pPr>
        <w:widowControl w:val="0"/>
        <w:numPr>
          <w:ilvl w:val="0"/>
          <w:numId w:val="1"/>
        </w:numPr>
        <w:autoSpaceDE w:val="0"/>
        <w:autoSpaceDN w:val="0"/>
        <w:adjustRightInd w:val="0"/>
        <w:spacing w:after="0" w:line="240" w:lineRule="auto"/>
        <w:ind w:left="284" w:hanging="284"/>
        <w:rPr>
          <w:rFonts w:cs="Calibri Bold Italic"/>
          <w:sz w:val="20"/>
          <w:szCs w:val="20"/>
          <w:lang w:val="en-US"/>
        </w:rPr>
      </w:pPr>
      <w:r w:rsidRPr="00C509D4">
        <w:rPr>
          <w:rFonts w:cs="Calibri Bold Italic"/>
          <w:sz w:val="20"/>
          <w:szCs w:val="20"/>
          <w:lang w:val="en-US"/>
        </w:rPr>
        <w:t>It is important to get advice from independent, external experts who are not wrapped up in the  d</w:t>
      </w:r>
      <w:r w:rsidR="00A16782">
        <w:rPr>
          <w:rFonts w:cs="Calibri Bold Italic"/>
          <w:sz w:val="20"/>
          <w:szCs w:val="20"/>
          <w:lang w:val="en-US"/>
        </w:rPr>
        <w:t>ay-to-day use of the resource.</w:t>
      </w:r>
    </w:p>
    <w:p w14:paraId="6C8C3FE5" w14:textId="60D99406" w:rsidR="00C509D4" w:rsidRPr="00C509D4" w:rsidRDefault="00C509D4" w:rsidP="00C509D4">
      <w:pPr>
        <w:widowControl w:val="0"/>
        <w:autoSpaceDE w:val="0"/>
        <w:autoSpaceDN w:val="0"/>
        <w:adjustRightInd w:val="0"/>
        <w:spacing w:after="0" w:line="240" w:lineRule="auto"/>
        <w:rPr>
          <w:rFonts w:cs="Times"/>
          <w:sz w:val="20"/>
          <w:szCs w:val="20"/>
          <w:lang w:val="en-US"/>
        </w:rPr>
      </w:pPr>
      <w:r w:rsidRPr="00C509D4">
        <w:rPr>
          <w:rFonts w:cs="Calibri Bold Italic"/>
          <w:sz w:val="20"/>
          <w:szCs w:val="20"/>
          <w:lang w:val="en-US"/>
        </w:rPr>
        <w:t>One participant described how they successfully implemente</w:t>
      </w:r>
      <w:r w:rsidR="00A16782">
        <w:rPr>
          <w:rFonts w:cs="Calibri Bold Italic"/>
          <w:sz w:val="20"/>
          <w:szCs w:val="20"/>
          <w:lang w:val="en-US"/>
        </w:rPr>
        <w:t>d a user fee for their project:</w:t>
      </w:r>
    </w:p>
    <w:p w14:paraId="3988AB56" w14:textId="716242DF" w:rsidR="00066E33" w:rsidRPr="00C509D4" w:rsidRDefault="00C509D4" w:rsidP="001328A1">
      <w:pPr>
        <w:widowControl w:val="0"/>
        <w:autoSpaceDE w:val="0"/>
        <w:autoSpaceDN w:val="0"/>
        <w:adjustRightInd w:val="0"/>
        <w:spacing w:after="0" w:line="240" w:lineRule="auto"/>
        <w:ind w:left="284"/>
        <w:rPr>
          <w:rFonts w:cs="Times"/>
          <w:sz w:val="20"/>
          <w:szCs w:val="20"/>
          <w:lang w:val="en-US"/>
        </w:rPr>
      </w:pPr>
      <w:r w:rsidRPr="001328A1">
        <w:rPr>
          <w:rFonts w:cs="Times"/>
          <w:i/>
          <w:sz w:val="20"/>
          <w:szCs w:val="20"/>
          <w:lang w:val="en-US"/>
        </w:rPr>
        <w:t>Because our Governing Board was initially comprised entirely of scientists, they had the same strong r</w:t>
      </w:r>
      <w:r w:rsidRPr="001328A1">
        <w:rPr>
          <w:rFonts w:cs="Times"/>
          <w:i/>
          <w:sz w:val="20"/>
          <w:szCs w:val="20"/>
          <w:lang w:val="en-US"/>
        </w:rPr>
        <w:t>e</w:t>
      </w:r>
      <w:r w:rsidRPr="001328A1">
        <w:rPr>
          <w:rFonts w:cs="Times"/>
          <w:i/>
          <w:sz w:val="20"/>
          <w:szCs w:val="20"/>
          <w:lang w:val="en-US"/>
        </w:rPr>
        <w:t>sistance to implementing user fees to build a sustainable funding model. There was a conflict of interest, so we brought in members from the non-profit world to help rethink our funding model; some distance b</w:t>
      </w:r>
      <w:r w:rsidRPr="001328A1">
        <w:rPr>
          <w:rFonts w:cs="Times"/>
          <w:i/>
          <w:sz w:val="20"/>
          <w:szCs w:val="20"/>
          <w:lang w:val="en-US"/>
        </w:rPr>
        <w:t>e</w:t>
      </w:r>
      <w:r w:rsidRPr="001328A1">
        <w:rPr>
          <w:rFonts w:cs="Times"/>
          <w:i/>
          <w:sz w:val="20"/>
          <w:szCs w:val="20"/>
          <w:lang w:val="en-US"/>
        </w:rPr>
        <w:t xml:space="preserve">tween the users and decisions about usage fees was needed. Our rate structure started out very low – the only way we were able to figure out what people were willing to pay was to charge a fee and monitor its impact on use. As it turned out, our rate structure was low. We have been able to increase our fees without </w:t>
      </w:r>
      <w:r w:rsidRPr="001328A1">
        <w:rPr>
          <w:rFonts w:cs="Times"/>
          <w:i/>
          <w:sz w:val="20"/>
          <w:szCs w:val="20"/>
          <w:lang w:val="en-US"/>
        </w:rPr>
        <w:lastRenderedPageBreak/>
        <w:t>seeing a drop in use, while simultaneously increasing the value and demand of our services.</w:t>
      </w:r>
      <w:r w:rsidR="00066E33" w:rsidRPr="00C509D4">
        <w:rPr>
          <w:rFonts w:cs="Times"/>
          <w:sz w:val="20"/>
          <w:szCs w:val="20"/>
          <w:lang w:val="en-US"/>
        </w:rPr>
        <w:t>”</w:t>
      </w:r>
      <w:r w:rsidR="00CB6C29">
        <w:rPr>
          <w:rFonts w:cs="Times"/>
          <w:sz w:val="20"/>
          <w:szCs w:val="20"/>
          <w:lang w:val="en-US"/>
        </w:rPr>
        <w:t xml:space="preserve"> (ESA, 2010</w:t>
      </w:r>
      <w:r w:rsidR="00BA4AF4">
        <w:rPr>
          <w:rFonts w:cs="Times"/>
          <w:sz w:val="20"/>
          <w:szCs w:val="20"/>
          <w:lang w:val="en-US"/>
        </w:rPr>
        <w:t xml:space="preserve">, </w:t>
      </w:r>
      <w:r w:rsidR="00CB6C29">
        <w:rPr>
          <w:rFonts w:cs="Times"/>
          <w:sz w:val="20"/>
          <w:szCs w:val="20"/>
          <w:lang w:val="en-US"/>
        </w:rPr>
        <w:t>3-4)</w:t>
      </w:r>
    </w:p>
    <w:p w14:paraId="141D5C2C" w14:textId="77777777" w:rsidR="00757CD0" w:rsidRDefault="00757CD0" w:rsidP="004A44D2">
      <w:pPr>
        <w:widowControl w:val="0"/>
        <w:autoSpaceDE w:val="0"/>
        <w:autoSpaceDN w:val="0"/>
        <w:adjustRightInd w:val="0"/>
        <w:spacing w:after="0" w:line="240" w:lineRule="auto"/>
        <w:rPr>
          <w:rFonts w:cs="Times"/>
          <w:sz w:val="20"/>
          <w:szCs w:val="20"/>
        </w:rPr>
      </w:pPr>
    </w:p>
    <w:p w14:paraId="78420609" w14:textId="77777777" w:rsidR="002471DE" w:rsidRDefault="00C64369" w:rsidP="00C64369">
      <w:pPr>
        <w:widowControl w:val="0"/>
        <w:autoSpaceDE w:val="0"/>
        <w:autoSpaceDN w:val="0"/>
        <w:adjustRightInd w:val="0"/>
        <w:spacing w:after="0" w:line="240" w:lineRule="auto"/>
        <w:jc w:val="center"/>
        <w:rPr>
          <w:rFonts w:cs="Times"/>
          <w:sz w:val="20"/>
          <w:szCs w:val="20"/>
        </w:rPr>
      </w:pPr>
      <w:r>
        <w:rPr>
          <w:rFonts w:cs="Times"/>
          <w:noProof/>
          <w:sz w:val="20"/>
          <w:szCs w:val="20"/>
          <w:lang w:val="de-DE" w:eastAsia="de-DE"/>
        </w:rPr>
        <w:drawing>
          <wp:inline distT="0" distB="0" distL="0" distR="0" wp14:anchorId="0B8357ED" wp14:editId="3F9AEE1B">
            <wp:extent cx="3760828" cy="4077202"/>
            <wp:effectExtent l="0" t="0" r="0" b="1270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10-15 um 17.17.59.png"/>
                    <pic:cNvPicPr/>
                  </pic:nvPicPr>
                  <pic:blipFill>
                    <a:blip r:embed="rId13">
                      <a:extLst>
                        <a:ext uri="{28A0092B-C50C-407E-A947-70E740481C1C}">
                          <a14:useLocalDpi xmlns:a14="http://schemas.microsoft.com/office/drawing/2010/main" val="0"/>
                        </a:ext>
                      </a:extLst>
                    </a:blip>
                    <a:stretch>
                      <a:fillRect/>
                    </a:stretch>
                  </pic:blipFill>
                  <pic:spPr>
                    <a:xfrm>
                      <a:off x="0" y="0"/>
                      <a:ext cx="3761040" cy="4077432"/>
                    </a:xfrm>
                    <a:prstGeom prst="rect">
                      <a:avLst/>
                    </a:prstGeom>
                  </pic:spPr>
                </pic:pic>
              </a:graphicData>
            </a:graphic>
          </wp:inline>
        </w:drawing>
      </w:r>
    </w:p>
    <w:p w14:paraId="76678F58" w14:textId="17EE8B25" w:rsidR="00C64369" w:rsidRDefault="00C64369" w:rsidP="00C64369">
      <w:pPr>
        <w:widowControl w:val="0"/>
        <w:autoSpaceDE w:val="0"/>
        <w:autoSpaceDN w:val="0"/>
        <w:adjustRightInd w:val="0"/>
        <w:spacing w:after="0" w:line="240" w:lineRule="auto"/>
        <w:jc w:val="center"/>
        <w:rPr>
          <w:rFonts w:cs="Times"/>
          <w:sz w:val="20"/>
          <w:szCs w:val="20"/>
        </w:rPr>
      </w:pPr>
      <w:r>
        <w:rPr>
          <w:rFonts w:cs="Times"/>
          <w:sz w:val="20"/>
          <w:szCs w:val="20"/>
        </w:rPr>
        <w:t>(ESA 2010, p.5)</w:t>
      </w:r>
    </w:p>
    <w:p w14:paraId="7DF3160E" w14:textId="77777777" w:rsidR="00C64369" w:rsidRDefault="00C64369" w:rsidP="004A44D2">
      <w:pPr>
        <w:widowControl w:val="0"/>
        <w:autoSpaceDE w:val="0"/>
        <w:autoSpaceDN w:val="0"/>
        <w:adjustRightInd w:val="0"/>
        <w:spacing w:after="0" w:line="240" w:lineRule="auto"/>
        <w:rPr>
          <w:rFonts w:cs="Times"/>
          <w:sz w:val="20"/>
          <w:szCs w:val="20"/>
        </w:rPr>
      </w:pPr>
    </w:p>
    <w:p w14:paraId="2060DF63" w14:textId="294CF36D" w:rsidR="00376263" w:rsidRPr="00926D90" w:rsidRDefault="00376263" w:rsidP="00376263">
      <w:pPr>
        <w:widowControl w:val="0"/>
        <w:autoSpaceDE w:val="0"/>
        <w:autoSpaceDN w:val="0"/>
        <w:adjustRightInd w:val="0"/>
        <w:spacing w:after="0" w:line="240" w:lineRule="auto"/>
        <w:rPr>
          <w:rFonts w:cs="Times"/>
          <w:sz w:val="20"/>
          <w:szCs w:val="20"/>
        </w:rPr>
      </w:pPr>
      <w:r>
        <w:rPr>
          <w:rFonts w:cs="Times New Roman"/>
          <w:sz w:val="20"/>
          <w:szCs w:val="20"/>
        </w:rPr>
        <w:t>“</w:t>
      </w:r>
      <w:r w:rsidRPr="00926D90">
        <w:rPr>
          <w:rFonts w:cs="Times New Roman"/>
          <w:sz w:val="20"/>
          <w:szCs w:val="20"/>
        </w:rPr>
        <w:t xml:space="preserve">At the top-most level, the concept of sustainability is relatively easy to define: eventually, e-Infrastructure provision and usage will need to become independent of </w:t>
      </w:r>
      <w:r w:rsidRPr="00926D90">
        <w:rPr>
          <w:rFonts w:cs="Times"/>
          <w:i/>
          <w:iCs/>
          <w:sz w:val="20"/>
          <w:szCs w:val="20"/>
        </w:rPr>
        <w:t xml:space="preserve">specific </w:t>
      </w:r>
      <w:r w:rsidRPr="00926D90">
        <w:rPr>
          <w:rFonts w:cs="Times New Roman"/>
          <w:sz w:val="20"/>
          <w:szCs w:val="20"/>
        </w:rPr>
        <w:t>funding streams such as the UK e-Science Programme. If e-Science produces enough additional value for a large enough number of people then it should be possible to establish business models that guarantee the provision of the necessary funding to sus</w:t>
      </w:r>
      <w:r>
        <w:rPr>
          <w:rFonts w:cs="Times New Roman"/>
          <w:sz w:val="20"/>
          <w:szCs w:val="20"/>
        </w:rPr>
        <w:t>tain an e-Infrastructure.” (Voss, et al. 2007</w:t>
      </w:r>
      <w:r w:rsidR="00BA4AF4">
        <w:rPr>
          <w:rFonts w:cs="Times New Roman"/>
          <w:sz w:val="20"/>
          <w:szCs w:val="20"/>
        </w:rPr>
        <w:t xml:space="preserve">, </w:t>
      </w:r>
      <w:r>
        <w:rPr>
          <w:rFonts w:cs="Times New Roman"/>
          <w:sz w:val="20"/>
          <w:szCs w:val="20"/>
        </w:rPr>
        <w:t>1)</w:t>
      </w:r>
    </w:p>
    <w:p w14:paraId="4F06F951" w14:textId="77777777" w:rsidR="00376263" w:rsidRDefault="00376263" w:rsidP="004A44D2">
      <w:pPr>
        <w:widowControl w:val="0"/>
        <w:autoSpaceDE w:val="0"/>
        <w:autoSpaceDN w:val="0"/>
        <w:adjustRightInd w:val="0"/>
        <w:spacing w:after="0" w:line="240" w:lineRule="auto"/>
        <w:rPr>
          <w:rFonts w:cs="Times"/>
          <w:sz w:val="20"/>
          <w:szCs w:val="20"/>
        </w:rPr>
      </w:pPr>
    </w:p>
    <w:p w14:paraId="59976740" w14:textId="4F5EC814" w:rsidR="00376263" w:rsidRDefault="00B63EA1" w:rsidP="00842D8B">
      <w:pPr>
        <w:widowControl w:val="0"/>
        <w:autoSpaceDE w:val="0"/>
        <w:autoSpaceDN w:val="0"/>
        <w:adjustRightInd w:val="0"/>
        <w:spacing w:after="0" w:line="240" w:lineRule="auto"/>
        <w:rPr>
          <w:rFonts w:cs="Times"/>
          <w:sz w:val="20"/>
          <w:szCs w:val="20"/>
        </w:rPr>
      </w:pPr>
      <w:r w:rsidRPr="00842D8B">
        <w:rPr>
          <w:rFonts w:cs="Times"/>
          <w:sz w:val="20"/>
          <w:szCs w:val="20"/>
        </w:rPr>
        <w:t xml:space="preserve">“Different biobanking network models have evolved and can be viewed as fostering sustainability primarily in one or more of the three dimensions. For example, in the operational dimension by focusing on components such as consent, </w:t>
      </w:r>
      <w:proofErr w:type="spellStart"/>
      <w:r w:rsidRPr="00842D8B">
        <w:rPr>
          <w:rFonts w:cs="Times"/>
          <w:sz w:val="20"/>
          <w:szCs w:val="20"/>
        </w:rPr>
        <w:t>biospecimen</w:t>
      </w:r>
      <w:proofErr w:type="spellEnd"/>
      <w:r w:rsidRPr="00842D8B">
        <w:rPr>
          <w:rFonts w:cs="Times"/>
          <w:sz w:val="20"/>
          <w:szCs w:val="20"/>
        </w:rPr>
        <w:t xml:space="preserve"> accrual, and/or shared storage; in the financial dimension by focusing on comp</w:t>
      </w:r>
      <w:r w:rsidRPr="00842D8B">
        <w:rPr>
          <w:rFonts w:cs="Times"/>
          <w:sz w:val="20"/>
          <w:szCs w:val="20"/>
        </w:rPr>
        <w:t>o</w:t>
      </w:r>
      <w:r w:rsidRPr="00842D8B">
        <w:rPr>
          <w:rFonts w:cs="Times"/>
          <w:sz w:val="20"/>
          <w:szCs w:val="20"/>
        </w:rPr>
        <w:t xml:space="preserve">nents such as performance metrics, user access, and customers’ needs; in the social dimension by focusing on components that promote common standards. A </w:t>
      </w:r>
      <w:proofErr w:type="gramStart"/>
      <w:r w:rsidRPr="00842D8B">
        <w:rPr>
          <w:rFonts w:cs="Times"/>
          <w:sz w:val="20"/>
          <w:szCs w:val="20"/>
        </w:rPr>
        <w:t>well established</w:t>
      </w:r>
      <w:proofErr w:type="gramEnd"/>
      <w:r w:rsidRPr="00842D8B">
        <w:rPr>
          <w:rFonts w:cs="Times"/>
          <w:sz w:val="20"/>
          <w:szCs w:val="20"/>
        </w:rPr>
        <w:t xml:space="preserve"> and successful example of a network in the United States that addresses the operational dimension is the Cooperative Human Tissue Network (CHTN)</w:t>
      </w:r>
      <w:r w:rsidR="008F74CA" w:rsidRPr="00842D8B">
        <w:rPr>
          <w:rFonts w:cs="Times"/>
          <w:sz w:val="20"/>
          <w:szCs w:val="20"/>
        </w:rPr>
        <w:t xml:space="preserve">. </w:t>
      </w:r>
      <w:r w:rsidRPr="00842D8B">
        <w:rPr>
          <w:rFonts w:cs="Times"/>
          <w:sz w:val="20"/>
          <w:szCs w:val="20"/>
        </w:rPr>
        <w:t>Adaptations of this model have involved creating a common efficient accrual system for biobanks</w:t>
      </w:r>
      <w:r w:rsidR="008F74CA" w:rsidRPr="00842D8B">
        <w:rPr>
          <w:rFonts w:cs="Times"/>
          <w:sz w:val="20"/>
          <w:szCs w:val="20"/>
        </w:rPr>
        <w:t xml:space="preserve">. </w:t>
      </w:r>
      <w:r w:rsidRPr="00842D8B">
        <w:rPr>
          <w:rFonts w:cs="Times"/>
          <w:sz w:val="20"/>
          <w:szCs w:val="20"/>
        </w:rPr>
        <w:t>An example of fostering sustainability in the social dimension is the Canadian Tumour Repository Net- work (</w:t>
      </w:r>
      <w:proofErr w:type="spellStart"/>
      <w:r w:rsidRPr="00842D8B">
        <w:rPr>
          <w:rFonts w:cs="Times"/>
          <w:sz w:val="20"/>
          <w:szCs w:val="20"/>
        </w:rPr>
        <w:t>CTRNet</w:t>
      </w:r>
      <w:proofErr w:type="spellEnd"/>
      <w:r w:rsidRPr="00842D8B">
        <w:rPr>
          <w:rFonts w:cs="Times"/>
          <w:sz w:val="20"/>
          <w:szCs w:val="20"/>
        </w:rPr>
        <w:t>)</w:t>
      </w:r>
      <w:r w:rsidR="008F74CA" w:rsidRPr="00842D8B">
        <w:rPr>
          <w:rFonts w:cs="Times"/>
          <w:sz w:val="20"/>
          <w:szCs w:val="20"/>
        </w:rPr>
        <w:t xml:space="preserve"> </w:t>
      </w:r>
      <w:r w:rsidRPr="00842D8B">
        <w:rPr>
          <w:rFonts w:cs="Times"/>
          <w:sz w:val="20"/>
          <w:szCs w:val="20"/>
        </w:rPr>
        <w:t xml:space="preserve">whose funding from the Institute of </w:t>
      </w:r>
      <w:r w:rsidR="00842D8B" w:rsidRPr="00842D8B">
        <w:rPr>
          <w:rFonts w:cs="Times"/>
          <w:sz w:val="20"/>
          <w:szCs w:val="20"/>
        </w:rPr>
        <w:t>Cancer Research Canadian Institutes of Health Research (ICR-CIHR)</w:t>
      </w:r>
      <w:r w:rsidR="00842D8B" w:rsidRPr="00842D8B">
        <w:rPr>
          <w:rFonts w:cs="Times"/>
          <w:position w:val="10"/>
          <w:sz w:val="20"/>
          <w:szCs w:val="20"/>
        </w:rPr>
        <w:t xml:space="preserve"> </w:t>
      </w:r>
      <w:r w:rsidR="00842D8B" w:rsidRPr="00842D8B">
        <w:rPr>
          <w:rFonts w:cs="Times"/>
          <w:sz w:val="20"/>
          <w:szCs w:val="20"/>
        </w:rPr>
        <w:t>is restricted to network activities (as opposed to biobanking) such as creating certification programs, standard operating pr</w:t>
      </w:r>
      <w:r w:rsidR="00842D8B" w:rsidRPr="00842D8B">
        <w:rPr>
          <w:rFonts w:cs="Times"/>
          <w:sz w:val="20"/>
          <w:szCs w:val="20"/>
        </w:rPr>
        <w:t>o</w:t>
      </w:r>
      <w:r w:rsidR="00842D8B" w:rsidRPr="00842D8B">
        <w:rPr>
          <w:rFonts w:cs="Times"/>
          <w:sz w:val="20"/>
          <w:szCs w:val="20"/>
        </w:rPr>
        <w:t>cedures and policies. The Public Population Project in Genomics and Society (P</w:t>
      </w:r>
      <w:r w:rsidR="00842D8B" w:rsidRPr="00842D8B">
        <w:rPr>
          <w:rFonts w:cs="Times"/>
          <w:sz w:val="20"/>
          <w:szCs w:val="20"/>
          <w:vertAlign w:val="superscript"/>
        </w:rPr>
        <w:t>3</w:t>
      </w:r>
      <w:r w:rsidR="00842D8B" w:rsidRPr="00842D8B">
        <w:rPr>
          <w:rFonts w:cs="Times"/>
          <w:sz w:val="20"/>
          <w:szCs w:val="20"/>
        </w:rPr>
        <w:t>G) and the Biobank Resource Centre (BRC) are examples of re- sources that have harnessed collective knowledge across different networks to further develop and disseminate tools to implement sustainability strategies. The P</w:t>
      </w:r>
      <w:r w:rsidR="00842D8B" w:rsidRPr="00842D8B">
        <w:rPr>
          <w:rFonts w:cs="Times"/>
          <w:sz w:val="20"/>
          <w:szCs w:val="20"/>
          <w:vertAlign w:val="superscript"/>
        </w:rPr>
        <w:t>3</w:t>
      </w:r>
      <w:r w:rsidR="00842D8B" w:rsidRPr="00842D8B">
        <w:rPr>
          <w:rFonts w:cs="Times"/>
          <w:sz w:val="20"/>
          <w:szCs w:val="20"/>
        </w:rPr>
        <w:t xml:space="preserve">G is a not-for-profit consortium that works to encourage collaboration between researchers and </w:t>
      </w:r>
      <w:proofErr w:type="spellStart"/>
      <w:r w:rsidR="00842D8B" w:rsidRPr="00842D8B">
        <w:rPr>
          <w:rFonts w:cs="Times"/>
          <w:sz w:val="20"/>
          <w:szCs w:val="20"/>
        </w:rPr>
        <w:t>biobankers</w:t>
      </w:r>
      <w:proofErr w:type="spellEnd"/>
      <w:r w:rsidR="00842D8B" w:rsidRPr="00842D8B">
        <w:rPr>
          <w:rFonts w:cs="Times"/>
          <w:sz w:val="20"/>
          <w:szCs w:val="20"/>
        </w:rPr>
        <w:t>, promotes harmoniz</w:t>
      </w:r>
      <w:r w:rsidR="00842D8B" w:rsidRPr="00842D8B">
        <w:rPr>
          <w:rFonts w:cs="Times"/>
          <w:sz w:val="20"/>
          <w:szCs w:val="20"/>
        </w:rPr>
        <w:t>a</w:t>
      </w:r>
      <w:r w:rsidR="00842D8B" w:rsidRPr="00842D8B">
        <w:rPr>
          <w:rFonts w:cs="Times"/>
          <w:sz w:val="20"/>
          <w:szCs w:val="20"/>
        </w:rPr>
        <w:t>tion of data, optimizes the design, setup and research activities of studies, biobanks, research databases and other similar health and social research infrastructure and facilitates the transfer of knowledge and provides training. The BRC was developed in partnership by the University Of British Columbia Office of Biobank Educ</w:t>
      </w:r>
      <w:r w:rsidR="00842D8B" w:rsidRPr="00842D8B">
        <w:rPr>
          <w:rFonts w:cs="Times"/>
          <w:sz w:val="20"/>
          <w:szCs w:val="20"/>
        </w:rPr>
        <w:t>a</w:t>
      </w:r>
      <w:r w:rsidR="00842D8B" w:rsidRPr="00842D8B">
        <w:rPr>
          <w:rFonts w:cs="Times"/>
          <w:sz w:val="20"/>
          <w:szCs w:val="20"/>
        </w:rPr>
        <w:t xml:space="preserve">tion and Research (OBER) and </w:t>
      </w:r>
      <w:proofErr w:type="spellStart"/>
      <w:r w:rsidR="00842D8B" w:rsidRPr="00842D8B">
        <w:rPr>
          <w:rFonts w:cs="Times"/>
          <w:sz w:val="20"/>
          <w:szCs w:val="20"/>
        </w:rPr>
        <w:t>CTRNet</w:t>
      </w:r>
      <w:proofErr w:type="spellEnd"/>
      <w:r w:rsidR="00842D8B" w:rsidRPr="00842D8B">
        <w:rPr>
          <w:rFonts w:cs="Times"/>
          <w:sz w:val="20"/>
          <w:szCs w:val="20"/>
        </w:rPr>
        <w:t xml:space="preserve"> to provide services and tools that support researchers in establishing and operating biobanks, to educate and promote certification of biobanks in order to enhance quality through adoption of best practice standards, and to publish biobank market research data. This kind of data is essential to successfully execute a biobanking business plan to facilitate shifting to </w:t>
      </w:r>
      <w:proofErr w:type="gramStart"/>
      <w:r w:rsidR="00842D8B" w:rsidRPr="00842D8B">
        <w:rPr>
          <w:rFonts w:cs="Times"/>
          <w:sz w:val="20"/>
          <w:szCs w:val="20"/>
        </w:rPr>
        <w:t>customer focused</w:t>
      </w:r>
      <w:proofErr w:type="gramEnd"/>
      <w:r w:rsidR="00842D8B" w:rsidRPr="00842D8B">
        <w:rPr>
          <w:rFonts w:cs="Times"/>
          <w:sz w:val="20"/>
          <w:szCs w:val="20"/>
        </w:rPr>
        <w:t xml:space="preserve"> biobanking. The BRC is an example of a resource that offers strategies and solutions in all sustainability dimensions.</w:t>
      </w:r>
      <w:r w:rsidRPr="00842D8B">
        <w:rPr>
          <w:rFonts w:cs="Times"/>
          <w:sz w:val="20"/>
          <w:szCs w:val="20"/>
        </w:rPr>
        <w:t>”</w:t>
      </w:r>
      <w:r w:rsidR="008F74CA" w:rsidRPr="00842D8B">
        <w:rPr>
          <w:rFonts w:cs="Times"/>
          <w:sz w:val="20"/>
          <w:szCs w:val="20"/>
        </w:rPr>
        <w:t xml:space="preserve"> (Watson, </w:t>
      </w:r>
      <w:r w:rsidR="008F74CA" w:rsidRPr="00842D8B">
        <w:rPr>
          <w:rFonts w:cs="Times"/>
          <w:sz w:val="20"/>
          <w:szCs w:val="20"/>
        </w:rPr>
        <w:lastRenderedPageBreak/>
        <w:t>2014</w:t>
      </w:r>
      <w:r w:rsidR="00BA4AF4">
        <w:rPr>
          <w:rFonts w:cs="Times"/>
          <w:sz w:val="20"/>
          <w:szCs w:val="20"/>
        </w:rPr>
        <w:t xml:space="preserve">, </w:t>
      </w:r>
      <w:r w:rsidR="00C36FBF" w:rsidRPr="00842D8B">
        <w:rPr>
          <w:rFonts w:cs="Times"/>
          <w:sz w:val="20"/>
          <w:szCs w:val="20"/>
        </w:rPr>
        <w:t>63-4)</w:t>
      </w:r>
    </w:p>
    <w:p w14:paraId="3C708B2E" w14:textId="77777777" w:rsidR="003E35D7" w:rsidRDefault="003E35D7" w:rsidP="00842D8B">
      <w:pPr>
        <w:widowControl w:val="0"/>
        <w:autoSpaceDE w:val="0"/>
        <w:autoSpaceDN w:val="0"/>
        <w:adjustRightInd w:val="0"/>
        <w:spacing w:after="0" w:line="240" w:lineRule="auto"/>
        <w:rPr>
          <w:rFonts w:cs="Times"/>
          <w:sz w:val="20"/>
          <w:szCs w:val="20"/>
        </w:rPr>
      </w:pPr>
    </w:p>
    <w:p w14:paraId="2C1A6C8D" w14:textId="7B638529" w:rsidR="003E35D7" w:rsidRPr="00027BBE" w:rsidRDefault="003E35D7" w:rsidP="00027BBE">
      <w:pPr>
        <w:widowControl w:val="0"/>
        <w:autoSpaceDE w:val="0"/>
        <w:autoSpaceDN w:val="0"/>
        <w:adjustRightInd w:val="0"/>
        <w:spacing w:after="0" w:line="240" w:lineRule="auto"/>
        <w:rPr>
          <w:rFonts w:cs="Times"/>
          <w:sz w:val="20"/>
          <w:szCs w:val="20"/>
        </w:rPr>
      </w:pPr>
      <w:r w:rsidRPr="00027BBE">
        <w:rPr>
          <w:rFonts w:cs="Times"/>
          <w:sz w:val="20"/>
          <w:szCs w:val="20"/>
        </w:rPr>
        <w:t>“Many BRCs currently charge fees to those who want to obtain biological materials and gain access to associa</w:t>
      </w:r>
      <w:r w:rsidRPr="00027BBE">
        <w:rPr>
          <w:rFonts w:cs="Times"/>
          <w:sz w:val="20"/>
          <w:szCs w:val="20"/>
        </w:rPr>
        <w:t>t</w:t>
      </w:r>
      <w:r w:rsidRPr="00027BBE">
        <w:rPr>
          <w:rFonts w:cs="Times"/>
          <w:sz w:val="20"/>
          <w:szCs w:val="20"/>
        </w:rPr>
        <w:t>ed databases. Varying fee structures can be applied for access depending on the nature of the biological mat</w:t>
      </w:r>
      <w:r w:rsidRPr="00027BBE">
        <w:rPr>
          <w:rFonts w:cs="Times"/>
          <w:sz w:val="20"/>
          <w:szCs w:val="20"/>
        </w:rPr>
        <w:t>e</w:t>
      </w:r>
      <w:r w:rsidRPr="00027BBE">
        <w:rPr>
          <w:rFonts w:cs="Times"/>
          <w:sz w:val="20"/>
          <w:szCs w:val="20"/>
        </w:rPr>
        <w:t>rial, the status and constraints of the institution holding the resources and its relationship with the public and private sectors, national policies and rel</w:t>
      </w:r>
      <w:r w:rsidR="00005188">
        <w:rPr>
          <w:rFonts w:cs="Times"/>
          <w:sz w:val="20"/>
          <w:szCs w:val="20"/>
        </w:rPr>
        <w:t>evant international frameworks.</w:t>
      </w:r>
    </w:p>
    <w:p w14:paraId="0CC3248F" w14:textId="5CC09B72" w:rsidR="003E35D7" w:rsidRPr="00027BBE" w:rsidRDefault="003E35D7" w:rsidP="00027BBE">
      <w:pPr>
        <w:widowControl w:val="0"/>
        <w:autoSpaceDE w:val="0"/>
        <w:autoSpaceDN w:val="0"/>
        <w:adjustRightInd w:val="0"/>
        <w:spacing w:after="0" w:line="240" w:lineRule="auto"/>
        <w:rPr>
          <w:rFonts w:cs="Times"/>
          <w:sz w:val="20"/>
          <w:szCs w:val="20"/>
        </w:rPr>
      </w:pPr>
      <w:r w:rsidRPr="00027BBE">
        <w:rPr>
          <w:rFonts w:cs="Times"/>
          <w:sz w:val="20"/>
          <w:szCs w:val="20"/>
        </w:rPr>
        <w:t>There are two major models that have been examined and are curr</w:t>
      </w:r>
      <w:r w:rsidR="00005188">
        <w:rPr>
          <w:rFonts w:cs="Times"/>
          <w:sz w:val="20"/>
          <w:szCs w:val="20"/>
        </w:rPr>
        <w:t>ently in use by different BRCs:</w:t>
      </w:r>
    </w:p>
    <w:p w14:paraId="355E326E" w14:textId="77777777" w:rsidR="003E35D7" w:rsidRPr="00027BBE" w:rsidRDefault="003E35D7" w:rsidP="00027BBE">
      <w:pPr>
        <w:widowControl w:val="0"/>
        <w:autoSpaceDE w:val="0"/>
        <w:autoSpaceDN w:val="0"/>
        <w:adjustRightInd w:val="0"/>
        <w:spacing w:after="0" w:line="240" w:lineRule="auto"/>
        <w:rPr>
          <w:rFonts w:cs="Times"/>
          <w:i/>
          <w:sz w:val="20"/>
          <w:szCs w:val="20"/>
        </w:rPr>
      </w:pPr>
      <w:r w:rsidRPr="00027BBE">
        <w:rPr>
          <w:rFonts w:cs="Times"/>
          <w:i/>
          <w:sz w:val="20"/>
          <w:szCs w:val="20"/>
        </w:rPr>
        <w:t xml:space="preserve">Cost recovery </w:t>
      </w:r>
    </w:p>
    <w:p w14:paraId="79C16D70" w14:textId="05142552" w:rsidR="003E35D7" w:rsidRPr="00027BBE" w:rsidRDefault="003E35D7" w:rsidP="00027BBE">
      <w:pPr>
        <w:widowControl w:val="0"/>
        <w:autoSpaceDE w:val="0"/>
        <w:autoSpaceDN w:val="0"/>
        <w:adjustRightInd w:val="0"/>
        <w:spacing w:after="0" w:line="240" w:lineRule="auto"/>
        <w:rPr>
          <w:rFonts w:cs="Times"/>
          <w:sz w:val="20"/>
          <w:szCs w:val="20"/>
        </w:rPr>
      </w:pPr>
      <w:r w:rsidRPr="00027BBE">
        <w:rPr>
          <w:rFonts w:cs="Times"/>
          <w:sz w:val="20"/>
          <w:szCs w:val="20"/>
        </w:rPr>
        <w:t xml:space="preserve">Cost-recovery is defined as recovering the full or partial cost of a project or service, including both its fixed and marginal costs. Typically, it is discussed in the context of cost recovery from users of the services provided, although direct grant funding can be considered as a particular form of cost recovery and is discussed below. </w:t>
      </w:r>
      <w:r w:rsidR="00027BBE" w:rsidRPr="00027BBE">
        <w:rPr>
          <w:rFonts w:cs="Times"/>
          <w:sz w:val="20"/>
          <w:szCs w:val="20"/>
        </w:rPr>
        <w:t>(...)</w:t>
      </w:r>
    </w:p>
    <w:p w14:paraId="62D5BCA5" w14:textId="69748EA8" w:rsidR="00027BBE" w:rsidRPr="00027BBE" w:rsidRDefault="00027BBE" w:rsidP="00027BBE">
      <w:pPr>
        <w:widowControl w:val="0"/>
        <w:autoSpaceDE w:val="0"/>
        <w:autoSpaceDN w:val="0"/>
        <w:adjustRightInd w:val="0"/>
        <w:spacing w:after="0" w:line="240" w:lineRule="auto"/>
        <w:rPr>
          <w:rFonts w:cs="Times"/>
          <w:i/>
          <w:sz w:val="20"/>
          <w:szCs w:val="20"/>
        </w:rPr>
      </w:pPr>
      <w:r w:rsidRPr="00027BBE">
        <w:rPr>
          <w:rFonts w:cs="Times"/>
          <w:i/>
          <w:sz w:val="20"/>
          <w:szCs w:val="20"/>
        </w:rPr>
        <w:t>Institutional funding</w:t>
      </w:r>
    </w:p>
    <w:p w14:paraId="449839BB" w14:textId="70E86A84" w:rsidR="003E35D7" w:rsidRDefault="00027BBE" w:rsidP="00027BBE">
      <w:pPr>
        <w:widowControl w:val="0"/>
        <w:autoSpaceDE w:val="0"/>
        <w:autoSpaceDN w:val="0"/>
        <w:adjustRightInd w:val="0"/>
        <w:spacing w:after="0" w:line="240" w:lineRule="auto"/>
        <w:rPr>
          <w:rFonts w:cs="Times"/>
          <w:sz w:val="20"/>
          <w:szCs w:val="20"/>
        </w:rPr>
      </w:pPr>
      <w:r w:rsidRPr="00027BBE">
        <w:rPr>
          <w:rFonts w:cs="Times"/>
          <w:sz w:val="20"/>
          <w:szCs w:val="20"/>
        </w:rPr>
        <w:t xml:space="preserve">A common model for the financial sustainability of a resource is through allocated funds obtained from a single public institution towards the respective BRC. This approach is most commonly applied to data resources. An example of this model are the databases operated by the National </w:t>
      </w:r>
      <w:proofErr w:type="spellStart"/>
      <w:r w:rsidRPr="00027BBE">
        <w:rPr>
          <w:rFonts w:cs="Times"/>
          <w:sz w:val="20"/>
          <w:szCs w:val="20"/>
        </w:rPr>
        <w:t>Center</w:t>
      </w:r>
      <w:proofErr w:type="spellEnd"/>
      <w:r w:rsidRPr="00027BBE">
        <w:rPr>
          <w:rFonts w:cs="Times"/>
          <w:sz w:val="20"/>
          <w:szCs w:val="20"/>
        </w:rPr>
        <w:t xml:space="preserve"> for Biotechnology Information (NCBI; http://www.ncbi.nlm.nih.gov/) which receives funds from both the National Library of Medicine (NLM; http://www.nlm.nih.gov/) and the NIH (http://www.nih.gov/).</w:t>
      </w:r>
      <w:r w:rsidR="003E35D7" w:rsidRPr="00027BBE">
        <w:rPr>
          <w:rFonts w:cs="Times"/>
          <w:sz w:val="20"/>
          <w:szCs w:val="20"/>
        </w:rPr>
        <w:t>”</w:t>
      </w:r>
      <w:r w:rsidR="00BD1031" w:rsidRPr="00027BBE">
        <w:rPr>
          <w:rFonts w:cs="Times"/>
          <w:sz w:val="20"/>
          <w:szCs w:val="20"/>
        </w:rPr>
        <w:t xml:space="preserve"> (</w:t>
      </w:r>
      <w:proofErr w:type="spellStart"/>
      <w:r w:rsidR="00BD1031" w:rsidRPr="00027BBE">
        <w:rPr>
          <w:rFonts w:cs="Times"/>
          <w:sz w:val="20"/>
          <w:szCs w:val="20"/>
        </w:rPr>
        <w:t>Chandras</w:t>
      </w:r>
      <w:proofErr w:type="spellEnd"/>
      <w:r w:rsidR="00BD1031" w:rsidRPr="00027BBE">
        <w:rPr>
          <w:rFonts w:cs="Times"/>
          <w:sz w:val="20"/>
          <w:szCs w:val="20"/>
        </w:rPr>
        <w:t>, 2009, 4</w:t>
      </w:r>
      <w:r w:rsidRPr="00027BBE">
        <w:rPr>
          <w:rFonts w:cs="Times"/>
          <w:sz w:val="20"/>
          <w:szCs w:val="20"/>
        </w:rPr>
        <w:t>-5</w:t>
      </w:r>
      <w:r w:rsidR="00BD1031" w:rsidRPr="00027BBE">
        <w:rPr>
          <w:rFonts w:cs="Times"/>
          <w:sz w:val="20"/>
          <w:szCs w:val="20"/>
        </w:rPr>
        <w:t>)</w:t>
      </w:r>
    </w:p>
    <w:p w14:paraId="53F79784" w14:textId="77777777" w:rsidR="00F72D9B" w:rsidRDefault="00F72D9B" w:rsidP="00027BBE">
      <w:pPr>
        <w:widowControl w:val="0"/>
        <w:autoSpaceDE w:val="0"/>
        <w:autoSpaceDN w:val="0"/>
        <w:adjustRightInd w:val="0"/>
        <w:spacing w:after="0" w:line="240" w:lineRule="auto"/>
        <w:rPr>
          <w:rFonts w:cs="Times"/>
          <w:sz w:val="20"/>
          <w:szCs w:val="20"/>
        </w:rPr>
      </w:pPr>
    </w:p>
    <w:p w14:paraId="5C7C8F39" w14:textId="35F999FC" w:rsidR="00F72D9B" w:rsidRPr="00FA544E" w:rsidRDefault="00F72D9B" w:rsidP="00FA544E">
      <w:pPr>
        <w:widowControl w:val="0"/>
        <w:autoSpaceDE w:val="0"/>
        <w:autoSpaceDN w:val="0"/>
        <w:adjustRightInd w:val="0"/>
        <w:spacing w:after="0" w:line="240" w:lineRule="auto"/>
        <w:rPr>
          <w:rFonts w:cs="Times"/>
          <w:sz w:val="20"/>
          <w:szCs w:val="20"/>
        </w:rPr>
      </w:pPr>
      <w:r w:rsidRPr="00FA544E">
        <w:rPr>
          <w:rFonts w:cs="Times"/>
          <w:sz w:val="20"/>
          <w:szCs w:val="20"/>
        </w:rPr>
        <w:t>“With regard to the business models examined in this manuscript as potential patterns to be adopted by BRCs for their financial sustainability, the ‘full cost recovery’ model which has already been tested by some resources has proved to not be viable for data resources. The ‘fee- for-service’ or ‘partial cost-recovery’ model is already practiced, at least in part, by some BRCs. For data provided this is contrary to the UPSIDE recommendations, according to which data should be shared, but in practice most BRCs employing this approach are providing material resources, which have substantially higher costs and it is open to debate if these can reasonably be provided completely free of charge. The most promising model examined in this manuscript is ‘Institutional Funding’ which seems to provide a secure environment for the BRCs to develop and implement a secure data management plan and potentially ensure the long-term accessibility of the related project data. Indeed age</w:t>
      </w:r>
      <w:r w:rsidRPr="00FA544E">
        <w:rPr>
          <w:rFonts w:cs="Times"/>
          <w:sz w:val="20"/>
          <w:szCs w:val="20"/>
        </w:rPr>
        <w:t>n</w:t>
      </w:r>
      <w:r w:rsidRPr="00FA544E">
        <w:rPr>
          <w:rFonts w:cs="Times"/>
          <w:sz w:val="20"/>
          <w:szCs w:val="20"/>
        </w:rPr>
        <w:t>cies around the world such as the NIH and the EU through ELIXIR (http:// www.elixir-europe.org), are now turning their attention to working out how best to assist the growth of validated and accessible databases.” (</w:t>
      </w:r>
      <w:proofErr w:type="spellStart"/>
      <w:r w:rsidRPr="00FA544E">
        <w:rPr>
          <w:rFonts w:cs="Times"/>
          <w:sz w:val="20"/>
          <w:szCs w:val="20"/>
        </w:rPr>
        <w:t>Chandras</w:t>
      </w:r>
      <w:proofErr w:type="spellEnd"/>
      <w:r w:rsidRPr="00FA544E">
        <w:rPr>
          <w:rFonts w:cs="Times"/>
          <w:sz w:val="20"/>
          <w:szCs w:val="20"/>
        </w:rPr>
        <w:t>, 2009, 8)</w:t>
      </w:r>
    </w:p>
    <w:p w14:paraId="6AC056B1" w14:textId="77777777" w:rsidR="00B63EA1" w:rsidRDefault="00B63EA1" w:rsidP="004A44D2">
      <w:pPr>
        <w:widowControl w:val="0"/>
        <w:autoSpaceDE w:val="0"/>
        <w:autoSpaceDN w:val="0"/>
        <w:adjustRightInd w:val="0"/>
        <w:spacing w:after="0" w:line="240" w:lineRule="auto"/>
        <w:rPr>
          <w:rFonts w:cs="Times"/>
          <w:sz w:val="20"/>
          <w:szCs w:val="20"/>
        </w:rPr>
      </w:pPr>
    </w:p>
    <w:p w14:paraId="20980CEA" w14:textId="77777777" w:rsidR="00FA544E" w:rsidRDefault="00FA544E" w:rsidP="004A44D2">
      <w:pPr>
        <w:widowControl w:val="0"/>
        <w:autoSpaceDE w:val="0"/>
        <w:autoSpaceDN w:val="0"/>
        <w:adjustRightInd w:val="0"/>
        <w:spacing w:after="0" w:line="240" w:lineRule="auto"/>
        <w:rPr>
          <w:rFonts w:cs="Times"/>
          <w:sz w:val="20"/>
          <w:szCs w:val="20"/>
        </w:rPr>
      </w:pPr>
    </w:p>
    <w:p w14:paraId="66423832" w14:textId="77777777" w:rsidR="00233E59" w:rsidRPr="001416B8" w:rsidRDefault="00233E59" w:rsidP="000F29DF">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Effective models for securing operational costs</w:t>
      </w:r>
    </w:p>
    <w:p w14:paraId="1572D16D" w14:textId="77777777" w:rsidR="00233E59" w:rsidRPr="00FC70F2" w:rsidRDefault="00233E59" w:rsidP="000F29DF">
      <w:pPr>
        <w:pStyle w:val="Listenabsatz"/>
        <w:widowControl w:val="0"/>
        <w:numPr>
          <w:ilvl w:val="0"/>
          <w:numId w:val="3"/>
        </w:numPr>
        <w:autoSpaceDE w:val="0"/>
        <w:autoSpaceDN w:val="0"/>
        <w:adjustRightInd w:val="0"/>
        <w:spacing w:after="240" w:line="240" w:lineRule="auto"/>
        <w:ind w:left="284" w:hanging="284"/>
        <w:rPr>
          <w:rFonts w:cs="Times"/>
          <w:sz w:val="20"/>
          <w:szCs w:val="20"/>
          <w:lang w:val="en-US"/>
        </w:rPr>
      </w:pPr>
      <w:r>
        <w:rPr>
          <w:rFonts w:cs="Times"/>
          <w:sz w:val="20"/>
          <w:szCs w:val="20"/>
          <w:lang w:val="en-US"/>
        </w:rPr>
        <w:t>“</w:t>
      </w:r>
      <w:r w:rsidRPr="00FC70F2">
        <w:rPr>
          <w:rFonts w:cs="Times"/>
          <w:sz w:val="20"/>
          <w:szCs w:val="20"/>
          <w:lang w:val="en-US"/>
        </w:rPr>
        <w:t xml:space="preserve">Spreading costs across institutions or a member network. </w:t>
      </w:r>
      <w:r w:rsidRPr="00FC70F2">
        <w:rPr>
          <w:rFonts w:cs="Calibri Bold Italic"/>
          <w:sz w:val="20"/>
          <w:szCs w:val="20"/>
          <w:lang w:val="en-US"/>
        </w:rPr>
        <w:t>This can reduce overall expenses, particularly if all members are invested and truly v</w:t>
      </w:r>
      <w:r>
        <w:rPr>
          <w:rFonts w:cs="Calibri Bold Italic"/>
          <w:sz w:val="20"/>
          <w:szCs w:val="20"/>
          <w:lang w:val="en-US"/>
        </w:rPr>
        <w:t>alue the common infrastructure.</w:t>
      </w:r>
    </w:p>
    <w:p w14:paraId="70D8EE5A" w14:textId="77777777" w:rsidR="00233E59" w:rsidRPr="00FC70F2" w:rsidRDefault="00233E59" w:rsidP="000F29DF">
      <w:pPr>
        <w:pStyle w:val="Listenabsatz"/>
        <w:widowControl w:val="0"/>
        <w:numPr>
          <w:ilvl w:val="0"/>
          <w:numId w:val="3"/>
        </w:numPr>
        <w:autoSpaceDE w:val="0"/>
        <w:autoSpaceDN w:val="0"/>
        <w:adjustRightInd w:val="0"/>
        <w:spacing w:after="240" w:line="240" w:lineRule="auto"/>
        <w:ind w:left="284" w:hanging="284"/>
        <w:rPr>
          <w:rFonts w:cs="Times"/>
          <w:sz w:val="20"/>
          <w:szCs w:val="20"/>
          <w:lang w:val="en-US"/>
        </w:rPr>
      </w:pPr>
      <w:r w:rsidRPr="00FC70F2">
        <w:rPr>
          <w:rFonts w:cs="Times"/>
          <w:sz w:val="20"/>
          <w:szCs w:val="20"/>
          <w:lang w:val="en-US"/>
        </w:rPr>
        <w:t xml:space="preserve">Positioning data as something new and/or creating software or services. </w:t>
      </w:r>
      <w:r w:rsidRPr="00FC70F2">
        <w:rPr>
          <w:rFonts w:cs="Calibri Bold Italic"/>
          <w:sz w:val="20"/>
          <w:szCs w:val="20"/>
          <w:lang w:val="en-US"/>
        </w:rPr>
        <w:t>Users are more receptive to fees that are built into a product or service. This increases value as well, so users are willing to pay mo</w:t>
      </w:r>
      <w:r>
        <w:rPr>
          <w:rFonts w:cs="Calibri Bold Italic"/>
          <w:sz w:val="20"/>
          <w:szCs w:val="20"/>
          <w:lang w:val="en-US"/>
        </w:rPr>
        <w:t>re.</w:t>
      </w:r>
    </w:p>
    <w:p w14:paraId="4D3CF5E5" w14:textId="77777777" w:rsidR="00233E59" w:rsidRPr="00FC70F2" w:rsidRDefault="00233E59" w:rsidP="000F29DF">
      <w:pPr>
        <w:pStyle w:val="Listenabsatz"/>
        <w:widowControl w:val="0"/>
        <w:numPr>
          <w:ilvl w:val="0"/>
          <w:numId w:val="3"/>
        </w:numPr>
        <w:autoSpaceDE w:val="0"/>
        <w:autoSpaceDN w:val="0"/>
        <w:adjustRightInd w:val="0"/>
        <w:spacing w:after="240" w:line="240" w:lineRule="auto"/>
        <w:ind w:left="284" w:hanging="284"/>
        <w:rPr>
          <w:rFonts w:cs="Times"/>
          <w:sz w:val="20"/>
          <w:szCs w:val="20"/>
          <w:lang w:val="en-US"/>
        </w:rPr>
      </w:pPr>
      <w:r w:rsidRPr="00FC70F2">
        <w:rPr>
          <w:rFonts w:cs="Times"/>
          <w:sz w:val="20"/>
          <w:szCs w:val="20"/>
          <w:lang w:val="en-US"/>
        </w:rPr>
        <w:t>Including infrastructure costs explicitly in all grant</w:t>
      </w:r>
      <w:r>
        <w:rPr>
          <w:rFonts w:cs="Times"/>
          <w:sz w:val="20"/>
          <w:szCs w:val="20"/>
          <w:lang w:val="en-US"/>
        </w:rPr>
        <w:t>s and contracts to the program. (…)</w:t>
      </w:r>
    </w:p>
    <w:p w14:paraId="36B22E21" w14:textId="77777777" w:rsidR="00233E59" w:rsidRPr="00FC70F2" w:rsidRDefault="00233E59" w:rsidP="000F29DF">
      <w:pPr>
        <w:pStyle w:val="Listenabsatz"/>
        <w:widowControl w:val="0"/>
        <w:numPr>
          <w:ilvl w:val="0"/>
          <w:numId w:val="3"/>
        </w:numPr>
        <w:autoSpaceDE w:val="0"/>
        <w:autoSpaceDN w:val="0"/>
        <w:adjustRightInd w:val="0"/>
        <w:spacing w:after="240" w:line="240" w:lineRule="auto"/>
        <w:ind w:left="284" w:hanging="284"/>
        <w:rPr>
          <w:rFonts w:cs="Times"/>
          <w:sz w:val="20"/>
          <w:szCs w:val="20"/>
          <w:lang w:val="en-US"/>
        </w:rPr>
      </w:pPr>
      <w:r w:rsidRPr="00FC70F2">
        <w:rPr>
          <w:rFonts w:cs="Times"/>
          <w:sz w:val="20"/>
          <w:szCs w:val="20"/>
          <w:lang w:val="en-US"/>
        </w:rPr>
        <w:t xml:space="preserve">Building relationships with partner institutions and state governments </w:t>
      </w:r>
      <w:r w:rsidRPr="00FC70F2">
        <w:rPr>
          <w:rFonts w:cs="Calibri Bold Italic"/>
          <w:sz w:val="20"/>
          <w:szCs w:val="20"/>
          <w:lang w:val="en-US"/>
        </w:rPr>
        <w:t xml:space="preserve">to ensure the </w:t>
      </w:r>
      <w:r w:rsidRPr="00FC70F2">
        <w:rPr>
          <w:rFonts w:cs="Times"/>
          <w:sz w:val="20"/>
          <w:szCs w:val="20"/>
          <w:lang w:val="en-US"/>
        </w:rPr>
        <w:t> </w:t>
      </w:r>
      <w:r w:rsidRPr="00FC70F2">
        <w:rPr>
          <w:rFonts w:cs="Calibri Bold Italic"/>
          <w:sz w:val="20"/>
          <w:szCs w:val="20"/>
          <w:lang w:val="en-US"/>
        </w:rPr>
        <w:t>infrastructure is rel</w:t>
      </w:r>
      <w:r w:rsidRPr="00FC70F2">
        <w:rPr>
          <w:rFonts w:cs="Calibri Bold Italic"/>
          <w:sz w:val="20"/>
          <w:szCs w:val="20"/>
          <w:lang w:val="en-US"/>
        </w:rPr>
        <w:t>e</w:t>
      </w:r>
      <w:r w:rsidRPr="00FC70F2">
        <w:rPr>
          <w:rFonts w:cs="Calibri Bold Italic"/>
          <w:sz w:val="20"/>
          <w:szCs w:val="20"/>
          <w:lang w:val="en-US"/>
        </w:rPr>
        <w:t>vant. Partners can help take up slack if needed, particularly if the project is important to their own work, and reaching out to state institutions can help justify the project’s importa</w:t>
      </w:r>
      <w:r>
        <w:rPr>
          <w:rFonts w:cs="Calibri Bold Italic"/>
          <w:sz w:val="20"/>
          <w:szCs w:val="20"/>
          <w:lang w:val="en-US"/>
        </w:rPr>
        <w:t>nce and need for state funding.</w:t>
      </w:r>
    </w:p>
    <w:p w14:paraId="6CA07CF4" w14:textId="77777777" w:rsidR="00233E59" w:rsidRPr="00FC70F2" w:rsidRDefault="00233E59" w:rsidP="000F29DF">
      <w:pPr>
        <w:pStyle w:val="Listenabsatz"/>
        <w:widowControl w:val="0"/>
        <w:numPr>
          <w:ilvl w:val="0"/>
          <w:numId w:val="3"/>
        </w:numPr>
        <w:autoSpaceDE w:val="0"/>
        <w:autoSpaceDN w:val="0"/>
        <w:adjustRightInd w:val="0"/>
        <w:spacing w:after="240" w:line="240" w:lineRule="auto"/>
        <w:ind w:left="284" w:hanging="284"/>
        <w:rPr>
          <w:rFonts w:cs="Times"/>
          <w:sz w:val="20"/>
          <w:szCs w:val="20"/>
          <w:lang w:val="en-US"/>
        </w:rPr>
      </w:pPr>
      <w:r w:rsidRPr="00FC70F2">
        <w:rPr>
          <w:rFonts w:cs="Times"/>
          <w:sz w:val="20"/>
          <w:szCs w:val="20"/>
          <w:lang w:val="en-US"/>
        </w:rPr>
        <w:t xml:space="preserve">Beginning initial efforts at creating endowments. </w:t>
      </w:r>
      <w:r w:rsidRPr="00FC70F2">
        <w:rPr>
          <w:rFonts w:cs="Calibri Bold Italic"/>
          <w:sz w:val="20"/>
          <w:szCs w:val="20"/>
          <w:lang w:val="en-US"/>
        </w:rPr>
        <w:t>This can be challenging in the current economic climate and is a long-term effort, but one with significant potential for long-term, stable fun</w:t>
      </w:r>
      <w:r>
        <w:rPr>
          <w:rFonts w:cs="Calibri Bold Italic"/>
          <w:sz w:val="20"/>
          <w:szCs w:val="20"/>
          <w:lang w:val="en-US"/>
        </w:rPr>
        <w:t>ding.</w:t>
      </w:r>
    </w:p>
    <w:p w14:paraId="63E69C17" w14:textId="77777777" w:rsidR="00233E59" w:rsidRDefault="00233E59" w:rsidP="000F29DF">
      <w:pPr>
        <w:pStyle w:val="Listenabsatz"/>
        <w:widowControl w:val="0"/>
        <w:numPr>
          <w:ilvl w:val="0"/>
          <w:numId w:val="3"/>
        </w:numPr>
        <w:autoSpaceDE w:val="0"/>
        <w:autoSpaceDN w:val="0"/>
        <w:adjustRightInd w:val="0"/>
        <w:spacing w:after="240" w:line="240" w:lineRule="auto"/>
        <w:ind w:left="284" w:hanging="284"/>
        <w:rPr>
          <w:rFonts w:cs="Times"/>
          <w:sz w:val="20"/>
          <w:szCs w:val="20"/>
          <w:lang w:val="en-US"/>
        </w:rPr>
      </w:pPr>
      <w:r w:rsidRPr="00FC70F2">
        <w:rPr>
          <w:rFonts w:cs="Times"/>
          <w:sz w:val="20"/>
          <w:szCs w:val="20"/>
          <w:lang w:val="en-US"/>
        </w:rPr>
        <w:t>Charging more for commercial clients, so academic users can</w:t>
      </w:r>
      <w:r>
        <w:rPr>
          <w:rFonts w:cs="Times"/>
          <w:sz w:val="20"/>
          <w:szCs w:val="20"/>
          <w:lang w:val="en-US"/>
        </w:rPr>
        <w:t xml:space="preserve"> pay less.</w:t>
      </w:r>
    </w:p>
    <w:p w14:paraId="20FF1D83" w14:textId="77777777" w:rsidR="00233E59" w:rsidRPr="00D17386" w:rsidRDefault="00233E59" w:rsidP="000F29DF">
      <w:pPr>
        <w:pStyle w:val="Listenabsatz"/>
        <w:widowControl w:val="0"/>
        <w:numPr>
          <w:ilvl w:val="0"/>
          <w:numId w:val="3"/>
        </w:numPr>
        <w:autoSpaceDE w:val="0"/>
        <w:autoSpaceDN w:val="0"/>
        <w:adjustRightInd w:val="0"/>
        <w:spacing w:after="0" w:line="240" w:lineRule="auto"/>
        <w:ind w:left="284" w:hanging="284"/>
        <w:contextualSpacing w:val="0"/>
        <w:rPr>
          <w:rFonts w:cs="Times"/>
          <w:sz w:val="20"/>
          <w:szCs w:val="20"/>
          <w:lang w:val="en-US"/>
        </w:rPr>
      </w:pPr>
      <w:r w:rsidRPr="00D17386">
        <w:rPr>
          <w:rFonts w:cs="Times"/>
          <w:sz w:val="20"/>
          <w:szCs w:val="20"/>
          <w:lang w:val="en-US"/>
        </w:rPr>
        <w:t xml:space="preserve">Creating economies of scale. </w:t>
      </w:r>
      <w:r w:rsidRPr="00D17386">
        <w:rPr>
          <w:rFonts w:cs="Calibri Bold Italic"/>
          <w:sz w:val="20"/>
          <w:szCs w:val="20"/>
          <w:lang w:val="en-US"/>
        </w:rPr>
        <w:t xml:space="preserve">Sometimes increasing products and lowering prices can be </w:t>
      </w:r>
      <w:r w:rsidRPr="00D17386">
        <w:rPr>
          <w:rFonts w:cs="Times"/>
          <w:sz w:val="20"/>
          <w:szCs w:val="20"/>
          <w:lang w:val="en-US"/>
        </w:rPr>
        <w:t> </w:t>
      </w:r>
      <w:r w:rsidRPr="00D17386">
        <w:rPr>
          <w:rFonts w:cs="Calibri Bold Italic"/>
          <w:sz w:val="20"/>
          <w:szCs w:val="20"/>
          <w:lang w:val="en-US"/>
        </w:rPr>
        <w:t>financially adva</w:t>
      </w:r>
      <w:r w:rsidRPr="00D17386">
        <w:rPr>
          <w:rFonts w:cs="Calibri Bold Italic"/>
          <w:sz w:val="20"/>
          <w:szCs w:val="20"/>
          <w:lang w:val="en-US"/>
        </w:rPr>
        <w:t>n</w:t>
      </w:r>
      <w:r w:rsidRPr="00D17386">
        <w:rPr>
          <w:rFonts w:cs="Calibri Bold Italic"/>
          <w:sz w:val="20"/>
          <w:szCs w:val="20"/>
          <w:lang w:val="en-US"/>
        </w:rPr>
        <w:t xml:space="preserve">tageous. Associating infrastructure with an existing institution or university can </w:t>
      </w:r>
      <w:r w:rsidRPr="00D17386">
        <w:rPr>
          <w:rFonts w:cs="Times"/>
          <w:sz w:val="20"/>
          <w:szCs w:val="20"/>
          <w:lang w:val="en-US"/>
        </w:rPr>
        <w:t> </w:t>
      </w:r>
      <w:r w:rsidRPr="00D17386">
        <w:rPr>
          <w:rFonts w:cs="Calibri Bold Italic"/>
          <w:sz w:val="20"/>
          <w:szCs w:val="20"/>
          <w:lang w:val="en-US"/>
        </w:rPr>
        <w:t>help reduce some overhead costs.</w:t>
      </w:r>
    </w:p>
    <w:p w14:paraId="5A7EE326" w14:textId="50B670F7" w:rsidR="00233E59" w:rsidRPr="005B5676" w:rsidRDefault="005B5676" w:rsidP="000F29DF">
      <w:pPr>
        <w:pStyle w:val="Listenabsatz"/>
        <w:widowControl w:val="0"/>
        <w:numPr>
          <w:ilvl w:val="0"/>
          <w:numId w:val="3"/>
        </w:numPr>
        <w:autoSpaceDE w:val="0"/>
        <w:autoSpaceDN w:val="0"/>
        <w:adjustRightInd w:val="0"/>
        <w:spacing w:after="0" w:line="240" w:lineRule="auto"/>
        <w:ind w:left="284" w:hanging="284"/>
        <w:contextualSpacing w:val="0"/>
        <w:rPr>
          <w:rFonts w:cs="Calibri Bold Italic"/>
          <w:sz w:val="20"/>
          <w:szCs w:val="20"/>
          <w:lang w:val="en-US"/>
        </w:rPr>
      </w:pPr>
      <w:r>
        <w:rPr>
          <w:rFonts w:cs="Times"/>
          <w:sz w:val="20"/>
          <w:szCs w:val="20"/>
          <w:lang w:val="en-US"/>
        </w:rPr>
        <w:t>Charging membership fees</w:t>
      </w:r>
      <w:r w:rsidR="00233E59" w:rsidRPr="005B5676">
        <w:rPr>
          <w:rFonts w:cs="Calibri Bold Italic"/>
          <w:sz w:val="20"/>
          <w:szCs w:val="20"/>
          <w:lang w:val="en-US"/>
        </w:rPr>
        <w:t>.</w:t>
      </w:r>
      <w:r w:rsidR="00233E59" w:rsidRPr="005B5676">
        <w:rPr>
          <w:rFonts w:cs="Times"/>
          <w:sz w:val="20"/>
          <w:szCs w:val="20"/>
          <w:lang w:val="en-US"/>
        </w:rPr>
        <w:t>” (ESA, 2010</w:t>
      </w:r>
      <w:r w:rsidR="00BA4AF4">
        <w:rPr>
          <w:rFonts w:cs="Times"/>
          <w:sz w:val="20"/>
          <w:szCs w:val="20"/>
          <w:lang w:val="en-US"/>
        </w:rPr>
        <w:t xml:space="preserve">, </w:t>
      </w:r>
      <w:r w:rsidR="00233E59" w:rsidRPr="005B5676">
        <w:rPr>
          <w:rFonts w:cs="Times"/>
          <w:sz w:val="20"/>
          <w:szCs w:val="20"/>
          <w:lang w:val="en-US"/>
        </w:rPr>
        <w:t>2-3)</w:t>
      </w:r>
    </w:p>
    <w:p w14:paraId="50DD0498" w14:textId="77777777" w:rsidR="00233E59" w:rsidRDefault="00233E59" w:rsidP="00233E59">
      <w:pPr>
        <w:widowControl w:val="0"/>
        <w:autoSpaceDE w:val="0"/>
        <w:autoSpaceDN w:val="0"/>
        <w:adjustRightInd w:val="0"/>
        <w:spacing w:after="0" w:line="240" w:lineRule="auto"/>
        <w:rPr>
          <w:rFonts w:cs="Times"/>
          <w:sz w:val="20"/>
          <w:szCs w:val="20"/>
        </w:rPr>
      </w:pPr>
    </w:p>
    <w:p w14:paraId="4A060DB7" w14:textId="05E48139" w:rsidR="00233E59" w:rsidRDefault="005D2769" w:rsidP="005D2769">
      <w:pPr>
        <w:widowControl w:val="0"/>
        <w:autoSpaceDE w:val="0"/>
        <w:autoSpaceDN w:val="0"/>
        <w:adjustRightInd w:val="0"/>
        <w:spacing w:after="0" w:line="240" w:lineRule="auto"/>
        <w:rPr>
          <w:rFonts w:cs="Times"/>
          <w:sz w:val="20"/>
          <w:szCs w:val="20"/>
        </w:rPr>
      </w:pPr>
      <w:r w:rsidRPr="005D2769">
        <w:rPr>
          <w:rFonts w:cs="Times"/>
          <w:sz w:val="20"/>
          <w:szCs w:val="20"/>
        </w:rPr>
        <w:t>“</w:t>
      </w:r>
      <w:r w:rsidRPr="005D2769">
        <w:rPr>
          <w:rFonts w:cs="Times"/>
          <w:b/>
          <w:bCs/>
          <w:sz w:val="20"/>
          <w:szCs w:val="20"/>
        </w:rPr>
        <w:t>Uncertainty about funding</w:t>
      </w:r>
      <w:r w:rsidRPr="005D2769">
        <w:rPr>
          <w:rFonts w:cs="Times New Roman"/>
          <w:sz w:val="20"/>
          <w:szCs w:val="20"/>
        </w:rPr>
        <w:t>: uncertainty about funding caused by short-term funding models and lack of dive</w:t>
      </w:r>
      <w:r w:rsidRPr="005D2769">
        <w:rPr>
          <w:rFonts w:cs="Times New Roman"/>
          <w:sz w:val="20"/>
          <w:szCs w:val="20"/>
        </w:rPr>
        <w:t>r</w:t>
      </w:r>
      <w:r w:rsidRPr="005D2769">
        <w:rPr>
          <w:rFonts w:cs="Times New Roman"/>
          <w:sz w:val="20"/>
          <w:szCs w:val="20"/>
        </w:rPr>
        <w:t xml:space="preserve">sity of funding sources, leading to an exposure of multiple efforts to the same risks. </w:t>
      </w:r>
      <w:r w:rsidRPr="005D2769">
        <w:rPr>
          <w:rFonts w:cs="Times"/>
          <w:b/>
          <w:bCs/>
          <w:sz w:val="20"/>
          <w:szCs w:val="20"/>
        </w:rPr>
        <w:t>Response</w:t>
      </w:r>
      <w:r w:rsidRPr="005D2769">
        <w:rPr>
          <w:rFonts w:cs="Times New Roman"/>
          <w:sz w:val="20"/>
          <w:szCs w:val="20"/>
        </w:rPr>
        <w:t>: negotiations with funding organisations to provide longer-term funding opportunities, subject to regular review. Transition of software/services to a commercial environment, which develops, maintains, and sells the services/software.</w:t>
      </w:r>
      <w:r w:rsidRPr="005D2769">
        <w:rPr>
          <w:rFonts w:cs="Times"/>
          <w:sz w:val="20"/>
          <w:szCs w:val="20"/>
        </w:rPr>
        <w:t>” (Voss, et al. 2007</w:t>
      </w:r>
      <w:r w:rsidR="00BA4AF4">
        <w:rPr>
          <w:rFonts w:cs="Times"/>
          <w:sz w:val="20"/>
          <w:szCs w:val="20"/>
        </w:rPr>
        <w:t xml:space="preserve">, </w:t>
      </w:r>
      <w:r w:rsidRPr="005D2769">
        <w:rPr>
          <w:rFonts w:cs="Times"/>
          <w:sz w:val="20"/>
          <w:szCs w:val="20"/>
        </w:rPr>
        <w:t>4)</w:t>
      </w:r>
    </w:p>
    <w:p w14:paraId="3DDC290E" w14:textId="77777777" w:rsidR="005B5676" w:rsidRDefault="005B5676" w:rsidP="005D2769">
      <w:pPr>
        <w:widowControl w:val="0"/>
        <w:autoSpaceDE w:val="0"/>
        <w:autoSpaceDN w:val="0"/>
        <w:adjustRightInd w:val="0"/>
        <w:spacing w:after="0" w:line="240" w:lineRule="auto"/>
        <w:rPr>
          <w:rFonts w:cs="Times"/>
          <w:sz w:val="20"/>
          <w:szCs w:val="20"/>
        </w:rPr>
      </w:pPr>
    </w:p>
    <w:p w14:paraId="7373C97C" w14:textId="2B3E4766" w:rsidR="005B5676" w:rsidRPr="007E18E0" w:rsidRDefault="007E18E0" w:rsidP="007E18E0">
      <w:pPr>
        <w:widowControl w:val="0"/>
        <w:autoSpaceDE w:val="0"/>
        <w:autoSpaceDN w:val="0"/>
        <w:adjustRightInd w:val="0"/>
        <w:spacing w:after="0" w:line="240" w:lineRule="auto"/>
        <w:rPr>
          <w:rFonts w:cs="Times"/>
          <w:sz w:val="20"/>
          <w:szCs w:val="20"/>
        </w:rPr>
      </w:pPr>
      <w:r>
        <w:rPr>
          <w:rFonts w:cs="Times New Roman"/>
          <w:sz w:val="20"/>
          <w:szCs w:val="20"/>
        </w:rPr>
        <w:t>“</w:t>
      </w:r>
      <w:r w:rsidR="005B5676" w:rsidRPr="007E18E0">
        <w:rPr>
          <w:rFonts w:cs="Times New Roman"/>
          <w:sz w:val="20"/>
          <w:szCs w:val="20"/>
        </w:rPr>
        <w:t xml:space="preserve">ESDS </w:t>
      </w:r>
      <w:r w:rsidR="008E6FE7" w:rsidRPr="00C7643D">
        <w:rPr>
          <w:rFonts w:cs="Times New Roman"/>
          <w:sz w:val="20"/>
          <w:szCs w:val="20"/>
        </w:rPr>
        <w:t>[</w:t>
      </w:r>
      <w:r w:rsidR="008E6FE7" w:rsidRPr="00C7643D">
        <w:rPr>
          <w:rFonts w:cs="Arial"/>
          <w:bCs/>
          <w:sz w:val="20"/>
          <w:szCs w:val="20"/>
        </w:rPr>
        <w:t xml:space="preserve">Economic and Social </w:t>
      </w:r>
      <w:r w:rsidR="008E6FE7">
        <w:rPr>
          <w:rFonts w:cs="Arial"/>
          <w:bCs/>
          <w:sz w:val="20"/>
          <w:szCs w:val="20"/>
        </w:rPr>
        <w:t>Data Service</w:t>
      </w:r>
      <w:r w:rsidR="008E6FE7" w:rsidRPr="00C7643D">
        <w:rPr>
          <w:rFonts w:cs="Times New Roman"/>
          <w:sz w:val="20"/>
          <w:szCs w:val="20"/>
        </w:rPr>
        <w:t>]</w:t>
      </w:r>
      <w:r w:rsidR="008E6FE7">
        <w:rPr>
          <w:rFonts w:cs="Times New Roman"/>
          <w:sz w:val="20"/>
          <w:szCs w:val="20"/>
        </w:rPr>
        <w:t xml:space="preserve"> </w:t>
      </w:r>
      <w:r w:rsidR="005B5676" w:rsidRPr="007E18E0">
        <w:rPr>
          <w:rFonts w:cs="Times New Roman"/>
          <w:sz w:val="20"/>
          <w:szCs w:val="20"/>
        </w:rPr>
        <w:t xml:space="preserve">is the UK’s national data service, funded jointly by </w:t>
      </w:r>
      <w:r w:rsidR="005B5676" w:rsidRPr="00C7643D">
        <w:rPr>
          <w:rFonts w:cs="Times New Roman"/>
          <w:sz w:val="20"/>
          <w:szCs w:val="20"/>
        </w:rPr>
        <w:t xml:space="preserve">ESRC </w:t>
      </w:r>
      <w:r w:rsidR="00026AFA" w:rsidRPr="00C7643D">
        <w:rPr>
          <w:rFonts w:cs="Times New Roman"/>
          <w:sz w:val="20"/>
          <w:szCs w:val="20"/>
        </w:rPr>
        <w:t>[</w:t>
      </w:r>
      <w:r w:rsidR="00026AFA" w:rsidRPr="00C7643D">
        <w:rPr>
          <w:rFonts w:cs="Arial"/>
          <w:bCs/>
          <w:sz w:val="20"/>
          <w:szCs w:val="20"/>
        </w:rPr>
        <w:t xml:space="preserve">Economic </w:t>
      </w:r>
      <w:r w:rsidR="00026AFA" w:rsidRPr="00C7643D">
        <w:rPr>
          <w:rFonts w:cs="Arial"/>
          <w:bCs/>
          <w:sz w:val="20"/>
          <w:szCs w:val="20"/>
        </w:rPr>
        <w:lastRenderedPageBreak/>
        <w:t>and Social Research Council</w:t>
      </w:r>
      <w:r w:rsidR="00026AFA" w:rsidRPr="00C7643D">
        <w:rPr>
          <w:rFonts w:cs="Times New Roman"/>
          <w:sz w:val="20"/>
          <w:szCs w:val="20"/>
        </w:rPr>
        <w:t>]</w:t>
      </w:r>
      <w:r w:rsidR="00026AFA">
        <w:rPr>
          <w:rFonts w:cs="Times New Roman"/>
          <w:sz w:val="20"/>
          <w:szCs w:val="20"/>
        </w:rPr>
        <w:t xml:space="preserve"> </w:t>
      </w:r>
      <w:r w:rsidR="005B5676" w:rsidRPr="007E18E0">
        <w:rPr>
          <w:rFonts w:cs="Times New Roman"/>
          <w:sz w:val="20"/>
          <w:szCs w:val="20"/>
        </w:rPr>
        <w:t>and JISC</w:t>
      </w:r>
      <w:r w:rsidR="00C7643D">
        <w:rPr>
          <w:rStyle w:val="Funotenzeichen"/>
          <w:rFonts w:cs="Times New Roman"/>
          <w:sz w:val="20"/>
          <w:szCs w:val="20"/>
        </w:rPr>
        <w:footnoteReference w:id="1"/>
      </w:r>
      <w:r w:rsidR="005B5676" w:rsidRPr="007E18E0">
        <w:rPr>
          <w:rFonts w:cs="Times New Roman"/>
          <w:sz w:val="20"/>
          <w:szCs w:val="20"/>
        </w:rPr>
        <w:t>, which provides access and support for an extensive range of key ec</w:t>
      </w:r>
      <w:r w:rsidR="005B5676" w:rsidRPr="007E18E0">
        <w:rPr>
          <w:rFonts w:cs="Times New Roman"/>
          <w:sz w:val="20"/>
          <w:szCs w:val="20"/>
        </w:rPr>
        <w:t>o</w:t>
      </w:r>
      <w:r w:rsidR="005B5676" w:rsidRPr="007E18E0">
        <w:rPr>
          <w:rFonts w:cs="Times New Roman"/>
          <w:sz w:val="20"/>
          <w:szCs w:val="20"/>
        </w:rPr>
        <w:t>nomic and social data, both quantitative and qualitative, spanning many disciplines and themes, and available to researchers free at the point of use. It must be questioned whether the e-Infrastructure project would be sustainable under this model. First, as noted above, there are unmistakable signs that, in the future, UK funding bodies will expect institutions hosting research projects to absorb some of the costs of maintaining the r</w:t>
      </w:r>
      <w:r w:rsidR="005B5676" w:rsidRPr="007E18E0">
        <w:rPr>
          <w:rFonts w:cs="Times New Roman"/>
          <w:sz w:val="20"/>
          <w:szCs w:val="20"/>
        </w:rPr>
        <w:t>e</w:t>
      </w:r>
      <w:r w:rsidR="005B5676" w:rsidRPr="007E18E0">
        <w:rPr>
          <w:rFonts w:cs="Times New Roman"/>
          <w:sz w:val="20"/>
          <w:szCs w:val="20"/>
        </w:rPr>
        <w:t>search resources these projects create. This may, in turn, encourage host institutions to introduce charges for services provided, such as the micro-payments model adopted by many journal publishers.</w:t>
      </w:r>
      <w:r>
        <w:rPr>
          <w:rFonts w:cs="Times New Roman"/>
          <w:sz w:val="20"/>
          <w:szCs w:val="20"/>
        </w:rPr>
        <w:t>”</w:t>
      </w:r>
      <w:r w:rsidR="005B5676" w:rsidRPr="007E18E0">
        <w:rPr>
          <w:rFonts w:cs="Times New Roman"/>
          <w:sz w:val="20"/>
          <w:szCs w:val="20"/>
        </w:rPr>
        <w:t xml:space="preserve"> (Voss, et al. 2007</w:t>
      </w:r>
      <w:r w:rsidR="00BA4AF4">
        <w:rPr>
          <w:rFonts w:cs="Times New Roman"/>
          <w:sz w:val="20"/>
          <w:szCs w:val="20"/>
        </w:rPr>
        <w:t xml:space="preserve">, </w:t>
      </w:r>
      <w:r w:rsidR="005B5676" w:rsidRPr="007E18E0">
        <w:rPr>
          <w:rFonts w:cs="Times New Roman"/>
          <w:sz w:val="20"/>
          <w:szCs w:val="20"/>
        </w:rPr>
        <w:t>6-7)</w:t>
      </w:r>
    </w:p>
    <w:p w14:paraId="421FE44A" w14:textId="77777777" w:rsidR="005B5676" w:rsidRPr="005D2769" w:rsidRDefault="005B5676" w:rsidP="005D2769">
      <w:pPr>
        <w:widowControl w:val="0"/>
        <w:autoSpaceDE w:val="0"/>
        <w:autoSpaceDN w:val="0"/>
        <w:adjustRightInd w:val="0"/>
        <w:spacing w:after="0" w:line="240" w:lineRule="auto"/>
        <w:rPr>
          <w:rFonts w:cs="Times"/>
          <w:sz w:val="20"/>
          <w:szCs w:val="20"/>
        </w:rPr>
      </w:pPr>
    </w:p>
    <w:p w14:paraId="1382B016" w14:textId="7D22F6F3" w:rsidR="00926D90" w:rsidRDefault="00A47EB9" w:rsidP="00B84301">
      <w:pPr>
        <w:widowControl w:val="0"/>
        <w:autoSpaceDE w:val="0"/>
        <w:autoSpaceDN w:val="0"/>
        <w:adjustRightInd w:val="0"/>
        <w:spacing w:after="0" w:line="240" w:lineRule="auto"/>
        <w:rPr>
          <w:rFonts w:cs="Times"/>
          <w:sz w:val="20"/>
          <w:szCs w:val="20"/>
        </w:rPr>
      </w:pPr>
      <w:r w:rsidRPr="00B84301">
        <w:rPr>
          <w:rFonts w:cs="Times"/>
          <w:sz w:val="20"/>
          <w:szCs w:val="20"/>
        </w:rPr>
        <w:t xml:space="preserve">“The preservation of high-quality </w:t>
      </w:r>
      <w:proofErr w:type="spellStart"/>
      <w:r w:rsidRPr="00B84301">
        <w:rPr>
          <w:rFonts w:cs="Times"/>
          <w:sz w:val="20"/>
          <w:szCs w:val="20"/>
        </w:rPr>
        <w:t>biospecimens</w:t>
      </w:r>
      <w:proofErr w:type="spellEnd"/>
      <w:r w:rsidRPr="00B84301">
        <w:rPr>
          <w:rFonts w:cs="Times"/>
          <w:sz w:val="20"/>
          <w:szCs w:val="20"/>
        </w:rPr>
        <w:t xml:space="preserve"> and associated data for research purposes is being performed in variety of academic, government, and industrial settings. Often these are </w:t>
      </w:r>
      <w:proofErr w:type="gramStart"/>
      <w:r w:rsidRPr="00B84301">
        <w:rPr>
          <w:rFonts w:cs="Times"/>
          <w:sz w:val="20"/>
          <w:szCs w:val="20"/>
        </w:rPr>
        <w:t>multimillion dollar</w:t>
      </w:r>
      <w:proofErr w:type="gramEnd"/>
      <w:r w:rsidRPr="00B84301">
        <w:rPr>
          <w:rFonts w:cs="Times"/>
          <w:sz w:val="20"/>
          <w:szCs w:val="20"/>
        </w:rPr>
        <w:t xml:space="preserve"> operations, yet despite these sizable investments, the economics of biobanking initiatives is not well understood. Fundamental business principles must be applied to the development and operation of such resources to ensure their long-term sustainability and maximize their impact. The true costs of developing and maintaining operations, which may have a variety of funding sources, must be better understood. Among the issues that must be considered when building a biobank economic model are: understanding the market need for the particular type of b</w:t>
      </w:r>
      <w:r w:rsidRPr="00B84301">
        <w:rPr>
          <w:rFonts w:cs="Times"/>
          <w:sz w:val="20"/>
          <w:szCs w:val="20"/>
        </w:rPr>
        <w:t>i</w:t>
      </w:r>
      <w:r w:rsidRPr="00B84301">
        <w:rPr>
          <w:rFonts w:cs="Times"/>
          <w:sz w:val="20"/>
          <w:szCs w:val="20"/>
        </w:rPr>
        <w:t xml:space="preserve">obank under consideration and understanding and efficiently managing the </w:t>
      </w:r>
      <w:proofErr w:type="spellStart"/>
      <w:r w:rsidRPr="00B84301">
        <w:rPr>
          <w:rFonts w:cs="Times"/>
          <w:sz w:val="20"/>
          <w:szCs w:val="20"/>
        </w:rPr>
        <w:t>biobank’s</w:t>
      </w:r>
      <w:proofErr w:type="spellEnd"/>
      <w:r w:rsidRPr="00B84301">
        <w:rPr>
          <w:rFonts w:cs="Times"/>
          <w:sz w:val="20"/>
          <w:szCs w:val="20"/>
        </w:rPr>
        <w:t xml:space="preserve"> “value chain,” which includes costs for case collection, tissue processing, storage management, sample distribution, and infrastru</w:t>
      </w:r>
      <w:r w:rsidRPr="00B84301">
        <w:rPr>
          <w:rFonts w:cs="Times"/>
          <w:sz w:val="20"/>
          <w:szCs w:val="20"/>
        </w:rPr>
        <w:t>c</w:t>
      </w:r>
      <w:r w:rsidRPr="00B84301">
        <w:rPr>
          <w:rFonts w:cs="Times"/>
          <w:sz w:val="20"/>
          <w:szCs w:val="20"/>
        </w:rPr>
        <w:t xml:space="preserve">ture and administration. By using these value chain factors, a Total Life Cycle Cost of Ownership (TLCO) model may be developed to estimate all costs arising from owning, operating, and maintaining a large centralized biobank. The TLCO approach allows for a better delineation of a </w:t>
      </w:r>
      <w:proofErr w:type="spellStart"/>
      <w:r w:rsidRPr="00B84301">
        <w:rPr>
          <w:rFonts w:cs="Times"/>
          <w:sz w:val="20"/>
          <w:szCs w:val="20"/>
        </w:rPr>
        <w:t>biobank’s</w:t>
      </w:r>
      <w:proofErr w:type="spellEnd"/>
      <w:r w:rsidRPr="00B84301">
        <w:rPr>
          <w:rFonts w:cs="Times"/>
          <w:sz w:val="20"/>
          <w:szCs w:val="20"/>
        </w:rPr>
        <w:t xml:space="preserve"> variable and fixed costs, data that will be needed to implement any cost recovery program. This article represents an overview of the efforts made recently by the National Cancer Institute’s Office of </w:t>
      </w:r>
      <w:proofErr w:type="spellStart"/>
      <w:r w:rsidRPr="00B84301">
        <w:rPr>
          <w:rFonts w:cs="Times"/>
          <w:sz w:val="20"/>
          <w:szCs w:val="20"/>
        </w:rPr>
        <w:t>Biorepositories</w:t>
      </w:r>
      <w:proofErr w:type="spellEnd"/>
      <w:r w:rsidRPr="00B84301">
        <w:rPr>
          <w:rFonts w:cs="Times"/>
          <w:sz w:val="20"/>
          <w:szCs w:val="20"/>
        </w:rPr>
        <w:t xml:space="preserve"> and </w:t>
      </w:r>
      <w:proofErr w:type="spellStart"/>
      <w:r w:rsidRPr="00B84301">
        <w:rPr>
          <w:rFonts w:cs="Times"/>
          <w:sz w:val="20"/>
          <w:szCs w:val="20"/>
        </w:rPr>
        <w:t>Biospecimen</w:t>
      </w:r>
      <w:proofErr w:type="spellEnd"/>
      <w:r w:rsidRPr="00B84301">
        <w:rPr>
          <w:rFonts w:cs="Times"/>
          <w:sz w:val="20"/>
          <w:szCs w:val="20"/>
        </w:rPr>
        <w:t xml:space="preserve"> Research as part of its effort to develop an appropriate cost model and cost recovery program for the cancer </w:t>
      </w:r>
      <w:proofErr w:type="spellStart"/>
      <w:r w:rsidRPr="00B84301">
        <w:rPr>
          <w:rFonts w:cs="Times"/>
          <w:sz w:val="20"/>
          <w:szCs w:val="20"/>
        </w:rPr>
        <w:t>HUman</w:t>
      </w:r>
      <w:proofErr w:type="spellEnd"/>
      <w:r w:rsidRPr="00B84301">
        <w:rPr>
          <w:rFonts w:cs="Times"/>
          <w:sz w:val="20"/>
          <w:szCs w:val="20"/>
        </w:rPr>
        <w:t xml:space="preserve"> Biobank (</w:t>
      </w:r>
      <w:proofErr w:type="spellStart"/>
      <w:r w:rsidRPr="00B84301">
        <w:rPr>
          <w:rFonts w:cs="Times"/>
          <w:sz w:val="20"/>
          <w:szCs w:val="20"/>
        </w:rPr>
        <w:t>c</w:t>
      </w:r>
      <w:r w:rsidRPr="00B84301">
        <w:rPr>
          <w:rFonts w:cs="Times"/>
          <w:sz w:val="20"/>
          <w:szCs w:val="20"/>
        </w:rPr>
        <w:t>a</w:t>
      </w:r>
      <w:r w:rsidRPr="00B84301">
        <w:rPr>
          <w:rFonts w:cs="Times"/>
          <w:sz w:val="20"/>
          <w:szCs w:val="20"/>
        </w:rPr>
        <w:t>HUB</w:t>
      </w:r>
      <w:proofErr w:type="spellEnd"/>
      <w:r w:rsidRPr="00B84301">
        <w:rPr>
          <w:rFonts w:cs="Times"/>
          <w:sz w:val="20"/>
          <w:szCs w:val="20"/>
        </w:rPr>
        <w:t xml:space="preserve">) initiative. All of these economic factors are discussed in terms of maximizing </w:t>
      </w:r>
      <w:proofErr w:type="spellStart"/>
      <w:r w:rsidRPr="00B84301">
        <w:rPr>
          <w:rFonts w:cs="Times"/>
          <w:sz w:val="20"/>
          <w:szCs w:val="20"/>
        </w:rPr>
        <w:t>caHUB’s</w:t>
      </w:r>
      <w:proofErr w:type="spellEnd"/>
      <w:r w:rsidRPr="00B84301">
        <w:rPr>
          <w:rFonts w:cs="Times"/>
          <w:sz w:val="20"/>
          <w:szCs w:val="20"/>
        </w:rPr>
        <w:t xml:space="preserve"> potential for long-term sustainability but have broad applicability to the wide range of biobanking initiatives that currently exist.”</w:t>
      </w:r>
      <w:r w:rsidR="00620907">
        <w:rPr>
          <w:rFonts w:cs="Times"/>
          <w:sz w:val="20"/>
          <w:szCs w:val="20"/>
        </w:rPr>
        <w:t xml:space="preserve"> (Vaught, et al., 2011, 24)</w:t>
      </w:r>
    </w:p>
    <w:p w14:paraId="0E5C5803" w14:textId="77777777" w:rsidR="000723C8" w:rsidRDefault="000723C8" w:rsidP="00B84301">
      <w:pPr>
        <w:widowControl w:val="0"/>
        <w:autoSpaceDE w:val="0"/>
        <w:autoSpaceDN w:val="0"/>
        <w:adjustRightInd w:val="0"/>
        <w:spacing w:after="0" w:line="240" w:lineRule="auto"/>
        <w:rPr>
          <w:rFonts w:cs="Times"/>
          <w:sz w:val="20"/>
          <w:szCs w:val="20"/>
        </w:rPr>
      </w:pPr>
    </w:p>
    <w:p w14:paraId="07A92803" w14:textId="5E8DC5F4" w:rsidR="000723C8" w:rsidRPr="002657BB" w:rsidRDefault="000723C8" w:rsidP="000723C8">
      <w:pPr>
        <w:widowControl w:val="0"/>
        <w:autoSpaceDE w:val="0"/>
        <w:autoSpaceDN w:val="0"/>
        <w:adjustRightInd w:val="0"/>
        <w:spacing w:after="0" w:line="240" w:lineRule="auto"/>
        <w:rPr>
          <w:rFonts w:cs="Times"/>
          <w:sz w:val="20"/>
          <w:szCs w:val="20"/>
        </w:rPr>
      </w:pPr>
      <w:r w:rsidRPr="002657BB">
        <w:rPr>
          <w:rFonts w:cs="Times"/>
          <w:sz w:val="20"/>
          <w:szCs w:val="20"/>
        </w:rPr>
        <w:t>“</w:t>
      </w:r>
      <w:r w:rsidRPr="002657BB">
        <w:rPr>
          <w:rFonts w:cs="Times"/>
          <w:color w:val="101010"/>
          <w:sz w:val="20"/>
          <w:szCs w:val="20"/>
        </w:rPr>
        <w:t>The current access policies and funding schemes of computing e-infrastructures represent a huge challenge for the sustainable growth of computing e-infrastructures and a serious jeopardy for investments made into these e-infrastructures. In order to be able to address these issues, the economics of computing e-infrastructures has to be understood thoroughly. As a first step in this direction, this paper conducts a set of computing e-infrastructure case studies and discusses the economic issues of different global computing e-infrastructure efforts. The analyses results show that the major shortcomings that need to be resolved are the insufficient involvement of the private sector in the development of computing e- infrastructures, the restric</w:t>
      </w:r>
      <w:r w:rsidRPr="002657BB">
        <w:rPr>
          <w:rFonts w:cs="Times"/>
          <w:color w:val="101010"/>
          <w:sz w:val="20"/>
          <w:szCs w:val="20"/>
        </w:rPr>
        <w:t>t</w:t>
      </w:r>
      <w:r w:rsidRPr="002657BB">
        <w:rPr>
          <w:rFonts w:cs="Times"/>
          <w:color w:val="101010"/>
          <w:sz w:val="20"/>
          <w:szCs w:val="20"/>
        </w:rPr>
        <w:t>ed user access to e-infrastructure resources, and the lack of sustainable funding. As a solution to these shor</w:t>
      </w:r>
      <w:r w:rsidRPr="002657BB">
        <w:rPr>
          <w:rFonts w:cs="Times"/>
          <w:color w:val="101010"/>
          <w:sz w:val="20"/>
          <w:szCs w:val="20"/>
        </w:rPr>
        <w:t>t</w:t>
      </w:r>
      <w:r w:rsidRPr="002657BB">
        <w:rPr>
          <w:rFonts w:cs="Times"/>
          <w:color w:val="101010"/>
          <w:sz w:val="20"/>
          <w:szCs w:val="20"/>
        </w:rPr>
        <w:t>comings, we propose a new funding and governing model for computing e-infrastructures. It follows a token-based market mechanism that allows a business-oriented operation of the computing e-infrastructure. We argue that this new model fosters the transition towards a sustainable computing e- infrastructure, being a</w:t>
      </w:r>
      <w:r w:rsidRPr="002657BB">
        <w:rPr>
          <w:rFonts w:cs="Times"/>
          <w:color w:val="101010"/>
          <w:sz w:val="20"/>
          <w:szCs w:val="20"/>
        </w:rPr>
        <w:t>n</w:t>
      </w:r>
      <w:r w:rsidRPr="002657BB">
        <w:rPr>
          <w:rFonts w:cs="Times"/>
          <w:color w:val="101010"/>
          <w:sz w:val="20"/>
          <w:szCs w:val="20"/>
        </w:rPr>
        <w:t>other requirement for successfully implementing the cloud computing vision. Our arguments are supported by an analytical analysis.</w:t>
      </w:r>
      <w:r w:rsidRPr="002657BB">
        <w:rPr>
          <w:rFonts w:cs="Times"/>
          <w:sz w:val="20"/>
          <w:szCs w:val="20"/>
        </w:rPr>
        <w:t>” (</w:t>
      </w:r>
      <w:proofErr w:type="spellStart"/>
      <w:r w:rsidR="00F93A35" w:rsidRPr="002657BB">
        <w:rPr>
          <w:sz w:val="20"/>
          <w:szCs w:val="20"/>
        </w:rPr>
        <w:t>Bany</w:t>
      </w:r>
      <w:proofErr w:type="spellEnd"/>
      <w:r w:rsidR="00F93A35" w:rsidRPr="002657BB">
        <w:rPr>
          <w:sz w:val="20"/>
          <w:szCs w:val="20"/>
        </w:rPr>
        <w:t xml:space="preserve"> Mohammed</w:t>
      </w:r>
      <w:r w:rsidR="00AB476B">
        <w:rPr>
          <w:sz w:val="20"/>
          <w:szCs w:val="20"/>
        </w:rPr>
        <w:t xml:space="preserve"> &amp; </w:t>
      </w:r>
      <w:proofErr w:type="spellStart"/>
      <w:r w:rsidR="00AB476B">
        <w:rPr>
          <w:sz w:val="20"/>
          <w:szCs w:val="20"/>
        </w:rPr>
        <w:t>Altmann</w:t>
      </w:r>
      <w:proofErr w:type="spellEnd"/>
      <w:r w:rsidR="00AB476B">
        <w:rPr>
          <w:sz w:val="20"/>
          <w:szCs w:val="20"/>
        </w:rPr>
        <w:t>,</w:t>
      </w:r>
      <w:r w:rsidR="00F93A35" w:rsidRPr="002657BB">
        <w:rPr>
          <w:sz w:val="20"/>
          <w:szCs w:val="20"/>
        </w:rPr>
        <w:t xml:space="preserve"> 2010, </w:t>
      </w:r>
      <w:r w:rsidR="002657BB" w:rsidRPr="002657BB">
        <w:rPr>
          <w:sz w:val="20"/>
          <w:szCs w:val="20"/>
        </w:rPr>
        <w:t>739)</w:t>
      </w:r>
    </w:p>
    <w:p w14:paraId="44BC8EDA" w14:textId="77777777" w:rsidR="00A47EB9" w:rsidRDefault="00A47EB9" w:rsidP="00233E59">
      <w:pPr>
        <w:widowControl w:val="0"/>
        <w:autoSpaceDE w:val="0"/>
        <w:autoSpaceDN w:val="0"/>
        <w:adjustRightInd w:val="0"/>
        <w:spacing w:after="0" w:line="240" w:lineRule="auto"/>
        <w:rPr>
          <w:rFonts w:cs="Times"/>
          <w:sz w:val="20"/>
          <w:szCs w:val="20"/>
        </w:rPr>
      </w:pPr>
    </w:p>
    <w:p w14:paraId="1FDFED4E" w14:textId="081E8BC9" w:rsidR="005E118A" w:rsidRPr="00EF2FF6" w:rsidRDefault="005E118A" w:rsidP="00EF2FF6">
      <w:pPr>
        <w:widowControl w:val="0"/>
        <w:autoSpaceDE w:val="0"/>
        <w:autoSpaceDN w:val="0"/>
        <w:adjustRightInd w:val="0"/>
        <w:spacing w:after="0" w:line="240" w:lineRule="auto"/>
        <w:rPr>
          <w:rFonts w:cs="Times"/>
          <w:sz w:val="20"/>
          <w:szCs w:val="20"/>
        </w:rPr>
      </w:pPr>
      <w:r w:rsidRPr="00EF2FF6">
        <w:rPr>
          <w:rFonts w:cs="Times"/>
          <w:sz w:val="20"/>
          <w:szCs w:val="20"/>
        </w:rPr>
        <w:t>“</w:t>
      </w:r>
      <w:r w:rsidRPr="00EF2FF6">
        <w:rPr>
          <w:rFonts w:cs="Calibri"/>
          <w:sz w:val="20"/>
          <w:szCs w:val="20"/>
        </w:rPr>
        <w:t>Funded by the European Commission under FP7 the OSIRIS project started on January 2010. The OSIRIS co</w:t>
      </w:r>
      <w:r w:rsidRPr="00EF2FF6">
        <w:rPr>
          <w:rFonts w:cs="Calibri"/>
          <w:sz w:val="20"/>
          <w:szCs w:val="20"/>
        </w:rPr>
        <w:t>n</w:t>
      </w:r>
      <w:r w:rsidRPr="00EF2FF6">
        <w:rPr>
          <w:rFonts w:cs="Calibri"/>
          <w:sz w:val="20"/>
          <w:szCs w:val="20"/>
        </w:rPr>
        <w:t>sortium is composed of participants involving several institutes, Public Authorities and National Champions across 13 EU Members States and Associated Countries and regions with direct links to existing and future ICT European research infrastructures (RIs), i.e., High Performance Computing, Grids, Networks, M</w:t>
      </w:r>
      <w:r w:rsidRPr="00EF2FF6">
        <w:rPr>
          <w:rFonts w:cs="Calibri"/>
          <w:sz w:val="20"/>
          <w:szCs w:val="20"/>
        </w:rPr>
        <w:t>i</w:t>
      </w:r>
      <w:r w:rsidRPr="00EF2FF6">
        <w:rPr>
          <w:rFonts w:cs="Calibri"/>
          <w:sz w:val="20"/>
          <w:szCs w:val="20"/>
        </w:rPr>
        <w:t>cro/</w:t>
      </w:r>
      <w:proofErr w:type="spellStart"/>
      <w:r w:rsidRPr="00EF2FF6">
        <w:rPr>
          <w:rFonts w:cs="Calibri"/>
          <w:sz w:val="20"/>
          <w:szCs w:val="20"/>
        </w:rPr>
        <w:t>Nanoelectronics</w:t>
      </w:r>
      <w:proofErr w:type="spellEnd"/>
      <w:r w:rsidRPr="00EF2FF6">
        <w:rPr>
          <w:rFonts w:cs="Calibri"/>
          <w:sz w:val="20"/>
          <w:szCs w:val="20"/>
        </w:rPr>
        <w:t xml:space="preserve"> and Future Internet. The main aim of the OSIRIS project is to build the platform, mech</w:t>
      </w:r>
      <w:r w:rsidRPr="00EF2FF6">
        <w:rPr>
          <w:rFonts w:cs="Calibri"/>
          <w:sz w:val="20"/>
          <w:szCs w:val="20"/>
        </w:rPr>
        <w:t>a</w:t>
      </w:r>
      <w:r w:rsidRPr="00EF2FF6">
        <w:rPr>
          <w:rFonts w:cs="Calibri"/>
          <w:sz w:val="20"/>
          <w:szCs w:val="20"/>
        </w:rPr>
        <w:t xml:space="preserve">nism and models required to secure the efficient involvement of Member States, Associated Countries and regions in developing cross border public-public partnerships and to establish a coordinated approach to future </w:t>
      </w:r>
      <w:proofErr w:type="gramStart"/>
      <w:r w:rsidRPr="00EF2FF6">
        <w:rPr>
          <w:rFonts w:cs="Calibri"/>
          <w:sz w:val="20"/>
          <w:szCs w:val="20"/>
        </w:rPr>
        <w:t>large scale</w:t>
      </w:r>
      <w:proofErr w:type="gramEnd"/>
      <w:r w:rsidRPr="00EF2FF6">
        <w:rPr>
          <w:rFonts w:cs="Calibri"/>
          <w:sz w:val="20"/>
          <w:szCs w:val="20"/>
        </w:rPr>
        <w:t xml:space="preserve"> investments in international European ICT RIs. For this reason, a thorough analysis of the business models of current international ICT RIs is required. This analysis will be presented in this report. </w:t>
      </w:r>
      <w:r w:rsidR="00787958">
        <w:rPr>
          <w:rFonts w:cs="Calibri"/>
          <w:sz w:val="20"/>
          <w:szCs w:val="20"/>
        </w:rPr>
        <w:t xml:space="preserve">(…) </w:t>
      </w:r>
      <w:r w:rsidRPr="00EF2FF6">
        <w:rPr>
          <w:rFonts w:cs="Calibri"/>
          <w:sz w:val="20"/>
          <w:szCs w:val="20"/>
        </w:rPr>
        <w:t>The aim of this report is to provide a source of information on the possible business models of how ICT RIs can be ma</w:t>
      </w:r>
      <w:r w:rsidRPr="00EF2FF6">
        <w:rPr>
          <w:rFonts w:cs="Calibri"/>
          <w:sz w:val="20"/>
          <w:szCs w:val="20"/>
        </w:rPr>
        <w:t>n</w:t>
      </w:r>
      <w:r w:rsidRPr="00EF2FF6">
        <w:rPr>
          <w:rFonts w:cs="Calibri"/>
          <w:sz w:val="20"/>
          <w:szCs w:val="20"/>
        </w:rPr>
        <w:t xml:space="preserve">aged and supported once a need for them has been identified and the RI has been founded. </w:t>
      </w:r>
    </w:p>
    <w:p w14:paraId="6C9F8F2B" w14:textId="77777777" w:rsidR="005E118A" w:rsidRPr="00EF2FF6" w:rsidRDefault="005E118A" w:rsidP="00EF2FF6">
      <w:pPr>
        <w:widowControl w:val="0"/>
        <w:autoSpaceDE w:val="0"/>
        <w:autoSpaceDN w:val="0"/>
        <w:adjustRightInd w:val="0"/>
        <w:spacing w:after="0" w:line="240" w:lineRule="auto"/>
        <w:rPr>
          <w:rFonts w:cs="Times"/>
          <w:sz w:val="20"/>
          <w:szCs w:val="20"/>
        </w:rPr>
      </w:pPr>
      <w:r w:rsidRPr="00EF2FF6">
        <w:rPr>
          <w:rFonts w:cs="Calibri"/>
          <w:sz w:val="20"/>
          <w:szCs w:val="20"/>
        </w:rPr>
        <w:t xml:space="preserve">Once the RI has been founded, there are four important aspects that describe the RI business model: </w:t>
      </w:r>
    </w:p>
    <w:p w14:paraId="4044498D" w14:textId="0552AA53" w:rsidR="005E118A" w:rsidRPr="00EF2FF6" w:rsidRDefault="00EF2FF6" w:rsidP="000F29DF">
      <w:pPr>
        <w:pStyle w:val="Listenabsatz"/>
        <w:widowControl w:val="0"/>
        <w:numPr>
          <w:ilvl w:val="1"/>
          <w:numId w:val="16"/>
        </w:numPr>
        <w:autoSpaceDE w:val="0"/>
        <w:autoSpaceDN w:val="0"/>
        <w:adjustRightInd w:val="0"/>
        <w:spacing w:after="0" w:line="240" w:lineRule="auto"/>
        <w:ind w:left="567" w:hanging="284"/>
        <w:rPr>
          <w:rFonts w:cs="Times"/>
          <w:sz w:val="20"/>
          <w:szCs w:val="20"/>
        </w:rPr>
      </w:pPr>
      <w:r>
        <w:rPr>
          <w:rFonts w:cs="Calibri"/>
          <w:sz w:val="20"/>
          <w:szCs w:val="20"/>
        </w:rPr>
        <w:lastRenderedPageBreak/>
        <w:t>Governance;</w:t>
      </w:r>
    </w:p>
    <w:p w14:paraId="16C6737A" w14:textId="4ABC85F5" w:rsidR="005E118A" w:rsidRPr="00EF2FF6" w:rsidRDefault="00EF2FF6" w:rsidP="000F29DF">
      <w:pPr>
        <w:pStyle w:val="Listenabsatz"/>
        <w:widowControl w:val="0"/>
        <w:numPr>
          <w:ilvl w:val="1"/>
          <w:numId w:val="16"/>
        </w:numPr>
        <w:autoSpaceDE w:val="0"/>
        <w:autoSpaceDN w:val="0"/>
        <w:adjustRightInd w:val="0"/>
        <w:spacing w:after="0" w:line="240" w:lineRule="auto"/>
        <w:ind w:left="567" w:hanging="284"/>
        <w:rPr>
          <w:rFonts w:cs="Times"/>
          <w:sz w:val="20"/>
          <w:szCs w:val="20"/>
        </w:rPr>
      </w:pPr>
      <w:r>
        <w:rPr>
          <w:rFonts w:cs="Calibri"/>
          <w:sz w:val="20"/>
          <w:szCs w:val="20"/>
        </w:rPr>
        <w:t>Sustainability;</w:t>
      </w:r>
    </w:p>
    <w:p w14:paraId="5648CD36" w14:textId="464B803A" w:rsidR="005E118A" w:rsidRPr="00EF2FF6" w:rsidRDefault="00EF2FF6" w:rsidP="000F29DF">
      <w:pPr>
        <w:pStyle w:val="Listenabsatz"/>
        <w:widowControl w:val="0"/>
        <w:numPr>
          <w:ilvl w:val="1"/>
          <w:numId w:val="16"/>
        </w:numPr>
        <w:autoSpaceDE w:val="0"/>
        <w:autoSpaceDN w:val="0"/>
        <w:adjustRightInd w:val="0"/>
        <w:spacing w:after="0" w:line="240" w:lineRule="auto"/>
        <w:ind w:left="567" w:hanging="284"/>
        <w:rPr>
          <w:rFonts w:cs="Times"/>
          <w:sz w:val="20"/>
          <w:szCs w:val="20"/>
        </w:rPr>
      </w:pPr>
      <w:r>
        <w:rPr>
          <w:rFonts w:cs="Calibri"/>
          <w:sz w:val="20"/>
          <w:szCs w:val="20"/>
        </w:rPr>
        <w:t>Access Policies;</w:t>
      </w:r>
    </w:p>
    <w:p w14:paraId="48EC9706" w14:textId="1579C4F9" w:rsidR="00EF2FF6" w:rsidRDefault="00EF2FF6" w:rsidP="000F29DF">
      <w:pPr>
        <w:pStyle w:val="Listenabsatz"/>
        <w:widowControl w:val="0"/>
        <w:numPr>
          <w:ilvl w:val="1"/>
          <w:numId w:val="16"/>
        </w:numPr>
        <w:autoSpaceDE w:val="0"/>
        <w:autoSpaceDN w:val="0"/>
        <w:adjustRightInd w:val="0"/>
        <w:spacing w:after="0" w:line="240" w:lineRule="auto"/>
        <w:ind w:left="567" w:hanging="284"/>
        <w:rPr>
          <w:rFonts w:cs="Times"/>
          <w:sz w:val="20"/>
          <w:szCs w:val="20"/>
        </w:rPr>
      </w:pPr>
      <w:r>
        <w:rPr>
          <w:rFonts w:cs="Calibri"/>
          <w:sz w:val="20"/>
          <w:szCs w:val="20"/>
        </w:rPr>
        <w:t>Operational principles.</w:t>
      </w:r>
    </w:p>
    <w:p w14:paraId="2F3E3233" w14:textId="4CD03083" w:rsidR="005E118A" w:rsidRDefault="005E118A" w:rsidP="00023E00">
      <w:pPr>
        <w:widowControl w:val="0"/>
        <w:tabs>
          <w:tab w:val="left" w:pos="220"/>
          <w:tab w:val="left" w:pos="720"/>
        </w:tabs>
        <w:autoSpaceDE w:val="0"/>
        <w:autoSpaceDN w:val="0"/>
        <w:adjustRightInd w:val="0"/>
        <w:spacing w:after="0" w:line="240" w:lineRule="auto"/>
        <w:rPr>
          <w:rFonts w:cs="Times"/>
          <w:sz w:val="20"/>
          <w:szCs w:val="20"/>
        </w:rPr>
      </w:pPr>
      <w:r w:rsidRPr="00EF2FF6">
        <w:rPr>
          <w:rFonts w:cs="Calibri"/>
          <w:sz w:val="20"/>
          <w:szCs w:val="20"/>
        </w:rPr>
        <w:t>These aspects are described in detail in this document. Governance describes the control of the RI, in other words who determines the direction the RI will take in the future. Sustainability describes the future of the RI and how it will continue to operate. Whereas the arguments prior to the founding define whether an RI will be created, sustainability defines whether the RI will continue to exist. Access policies describe the interactions of the international ICT with one of its most important stakeholders: namely its users. Operational principles d</w:t>
      </w:r>
      <w:r w:rsidRPr="00EF2FF6">
        <w:rPr>
          <w:rFonts w:cs="Calibri"/>
          <w:sz w:val="20"/>
          <w:szCs w:val="20"/>
        </w:rPr>
        <w:t>e</w:t>
      </w:r>
      <w:r w:rsidRPr="00EF2FF6">
        <w:rPr>
          <w:rFonts w:cs="Calibri"/>
          <w:sz w:val="20"/>
          <w:szCs w:val="20"/>
        </w:rPr>
        <w:t>scribe how the sustainability, the governance, and the access policies are imple</w:t>
      </w:r>
      <w:r w:rsidR="00023E00">
        <w:rPr>
          <w:rFonts w:cs="Calibri"/>
          <w:sz w:val="20"/>
          <w:szCs w:val="20"/>
        </w:rPr>
        <w:t>mented at an operational level.</w:t>
      </w:r>
      <w:r>
        <w:rPr>
          <w:rFonts w:cs="Times"/>
          <w:sz w:val="20"/>
          <w:szCs w:val="20"/>
        </w:rPr>
        <w:t>”</w:t>
      </w:r>
      <w:r w:rsidR="00105AE6">
        <w:rPr>
          <w:rFonts w:cs="Times"/>
          <w:sz w:val="20"/>
          <w:szCs w:val="20"/>
        </w:rPr>
        <w:t xml:space="preserve"> (OSIRIS, 2012, 3)</w:t>
      </w:r>
    </w:p>
    <w:p w14:paraId="10C12D52" w14:textId="77777777" w:rsidR="00A47EB9" w:rsidRDefault="00A47EB9" w:rsidP="00233E59">
      <w:pPr>
        <w:widowControl w:val="0"/>
        <w:autoSpaceDE w:val="0"/>
        <w:autoSpaceDN w:val="0"/>
        <w:adjustRightInd w:val="0"/>
        <w:spacing w:after="0" w:line="240" w:lineRule="auto"/>
        <w:rPr>
          <w:rFonts w:cs="Times"/>
          <w:sz w:val="20"/>
          <w:szCs w:val="20"/>
        </w:rPr>
      </w:pPr>
    </w:p>
    <w:p w14:paraId="0E1AC35A" w14:textId="77777777" w:rsidR="00C25731" w:rsidRPr="00C25731" w:rsidRDefault="00C25731" w:rsidP="00C25731">
      <w:pPr>
        <w:widowControl w:val="0"/>
        <w:autoSpaceDE w:val="0"/>
        <w:autoSpaceDN w:val="0"/>
        <w:adjustRightInd w:val="0"/>
        <w:spacing w:after="0" w:line="240" w:lineRule="auto"/>
        <w:rPr>
          <w:rFonts w:cs="Times"/>
          <w:sz w:val="20"/>
          <w:szCs w:val="20"/>
        </w:rPr>
      </w:pPr>
      <w:r w:rsidRPr="00C25731">
        <w:rPr>
          <w:rFonts w:cs="Times"/>
          <w:sz w:val="20"/>
          <w:szCs w:val="20"/>
        </w:rPr>
        <w:t>“</w:t>
      </w:r>
      <w:r w:rsidRPr="00C25731">
        <w:rPr>
          <w:rFonts w:cs="Calibri"/>
          <w:sz w:val="20"/>
          <w:szCs w:val="20"/>
        </w:rPr>
        <w:t xml:space="preserve">Some key insights and general recommendations for financing a biobank RI include; </w:t>
      </w:r>
    </w:p>
    <w:p w14:paraId="33C50F7D" w14:textId="0E072B0F" w:rsidR="00C25731" w:rsidRPr="00C25731" w:rsidRDefault="00C25731" w:rsidP="00C25731">
      <w:pPr>
        <w:widowControl w:val="0"/>
        <w:autoSpaceDE w:val="0"/>
        <w:autoSpaceDN w:val="0"/>
        <w:adjustRightInd w:val="0"/>
        <w:spacing w:after="0" w:line="240" w:lineRule="auto"/>
        <w:ind w:left="567" w:hanging="207"/>
        <w:rPr>
          <w:rFonts w:cs="Times"/>
          <w:sz w:val="20"/>
          <w:szCs w:val="20"/>
        </w:rPr>
      </w:pPr>
      <w:r w:rsidRPr="00C25731">
        <w:rPr>
          <w:rFonts w:cs="Calibri"/>
          <w:sz w:val="20"/>
          <w:szCs w:val="20"/>
        </w:rPr>
        <w:t xml:space="preserve">1) The population of biobanks in the UK is extremely diverse, reflecting differences in purpose, location and ownership; size, scale and scope; as well as financing and access arrangements. The cases presented in this report illustrate that it is not possible (or desirable) to apply a standard cost model across such a diverse population. </w:t>
      </w:r>
      <w:r w:rsidRPr="00C25731">
        <w:rPr>
          <w:rFonts w:cs="Times"/>
          <w:sz w:val="20"/>
          <w:szCs w:val="20"/>
        </w:rPr>
        <w:t> </w:t>
      </w:r>
    </w:p>
    <w:p w14:paraId="29F0064D" w14:textId="2B059CE4" w:rsidR="00C25731" w:rsidRPr="00C25731" w:rsidRDefault="00C25731" w:rsidP="00C25731">
      <w:pPr>
        <w:widowControl w:val="0"/>
        <w:autoSpaceDE w:val="0"/>
        <w:autoSpaceDN w:val="0"/>
        <w:adjustRightInd w:val="0"/>
        <w:spacing w:after="0" w:line="240" w:lineRule="auto"/>
        <w:ind w:left="567" w:hanging="207"/>
        <w:rPr>
          <w:rFonts w:cs="Times"/>
          <w:sz w:val="20"/>
          <w:szCs w:val="20"/>
        </w:rPr>
      </w:pPr>
      <w:r w:rsidRPr="00C25731">
        <w:rPr>
          <w:rFonts w:cs="Calibri"/>
          <w:sz w:val="20"/>
          <w:szCs w:val="20"/>
        </w:rPr>
        <w:t>2) Coordination across this diverse population requires dedicated resources. This could take a variety of forms. A coordination centre may be required and this should be financed centrally by public funds, po</w:t>
      </w:r>
      <w:r w:rsidRPr="00C25731">
        <w:rPr>
          <w:rFonts w:cs="Calibri"/>
          <w:sz w:val="20"/>
          <w:szCs w:val="20"/>
        </w:rPr>
        <w:t>s</w:t>
      </w:r>
      <w:r w:rsidRPr="00C25731">
        <w:rPr>
          <w:rFonts w:cs="Calibri"/>
          <w:sz w:val="20"/>
          <w:szCs w:val="20"/>
        </w:rPr>
        <w:t>sibly supplemented by industrial funding. Such a scheme requires careful consideration to allow fair a</w:t>
      </w:r>
      <w:r w:rsidRPr="00C25731">
        <w:rPr>
          <w:rFonts w:cs="Calibri"/>
          <w:sz w:val="20"/>
          <w:szCs w:val="20"/>
        </w:rPr>
        <w:t>c</w:t>
      </w:r>
      <w:r w:rsidRPr="00C25731">
        <w:rPr>
          <w:rFonts w:cs="Calibri"/>
          <w:sz w:val="20"/>
          <w:szCs w:val="20"/>
        </w:rPr>
        <w:t>cess by all users. Central funding is necessary to support the development and maintenance of a natio</w:t>
      </w:r>
      <w:r w:rsidRPr="00C25731">
        <w:rPr>
          <w:rFonts w:cs="Calibri"/>
          <w:sz w:val="20"/>
          <w:szCs w:val="20"/>
        </w:rPr>
        <w:t>n</w:t>
      </w:r>
      <w:r w:rsidRPr="00C25731">
        <w:rPr>
          <w:rFonts w:cs="Calibri"/>
          <w:sz w:val="20"/>
          <w:szCs w:val="20"/>
        </w:rPr>
        <w:t xml:space="preserve">al searchable portal for HBS </w:t>
      </w:r>
      <w:r w:rsidR="00637FA3">
        <w:rPr>
          <w:rFonts w:cs="Calibri"/>
          <w:sz w:val="20"/>
          <w:szCs w:val="20"/>
        </w:rPr>
        <w:t xml:space="preserve">[human biological samples] </w:t>
      </w:r>
      <w:r w:rsidRPr="00C25731">
        <w:rPr>
          <w:rFonts w:cs="Calibri"/>
          <w:sz w:val="20"/>
          <w:szCs w:val="20"/>
        </w:rPr>
        <w:t xml:space="preserve">and drive quality standards across the biobank population. </w:t>
      </w:r>
      <w:r w:rsidRPr="00C25731">
        <w:rPr>
          <w:rFonts w:cs="Times"/>
          <w:sz w:val="20"/>
          <w:szCs w:val="20"/>
        </w:rPr>
        <w:t> </w:t>
      </w:r>
    </w:p>
    <w:p w14:paraId="782E9448" w14:textId="0CCCED0C" w:rsidR="00C25731" w:rsidRPr="00C25731" w:rsidRDefault="00C25731" w:rsidP="00C25731">
      <w:pPr>
        <w:widowControl w:val="0"/>
        <w:autoSpaceDE w:val="0"/>
        <w:autoSpaceDN w:val="0"/>
        <w:adjustRightInd w:val="0"/>
        <w:spacing w:after="0" w:line="240" w:lineRule="auto"/>
        <w:ind w:left="567" w:hanging="207"/>
        <w:rPr>
          <w:rFonts w:cs="Times"/>
          <w:sz w:val="20"/>
          <w:szCs w:val="20"/>
        </w:rPr>
      </w:pPr>
      <w:r w:rsidRPr="00C25731">
        <w:rPr>
          <w:rFonts w:cs="Calibri"/>
          <w:sz w:val="20"/>
          <w:szCs w:val="20"/>
        </w:rPr>
        <w:t>3) The majority of the existing financial arrangements do not support the long-term maintenance and pr</w:t>
      </w:r>
      <w:r w:rsidRPr="00C25731">
        <w:rPr>
          <w:rFonts w:cs="Calibri"/>
          <w:sz w:val="20"/>
          <w:szCs w:val="20"/>
        </w:rPr>
        <w:t>o</w:t>
      </w:r>
      <w:r w:rsidRPr="00C25731">
        <w:rPr>
          <w:rFonts w:cs="Calibri"/>
          <w:sz w:val="20"/>
          <w:szCs w:val="20"/>
        </w:rPr>
        <w:t xml:space="preserve">vision of high quality HBS. This report recommends that; a) HBS acquisition should continue to be </w:t>
      </w:r>
      <w:proofErr w:type="spellStart"/>
      <w:r w:rsidRPr="00C25731">
        <w:rPr>
          <w:rFonts w:cs="Calibri"/>
          <w:sz w:val="20"/>
          <w:szCs w:val="20"/>
        </w:rPr>
        <w:t>costed</w:t>
      </w:r>
      <w:proofErr w:type="spellEnd"/>
      <w:r w:rsidRPr="00C25731">
        <w:rPr>
          <w:rFonts w:cs="Calibri"/>
          <w:sz w:val="20"/>
          <w:szCs w:val="20"/>
        </w:rPr>
        <w:t xml:space="preserve"> into projects and project proposals to ensure biobanking is driven by research needs; b) core biobanking activities and facilities should be supported by central public funds to overcome discontinuity of funding problems and enable investment in best practice. These core costs could be distributed directly to the host public institutions; and c) the marginal costs associated with accessing samples could be paid for by the user. </w:t>
      </w:r>
      <w:r w:rsidRPr="00C25731">
        <w:rPr>
          <w:rFonts w:cs="Times"/>
          <w:sz w:val="20"/>
          <w:szCs w:val="20"/>
        </w:rPr>
        <w:t> </w:t>
      </w:r>
    </w:p>
    <w:p w14:paraId="3C70E7E7" w14:textId="4E0E0EE8" w:rsidR="00AC538D" w:rsidRPr="00C25731" w:rsidRDefault="00C25731" w:rsidP="00C25731">
      <w:pPr>
        <w:widowControl w:val="0"/>
        <w:autoSpaceDE w:val="0"/>
        <w:autoSpaceDN w:val="0"/>
        <w:adjustRightInd w:val="0"/>
        <w:spacing w:after="0" w:line="240" w:lineRule="auto"/>
        <w:rPr>
          <w:rFonts w:cs="Times"/>
          <w:sz w:val="20"/>
          <w:szCs w:val="20"/>
        </w:rPr>
      </w:pPr>
      <w:r w:rsidRPr="00C25731">
        <w:rPr>
          <w:rFonts w:cs="Calibri"/>
          <w:sz w:val="20"/>
          <w:szCs w:val="20"/>
        </w:rPr>
        <w:t>These financial arrangements, incorporating the adoption of standards and the enrichment of the annotated data associated with HBS by users, will support the creation of a sustainable distributed biobanking RI nece</w:t>
      </w:r>
      <w:r w:rsidRPr="00C25731">
        <w:rPr>
          <w:rFonts w:cs="Calibri"/>
          <w:sz w:val="20"/>
          <w:szCs w:val="20"/>
        </w:rPr>
        <w:t>s</w:t>
      </w:r>
      <w:r w:rsidRPr="00C25731">
        <w:rPr>
          <w:rFonts w:cs="Calibri"/>
          <w:sz w:val="20"/>
          <w:szCs w:val="20"/>
        </w:rPr>
        <w:t>sary for the delivery of stratified medicines, and the realisation of the associated societal and economic ben</w:t>
      </w:r>
      <w:r w:rsidRPr="00C25731">
        <w:rPr>
          <w:rFonts w:cs="Calibri"/>
          <w:sz w:val="20"/>
          <w:szCs w:val="20"/>
        </w:rPr>
        <w:t>e</w:t>
      </w:r>
      <w:r w:rsidRPr="00C25731">
        <w:rPr>
          <w:rFonts w:cs="Calibri"/>
          <w:sz w:val="20"/>
          <w:szCs w:val="20"/>
        </w:rPr>
        <w:t xml:space="preserve">fits. The opportunity costs to the UK of </w:t>
      </w:r>
      <w:r w:rsidRPr="00C25731">
        <w:rPr>
          <w:rFonts w:cs="Times"/>
          <w:sz w:val="20"/>
          <w:szCs w:val="20"/>
        </w:rPr>
        <w:t xml:space="preserve">not </w:t>
      </w:r>
      <w:r w:rsidRPr="00C25731">
        <w:rPr>
          <w:rFonts w:cs="Calibri"/>
          <w:sz w:val="20"/>
          <w:szCs w:val="20"/>
        </w:rPr>
        <w:t>investing in a comprehensive biob</w:t>
      </w:r>
      <w:r>
        <w:rPr>
          <w:rFonts w:cs="Calibri"/>
          <w:sz w:val="20"/>
          <w:szCs w:val="20"/>
        </w:rPr>
        <w:t>anking RI could be significant.</w:t>
      </w:r>
      <w:r w:rsidRPr="00C25731">
        <w:rPr>
          <w:rFonts w:cs="Times"/>
          <w:sz w:val="20"/>
          <w:szCs w:val="20"/>
        </w:rPr>
        <w:t>”</w:t>
      </w:r>
      <w:r>
        <w:rPr>
          <w:rFonts w:cs="Times"/>
          <w:sz w:val="20"/>
          <w:szCs w:val="20"/>
        </w:rPr>
        <w:t xml:space="preserve"> (Lee, </w:t>
      </w:r>
      <w:r w:rsidR="00CC4A95">
        <w:rPr>
          <w:rFonts w:cs="Times"/>
          <w:sz w:val="20"/>
          <w:szCs w:val="20"/>
        </w:rPr>
        <w:t>2013, 6)</w:t>
      </w:r>
    </w:p>
    <w:p w14:paraId="2D1F1414" w14:textId="77777777" w:rsidR="00C25731" w:rsidRDefault="00C25731" w:rsidP="00233E59">
      <w:pPr>
        <w:widowControl w:val="0"/>
        <w:autoSpaceDE w:val="0"/>
        <w:autoSpaceDN w:val="0"/>
        <w:adjustRightInd w:val="0"/>
        <w:spacing w:after="0" w:line="240" w:lineRule="auto"/>
        <w:rPr>
          <w:rFonts w:cs="Times"/>
          <w:sz w:val="20"/>
          <w:szCs w:val="20"/>
        </w:rPr>
      </w:pPr>
    </w:p>
    <w:p w14:paraId="224077BE" w14:textId="14493F53" w:rsidR="00827287" w:rsidRPr="00827287" w:rsidRDefault="000A44C7" w:rsidP="00827287">
      <w:pPr>
        <w:widowControl w:val="0"/>
        <w:autoSpaceDE w:val="0"/>
        <w:autoSpaceDN w:val="0"/>
        <w:adjustRightInd w:val="0"/>
        <w:spacing w:after="0" w:line="240" w:lineRule="auto"/>
        <w:rPr>
          <w:rFonts w:cs="Times"/>
          <w:sz w:val="20"/>
          <w:szCs w:val="20"/>
        </w:rPr>
      </w:pPr>
      <w:r w:rsidRPr="00827287">
        <w:rPr>
          <w:rFonts w:cs="Times"/>
          <w:sz w:val="20"/>
          <w:szCs w:val="20"/>
        </w:rPr>
        <w:t>“</w:t>
      </w:r>
      <w:r w:rsidRPr="00827287">
        <w:rPr>
          <w:rFonts w:cs="Calibri"/>
          <w:sz w:val="20"/>
          <w:szCs w:val="20"/>
        </w:rPr>
        <w:t>The Research Infrastructure Resource Model (RIR model) presented in this document, provides a method to declare costs for use of research infrastructure based on the full costs generated by the activity. The model has been developed to ensure that state of the art laboratories and scientific equipment can be made available for research and education, and so that the price for use of a RIR can be calculated using a transparent and rel</w:t>
      </w:r>
      <w:r w:rsidRPr="00827287">
        <w:rPr>
          <w:rFonts w:cs="Calibri"/>
          <w:sz w:val="20"/>
          <w:szCs w:val="20"/>
        </w:rPr>
        <w:t>a</w:t>
      </w:r>
      <w:r w:rsidRPr="00827287">
        <w:rPr>
          <w:rFonts w:cs="Calibri"/>
          <w:sz w:val="20"/>
          <w:szCs w:val="20"/>
        </w:rPr>
        <w:t>tively simple method. Furthermore</w:t>
      </w:r>
      <w:proofErr w:type="gramStart"/>
      <w:r w:rsidRPr="00827287">
        <w:rPr>
          <w:rFonts w:cs="Calibri"/>
          <w:sz w:val="20"/>
          <w:szCs w:val="20"/>
        </w:rPr>
        <w:t>;</w:t>
      </w:r>
      <w:proofErr w:type="gramEnd"/>
      <w:r w:rsidRPr="00827287">
        <w:rPr>
          <w:rFonts w:cs="Calibri"/>
          <w:sz w:val="20"/>
          <w:szCs w:val="20"/>
        </w:rPr>
        <w:t xml:space="preserve"> the model should contribute to maximisation of the primary operation of the laborato</w:t>
      </w:r>
      <w:r w:rsidR="00827287">
        <w:rPr>
          <w:rFonts w:cs="Calibri"/>
          <w:sz w:val="20"/>
          <w:szCs w:val="20"/>
        </w:rPr>
        <w:t>ries while keeping the transac</w:t>
      </w:r>
      <w:r w:rsidRPr="00827287">
        <w:rPr>
          <w:rFonts w:cs="Calibri"/>
          <w:sz w:val="20"/>
          <w:szCs w:val="20"/>
        </w:rPr>
        <w:t xml:space="preserve">tion costs as low as possible. </w:t>
      </w:r>
      <w:r w:rsidR="00961A38" w:rsidRPr="00827287">
        <w:rPr>
          <w:rFonts w:cs="Calibri"/>
          <w:sz w:val="20"/>
          <w:szCs w:val="20"/>
        </w:rPr>
        <w:t xml:space="preserve">The motivation for introducing RIRs is found in changes in the funding schemes and the focus on direct costs. The RIR model presented here has been developed in accordance with the guidelines from The Research Council of Norway. </w:t>
      </w:r>
      <w:r w:rsidR="00827287" w:rsidRPr="00827287">
        <w:rPr>
          <w:rFonts w:cs="Calibri"/>
          <w:sz w:val="20"/>
          <w:szCs w:val="20"/>
        </w:rPr>
        <w:t xml:space="preserve">(...) </w:t>
      </w:r>
      <w:r w:rsidR="00827287" w:rsidRPr="00827287">
        <w:rPr>
          <w:rFonts w:cs="Times"/>
          <w:sz w:val="20"/>
          <w:szCs w:val="20"/>
        </w:rPr>
        <w:t xml:space="preserve">The costs </w:t>
      </w:r>
      <w:r w:rsidR="00827287" w:rsidRPr="00827287">
        <w:rPr>
          <w:rFonts w:cs="Calibri"/>
          <w:sz w:val="20"/>
          <w:szCs w:val="20"/>
        </w:rPr>
        <w:t>related to a Research Infrastructure Res</w:t>
      </w:r>
      <w:r w:rsidR="00827287">
        <w:rPr>
          <w:rFonts w:cs="Calibri"/>
          <w:sz w:val="20"/>
          <w:szCs w:val="20"/>
        </w:rPr>
        <w:t>ource consist of four elements:</w:t>
      </w:r>
    </w:p>
    <w:p w14:paraId="1E3E8878" w14:textId="58BD3773" w:rsidR="00827287" w:rsidRPr="00827287" w:rsidRDefault="00827287" w:rsidP="000F29DF">
      <w:pPr>
        <w:widowControl w:val="0"/>
        <w:numPr>
          <w:ilvl w:val="0"/>
          <w:numId w:val="17"/>
        </w:numPr>
        <w:tabs>
          <w:tab w:val="left" w:pos="220"/>
          <w:tab w:val="left" w:pos="720"/>
        </w:tabs>
        <w:autoSpaceDE w:val="0"/>
        <w:autoSpaceDN w:val="0"/>
        <w:adjustRightInd w:val="0"/>
        <w:spacing w:after="0" w:line="240" w:lineRule="auto"/>
        <w:rPr>
          <w:rFonts w:cs="Calibri"/>
          <w:sz w:val="20"/>
          <w:szCs w:val="20"/>
        </w:rPr>
      </w:pPr>
      <w:r w:rsidRPr="00827287">
        <w:rPr>
          <w:rFonts w:cs="Calibri"/>
          <w:sz w:val="20"/>
          <w:szCs w:val="20"/>
        </w:rPr>
        <w:t>Space – rental and building related costs for research space such as la</w:t>
      </w:r>
      <w:r>
        <w:rPr>
          <w:rFonts w:cs="Calibri"/>
          <w:sz w:val="20"/>
          <w:szCs w:val="20"/>
        </w:rPr>
        <w:t>boratories and workshops</w:t>
      </w:r>
    </w:p>
    <w:p w14:paraId="60063244" w14:textId="75C4202B" w:rsidR="00827287" w:rsidRPr="00827287" w:rsidRDefault="00827287" w:rsidP="000F29DF">
      <w:pPr>
        <w:widowControl w:val="0"/>
        <w:numPr>
          <w:ilvl w:val="0"/>
          <w:numId w:val="17"/>
        </w:numPr>
        <w:tabs>
          <w:tab w:val="left" w:pos="220"/>
          <w:tab w:val="left" w:pos="720"/>
        </w:tabs>
        <w:autoSpaceDE w:val="0"/>
        <w:autoSpaceDN w:val="0"/>
        <w:adjustRightInd w:val="0"/>
        <w:spacing w:after="0" w:line="240" w:lineRule="auto"/>
        <w:rPr>
          <w:rFonts w:cs="Calibri"/>
          <w:sz w:val="20"/>
          <w:szCs w:val="20"/>
        </w:rPr>
      </w:pPr>
      <w:r w:rsidRPr="00827287">
        <w:rPr>
          <w:rFonts w:cs="Calibri"/>
          <w:sz w:val="20"/>
          <w:szCs w:val="20"/>
        </w:rPr>
        <w:t xml:space="preserve">Scientific </w:t>
      </w:r>
      <w:r>
        <w:rPr>
          <w:rFonts w:cs="Calibri"/>
          <w:sz w:val="20"/>
          <w:szCs w:val="20"/>
        </w:rPr>
        <w:t>equipment – depreciation costs</w:t>
      </w:r>
    </w:p>
    <w:p w14:paraId="68C35043" w14:textId="5397BA37" w:rsidR="00827287" w:rsidRPr="00827287" w:rsidRDefault="00827287" w:rsidP="000F29DF">
      <w:pPr>
        <w:widowControl w:val="0"/>
        <w:numPr>
          <w:ilvl w:val="0"/>
          <w:numId w:val="17"/>
        </w:numPr>
        <w:tabs>
          <w:tab w:val="left" w:pos="220"/>
          <w:tab w:val="left" w:pos="720"/>
        </w:tabs>
        <w:autoSpaceDE w:val="0"/>
        <w:autoSpaceDN w:val="0"/>
        <w:adjustRightInd w:val="0"/>
        <w:spacing w:after="0" w:line="240" w:lineRule="auto"/>
        <w:rPr>
          <w:rFonts w:cs="Calibri"/>
          <w:sz w:val="20"/>
          <w:szCs w:val="20"/>
        </w:rPr>
      </w:pPr>
      <w:r w:rsidRPr="00827287">
        <w:rPr>
          <w:rFonts w:cs="Calibri"/>
          <w:sz w:val="20"/>
          <w:szCs w:val="20"/>
        </w:rPr>
        <w:t>Common operating consumables and service-/maintenance contracts, i.</w:t>
      </w:r>
      <w:r>
        <w:rPr>
          <w:rFonts w:cs="Calibri"/>
          <w:sz w:val="20"/>
          <w:szCs w:val="20"/>
        </w:rPr>
        <w:t>e. shared costs for all  users</w:t>
      </w:r>
    </w:p>
    <w:p w14:paraId="3CE49077" w14:textId="773AC075" w:rsidR="000A44C7" w:rsidRPr="00EF0E41" w:rsidRDefault="00827287" w:rsidP="000F29DF">
      <w:pPr>
        <w:widowControl w:val="0"/>
        <w:numPr>
          <w:ilvl w:val="0"/>
          <w:numId w:val="17"/>
        </w:numPr>
        <w:tabs>
          <w:tab w:val="left" w:pos="220"/>
          <w:tab w:val="left" w:pos="720"/>
        </w:tabs>
        <w:autoSpaceDE w:val="0"/>
        <w:autoSpaceDN w:val="0"/>
        <w:adjustRightInd w:val="0"/>
        <w:spacing w:after="0" w:line="240" w:lineRule="auto"/>
        <w:rPr>
          <w:rFonts w:cs="Calibri"/>
          <w:sz w:val="20"/>
          <w:szCs w:val="20"/>
        </w:rPr>
      </w:pPr>
      <w:r w:rsidRPr="00827287">
        <w:rPr>
          <w:rFonts w:cs="Calibri"/>
          <w:sz w:val="20"/>
          <w:szCs w:val="20"/>
        </w:rPr>
        <w:t>Technical support – personnel costs for the technical support staff nee</w:t>
      </w:r>
      <w:r>
        <w:rPr>
          <w:rFonts w:cs="Calibri"/>
          <w:sz w:val="20"/>
          <w:szCs w:val="20"/>
        </w:rPr>
        <w:t>ded to sustain the opera</w:t>
      </w:r>
      <w:r w:rsidRPr="00827287">
        <w:rPr>
          <w:rFonts w:cs="Calibri"/>
          <w:sz w:val="20"/>
          <w:szCs w:val="20"/>
        </w:rPr>
        <w:t xml:space="preserve">tional </w:t>
      </w:r>
      <w:r w:rsidRPr="00EF0E41">
        <w:rPr>
          <w:rFonts w:cs="Calibri"/>
          <w:sz w:val="20"/>
          <w:szCs w:val="20"/>
        </w:rPr>
        <w:t>infrastructure.</w:t>
      </w:r>
      <w:r w:rsidR="000A44C7" w:rsidRPr="00EF0E41">
        <w:rPr>
          <w:rFonts w:cs="Times"/>
          <w:sz w:val="20"/>
          <w:szCs w:val="20"/>
        </w:rPr>
        <w:t>”</w:t>
      </w:r>
      <w:r w:rsidRPr="00EF0E41">
        <w:rPr>
          <w:rFonts w:cs="Times"/>
          <w:sz w:val="20"/>
          <w:szCs w:val="20"/>
        </w:rPr>
        <w:t xml:space="preserve"> (</w:t>
      </w:r>
      <w:r w:rsidR="00EF0E41" w:rsidRPr="00EF0E41">
        <w:rPr>
          <w:sz w:val="20"/>
          <w:szCs w:val="20"/>
        </w:rPr>
        <w:t>Norwegian Association of Higher Education Institutions</w:t>
      </w:r>
      <w:r w:rsidR="00F860F8">
        <w:rPr>
          <w:sz w:val="20"/>
          <w:szCs w:val="20"/>
        </w:rPr>
        <w:t>,</w:t>
      </w:r>
      <w:r w:rsidR="00EF0E41" w:rsidRPr="00EF0E41">
        <w:rPr>
          <w:sz w:val="20"/>
          <w:szCs w:val="20"/>
        </w:rPr>
        <w:t xml:space="preserve"> 2014</w:t>
      </w:r>
      <w:r w:rsidR="00F674D0" w:rsidRPr="00EF0E41">
        <w:rPr>
          <w:rFonts w:cs="Times"/>
          <w:sz w:val="20"/>
          <w:szCs w:val="20"/>
        </w:rPr>
        <w:t>, 2014, 1)</w:t>
      </w:r>
    </w:p>
    <w:p w14:paraId="1C520295" w14:textId="77777777" w:rsidR="00C25731" w:rsidRDefault="00C25731" w:rsidP="00233E59">
      <w:pPr>
        <w:widowControl w:val="0"/>
        <w:autoSpaceDE w:val="0"/>
        <w:autoSpaceDN w:val="0"/>
        <w:adjustRightInd w:val="0"/>
        <w:spacing w:after="0" w:line="240" w:lineRule="auto"/>
        <w:rPr>
          <w:rFonts w:cs="Times"/>
          <w:sz w:val="20"/>
          <w:szCs w:val="20"/>
        </w:rPr>
      </w:pPr>
    </w:p>
    <w:p w14:paraId="18A35CE2" w14:textId="6E711809" w:rsidR="0061312F" w:rsidRPr="00B46972" w:rsidRDefault="0061312F" w:rsidP="00B46972">
      <w:pPr>
        <w:widowControl w:val="0"/>
        <w:autoSpaceDE w:val="0"/>
        <w:autoSpaceDN w:val="0"/>
        <w:adjustRightInd w:val="0"/>
        <w:spacing w:after="0" w:line="240" w:lineRule="auto"/>
        <w:rPr>
          <w:rFonts w:cs="Times"/>
          <w:sz w:val="20"/>
          <w:szCs w:val="20"/>
        </w:rPr>
      </w:pPr>
      <w:r w:rsidRPr="00B46972">
        <w:rPr>
          <w:rFonts w:cs="Times"/>
          <w:sz w:val="20"/>
          <w:szCs w:val="20"/>
        </w:rPr>
        <w:t>“The soundest and most precise way of considering these costs would in our view be to allow full cost accoun</w:t>
      </w:r>
      <w:r w:rsidRPr="00B46972">
        <w:rPr>
          <w:rFonts w:cs="Times"/>
          <w:sz w:val="20"/>
          <w:szCs w:val="20"/>
        </w:rPr>
        <w:t>t</w:t>
      </w:r>
      <w:r w:rsidRPr="00B46972">
        <w:rPr>
          <w:rFonts w:cs="Times"/>
          <w:sz w:val="20"/>
          <w:szCs w:val="20"/>
        </w:rPr>
        <w:t>ing as an option for research organisations operating RI. This would ensure that, where high indirect cost are generated by large RI and are precisely recorded in a sound accounting system, this precision does not get lost in approxi</w:t>
      </w:r>
      <w:r w:rsidR="00E97771" w:rsidRPr="00B46972">
        <w:rPr>
          <w:rFonts w:cs="Times"/>
          <w:sz w:val="20"/>
          <w:szCs w:val="20"/>
        </w:rPr>
        <w:t>mations just for EU projects.</w:t>
      </w:r>
      <w:r w:rsidR="00B46972" w:rsidRPr="00B46972">
        <w:rPr>
          <w:rFonts w:cs="Times"/>
          <w:sz w:val="20"/>
          <w:szCs w:val="20"/>
        </w:rPr>
        <w:t xml:space="preserve"> </w:t>
      </w:r>
      <w:r w:rsidRPr="00B46972">
        <w:rPr>
          <w:rFonts w:cs="Times"/>
          <w:sz w:val="20"/>
          <w:szCs w:val="20"/>
        </w:rPr>
        <w:t>Should this not be possible, a use of lump sums per unit of access (hours of beam time or days of ship use) might be the best solution, since this would at least assure that the sum would be fixed before the project starts and no ex-post audits would be necessary. This would be in line with the simplification purposes of H2020. In order for such a system to be in line with the usual accounting princ</w:t>
      </w:r>
      <w:r w:rsidRPr="00B46972">
        <w:rPr>
          <w:rFonts w:cs="Times"/>
          <w:sz w:val="20"/>
          <w:szCs w:val="20"/>
        </w:rPr>
        <w:t>i</w:t>
      </w:r>
      <w:r w:rsidRPr="00B46972">
        <w:rPr>
          <w:rFonts w:cs="Times"/>
          <w:sz w:val="20"/>
          <w:szCs w:val="20"/>
        </w:rPr>
        <w:lastRenderedPageBreak/>
        <w:t>ples, it would however have to respect the underlying cost calculation of the participants for setting the lump sum, which would certainly challenge the concept of lump sums. In any case, a very precise and participant-specific mechanism for setting the amount of the lump sum would be needed, possibly based on the mech</w:t>
      </w:r>
      <w:r w:rsidRPr="00B46972">
        <w:rPr>
          <w:rFonts w:cs="Times"/>
          <w:sz w:val="20"/>
          <w:szCs w:val="20"/>
        </w:rPr>
        <w:t>a</w:t>
      </w:r>
      <w:r w:rsidRPr="00B46972">
        <w:rPr>
          <w:rFonts w:cs="Times"/>
          <w:sz w:val="20"/>
          <w:szCs w:val="20"/>
        </w:rPr>
        <w:t xml:space="preserve">nisms used in FP7 for calculation unit cost for </w:t>
      </w:r>
      <w:proofErr w:type="gramStart"/>
      <w:r w:rsidRPr="00B46972">
        <w:rPr>
          <w:rFonts w:cs="Times"/>
          <w:sz w:val="20"/>
          <w:szCs w:val="20"/>
        </w:rPr>
        <w:t>Transnational</w:t>
      </w:r>
      <w:proofErr w:type="gramEnd"/>
      <w:r w:rsidRPr="00B46972">
        <w:rPr>
          <w:rFonts w:cs="Times"/>
          <w:sz w:val="20"/>
          <w:szCs w:val="20"/>
        </w:rPr>
        <w:t xml:space="preserve"> access. This again would certainly challenge the current concept of lump sums, but it might still be the best of the available options.”</w:t>
      </w:r>
      <w:r w:rsidR="00E97771" w:rsidRPr="00B46972">
        <w:rPr>
          <w:rFonts w:cs="Times"/>
          <w:sz w:val="20"/>
          <w:szCs w:val="20"/>
        </w:rPr>
        <w:t xml:space="preserve"> (</w:t>
      </w:r>
      <w:r w:rsidR="00E15066" w:rsidRPr="00B46972">
        <w:rPr>
          <w:sz w:val="20"/>
          <w:szCs w:val="20"/>
        </w:rPr>
        <w:t xml:space="preserve">Helmholtz Association of German Research Centres, 2013, </w:t>
      </w:r>
      <w:r w:rsidR="009D1A43" w:rsidRPr="00B46972">
        <w:rPr>
          <w:sz w:val="20"/>
          <w:szCs w:val="20"/>
        </w:rPr>
        <w:t>2)</w:t>
      </w:r>
    </w:p>
    <w:p w14:paraId="4E2F00F3" w14:textId="77777777" w:rsidR="0061312F" w:rsidRDefault="0061312F" w:rsidP="00233E59">
      <w:pPr>
        <w:widowControl w:val="0"/>
        <w:autoSpaceDE w:val="0"/>
        <w:autoSpaceDN w:val="0"/>
        <w:adjustRightInd w:val="0"/>
        <w:spacing w:after="0" w:line="240" w:lineRule="auto"/>
        <w:rPr>
          <w:rFonts w:cs="Times"/>
          <w:sz w:val="20"/>
          <w:szCs w:val="20"/>
        </w:rPr>
      </w:pPr>
    </w:p>
    <w:p w14:paraId="7CAAB2FB" w14:textId="79B52C55" w:rsidR="00B46972" w:rsidRDefault="00B370F0" w:rsidP="00B370F0">
      <w:pPr>
        <w:widowControl w:val="0"/>
        <w:autoSpaceDE w:val="0"/>
        <w:autoSpaceDN w:val="0"/>
        <w:adjustRightInd w:val="0"/>
        <w:spacing w:after="0" w:line="240" w:lineRule="auto"/>
        <w:jc w:val="center"/>
        <w:rPr>
          <w:rFonts w:cs="Times"/>
          <w:sz w:val="20"/>
          <w:szCs w:val="20"/>
        </w:rPr>
      </w:pPr>
      <w:r>
        <w:rPr>
          <w:rFonts w:cs="Times"/>
          <w:noProof/>
          <w:sz w:val="20"/>
          <w:szCs w:val="20"/>
          <w:lang w:val="de-DE" w:eastAsia="de-DE"/>
        </w:rPr>
        <w:drawing>
          <wp:inline distT="0" distB="0" distL="0" distR="0" wp14:anchorId="3672BF60" wp14:editId="608552A2">
            <wp:extent cx="3313430" cy="1773617"/>
            <wp:effectExtent l="0" t="0" r="0" b="444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10-26 um 09.17.57.png"/>
                    <pic:cNvPicPr/>
                  </pic:nvPicPr>
                  <pic:blipFill>
                    <a:blip r:embed="rId14">
                      <a:extLst>
                        <a:ext uri="{28A0092B-C50C-407E-A947-70E740481C1C}">
                          <a14:useLocalDpi xmlns:a14="http://schemas.microsoft.com/office/drawing/2010/main" val="0"/>
                        </a:ext>
                      </a:extLst>
                    </a:blip>
                    <a:stretch>
                      <a:fillRect/>
                    </a:stretch>
                  </pic:blipFill>
                  <pic:spPr>
                    <a:xfrm>
                      <a:off x="0" y="0"/>
                      <a:ext cx="3313490" cy="1773649"/>
                    </a:xfrm>
                    <a:prstGeom prst="rect">
                      <a:avLst/>
                    </a:prstGeom>
                  </pic:spPr>
                </pic:pic>
              </a:graphicData>
            </a:graphic>
          </wp:inline>
        </w:drawing>
      </w:r>
    </w:p>
    <w:p w14:paraId="7C44429D" w14:textId="09D4632A" w:rsidR="0061312F" w:rsidRDefault="00B370F0" w:rsidP="00B370F0">
      <w:pPr>
        <w:widowControl w:val="0"/>
        <w:autoSpaceDE w:val="0"/>
        <w:autoSpaceDN w:val="0"/>
        <w:adjustRightInd w:val="0"/>
        <w:spacing w:after="0" w:line="240" w:lineRule="auto"/>
        <w:jc w:val="center"/>
        <w:rPr>
          <w:rFonts w:cs="Times"/>
          <w:sz w:val="20"/>
          <w:szCs w:val="20"/>
        </w:rPr>
      </w:pPr>
      <w:r>
        <w:rPr>
          <w:rFonts w:cs="Times"/>
          <w:sz w:val="20"/>
          <w:szCs w:val="20"/>
        </w:rPr>
        <w:t>BBMRI, 2012, 48</w:t>
      </w:r>
    </w:p>
    <w:p w14:paraId="5CEA0601" w14:textId="77777777" w:rsidR="00B46972" w:rsidRDefault="00B46972" w:rsidP="00233E59">
      <w:pPr>
        <w:widowControl w:val="0"/>
        <w:autoSpaceDE w:val="0"/>
        <w:autoSpaceDN w:val="0"/>
        <w:adjustRightInd w:val="0"/>
        <w:spacing w:after="0" w:line="240" w:lineRule="auto"/>
        <w:rPr>
          <w:rFonts w:cs="Times"/>
          <w:sz w:val="20"/>
          <w:szCs w:val="20"/>
        </w:rPr>
      </w:pPr>
    </w:p>
    <w:p w14:paraId="18FF0F8F" w14:textId="77777777" w:rsidR="00F815A1" w:rsidRPr="00F815A1" w:rsidRDefault="00F815A1" w:rsidP="00F815A1">
      <w:pPr>
        <w:widowControl w:val="0"/>
        <w:autoSpaceDE w:val="0"/>
        <w:autoSpaceDN w:val="0"/>
        <w:adjustRightInd w:val="0"/>
        <w:spacing w:after="0" w:line="240" w:lineRule="auto"/>
        <w:rPr>
          <w:rFonts w:cs="Times"/>
          <w:sz w:val="20"/>
          <w:szCs w:val="20"/>
        </w:rPr>
      </w:pPr>
      <w:r w:rsidRPr="00F815A1">
        <w:rPr>
          <w:rFonts w:cs="Times"/>
          <w:sz w:val="20"/>
          <w:szCs w:val="20"/>
        </w:rPr>
        <w:t>“</w:t>
      </w:r>
      <w:r w:rsidRPr="00F815A1">
        <w:rPr>
          <w:rFonts w:cs="Helvetica"/>
          <w:sz w:val="20"/>
          <w:szCs w:val="20"/>
        </w:rPr>
        <w:t>The total costs of BBMRI-ERIC will be financed by cash and in kind contributions of Members and other i</w:t>
      </w:r>
      <w:r w:rsidRPr="00F815A1">
        <w:rPr>
          <w:rFonts w:cs="Helvetica"/>
          <w:sz w:val="20"/>
          <w:szCs w:val="20"/>
        </w:rPr>
        <w:t>n</w:t>
      </w:r>
      <w:r w:rsidRPr="00F815A1">
        <w:rPr>
          <w:rFonts w:cs="Helvetica"/>
          <w:sz w:val="20"/>
          <w:szCs w:val="20"/>
        </w:rPr>
        <w:t xml:space="preserve">come. Contributions of Members will be calculated according to the following model: </w:t>
      </w:r>
    </w:p>
    <w:p w14:paraId="44B5F5FB" w14:textId="77777777" w:rsidR="00F815A1" w:rsidRDefault="00F815A1" w:rsidP="00F815A1">
      <w:pPr>
        <w:widowControl w:val="0"/>
        <w:autoSpaceDE w:val="0"/>
        <w:autoSpaceDN w:val="0"/>
        <w:adjustRightInd w:val="0"/>
        <w:spacing w:after="0" w:line="240" w:lineRule="auto"/>
        <w:ind w:left="426"/>
        <w:rPr>
          <w:rFonts w:cs="Helvetica"/>
          <w:sz w:val="20"/>
          <w:szCs w:val="20"/>
        </w:rPr>
      </w:pPr>
      <w:r w:rsidRPr="00F815A1">
        <w:rPr>
          <w:rFonts w:cs="Helvetica"/>
          <w:sz w:val="20"/>
          <w:szCs w:val="20"/>
        </w:rPr>
        <w:t xml:space="preserve">1) The membership contribution of each Member shall be composed of a base contribution and a variable share. Concerning the base contribution Members are stratified in two groups according </w:t>
      </w:r>
      <w:r>
        <w:rPr>
          <w:rFonts w:cs="Helvetica"/>
          <w:sz w:val="20"/>
          <w:szCs w:val="20"/>
        </w:rPr>
        <w:t>to their number of inhabitants:</w:t>
      </w:r>
    </w:p>
    <w:p w14:paraId="0C04AF07" w14:textId="13AA7E9F" w:rsidR="00F815A1" w:rsidRPr="00F815A1" w:rsidRDefault="00F815A1" w:rsidP="00731FD4">
      <w:pPr>
        <w:widowControl w:val="0"/>
        <w:autoSpaceDE w:val="0"/>
        <w:autoSpaceDN w:val="0"/>
        <w:adjustRightInd w:val="0"/>
        <w:spacing w:after="0" w:line="240" w:lineRule="auto"/>
        <w:ind w:left="993" w:hanging="284"/>
        <w:rPr>
          <w:rFonts w:cs="Times"/>
          <w:sz w:val="20"/>
          <w:szCs w:val="20"/>
        </w:rPr>
      </w:pPr>
      <w:r w:rsidRPr="00F815A1">
        <w:rPr>
          <w:rFonts w:cs="Helvetica"/>
          <w:sz w:val="20"/>
          <w:szCs w:val="20"/>
        </w:rPr>
        <w:t xml:space="preserve">1) 20.000 € base contribution for Members whose number of inhabitants is below 3 Million </w:t>
      </w:r>
    </w:p>
    <w:p w14:paraId="2ABB5D5C" w14:textId="77777777" w:rsidR="00F815A1" w:rsidRPr="00F815A1" w:rsidRDefault="00F815A1" w:rsidP="00731FD4">
      <w:pPr>
        <w:widowControl w:val="0"/>
        <w:autoSpaceDE w:val="0"/>
        <w:autoSpaceDN w:val="0"/>
        <w:adjustRightInd w:val="0"/>
        <w:spacing w:after="0" w:line="240" w:lineRule="auto"/>
        <w:ind w:left="993" w:hanging="284"/>
        <w:rPr>
          <w:rFonts w:cs="Times"/>
          <w:sz w:val="20"/>
          <w:szCs w:val="20"/>
        </w:rPr>
      </w:pPr>
      <w:r w:rsidRPr="00F815A1">
        <w:rPr>
          <w:rFonts w:cs="Helvetica"/>
          <w:sz w:val="20"/>
          <w:szCs w:val="20"/>
        </w:rPr>
        <w:t>2) 25.000 € base contribution for Members whose number of inhabitants equals or exceeds 3 Mi</w:t>
      </w:r>
      <w:r w:rsidRPr="00F815A1">
        <w:rPr>
          <w:rFonts w:cs="Helvetica"/>
          <w:sz w:val="20"/>
          <w:szCs w:val="20"/>
        </w:rPr>
        <w:t>l</w:t>
      </w:r>
      <w:r w:rsidRPr="00F815A1">
        <w:rPr>
          <w:rFonts w:cs="Helvetica"/>
          <w:sz w:val="20"/>
          <w:szCs w:val="20"/>
        </w:rPr>
        <w:t xml:space="preserve">lion The overall amount of the variable share proportion is determined by subtracting the overall amount of base contributions from the overall amount of contributions by Members. The overall amount of the variable share is split among Members based on their percentage of total GDP of all Members. </w:t>
      </w:r>
    </w:p>
    <w:p w14:paraId="33ECE94C" w14:textId="43E2F0A0" w:rsidR="00B370F0" w:rsidRDefault="00F815A1" w:rsidP="00233E59">
      <w:pPr>
        <w:widowControl w:val="0"/>
        <w:autoSpaceDE w:val="0"/>
        <w:autoSpaceDN w:val="0"/>
        <w:adjustRightInd w:val="0"/>
        <w:spacing w:after="0" w:line="240" w:lineRule="auto"/>
        <w:rPr>
          <w:rFonts w:cs="Times"/>
          <w:sz w:val="20"/>
          <w:szCs w:val="20"/>
        </w:rPr>
      </w:pPr>
      <w:r w:rsidRPr="00F815A1">
        <w:rPr>
          <w:rFonts w:cs="Helvetica"/>
          <w:sz w:val="20"/>
          <w:szCs w:val="20"/>
        </w:rPr>
        <w:t>International organizations shall pay 0.1 per mill of their annual regular budget as variable share proportion if they are Members.</w:t>
      </w:r>
      <w:r w:rsidR="00587589">
        <w:rPr>
          <w:rFonts w:cs="Helvetica"/>
          <w:sz w:val="20"/>
          <w:szCs w:val="20"/>
        </w:rPr>
        <w:t xml:space="preserve"> </w:t>
      </w:r>
      <w:r w:rsidRPr="00F815A1">
        <w:rPr>
          <w:rFonts w:cs="Helvetica"/>
          <w:sz w:val="20"/>
          <w:szCs w:val="20"/>
        </w:rPr>
        <w:t>The fixed contribution for Observers shall be 30% of the respective category. None of the Members shall pay more than 25% of the overall amount of contributions by Mem</w:t>
      </w:r>
      <w:r w:rsidR="00587589">
        <w:rPr>
          <w:rFonts w:cs="Helvetica"/>
          <w:sz w:val="20"/>
          <w:szCs w:val="20"/>
        </w:rPr>
        <w:t>bers/Observers.</w:t>
      </w:r>
      <w:r w:rsidR="0086642D">
        <w:rPr>
          <w:rFonts w:cs="Helvetica"/>
          <w:sz w:val="20"/>
          <w:szCs w:val="20"/>
        </w:rPr>
        <w:t xml:space="preserve"> </w:t>
      </w:r>
      <w:r w:rsidR="0086642D" w:rsidRPr="0086642D">
        <w:rPr>
          <w:rFonts w:cs="Helvetica"/>
          <w:sz w:val="20"/>
          <w:szCs w:val="20"/>
        </w:rPr>
        <w:t>(…) The Members of BBMRI-ERIC will set up their National Nodes under BBMRI-ERIC early in the first quarter of 2013 so that efficient interfaces between national biobanks and the Central Executive Management Office and the BBMRI Common Services can be implemented. The National Nodes are funded directly by each Member Cou</w:t>
      </w:r>
      <w:r w:rsidR="0086642D" w:rsidRPr="0086642D">
        <w:rPr>
          <w:rFonts w:cs="Helvetica"/>
          <w:sz w:val="20"/>
          <w:szCs w:val="20"/>
        </w:rPr>
        <w:t>n</w:t>
      </w:r>
      <w:r w:rsidR="0086642D" w:rsidRPr="0086642D">
        <w:rPr>
          <w:rFonts w:cs="Helvetica"/>
          <w:sz w:val="20"/>
          <w:szCs w:val="20"/>
        </w:rPr>
        <w:t>try and are not part of the common BBMRI-ERIC budget. The size of the National Nodes and their budgets will depend on the complexity of the biobanking structures in the individual countries. There are minimal requir</w:t>
      </w:r>
      <w:r w:rsidR="0086642D" w:rsidRPr="0086642D">
        <w:rPr>
          <w:rFonts w:cs="Helvetica"/>
          <w:sz w:val="20"/>
          <w:szCs w:val="20"/>
        </w:rPr>
        <w:t>e</w:t>
      </w:r>
      <w:r w:rsidR="0086642D" w:rsidRPr="0086642D">
        <w:rPr>
          <w:rFonts w:cs="Helvetica"/>
          <w:sz w:val="20"/>
          <w:szCs w:val="20"/>
        </w:rPr>
        <w:t>ments defined for the set-up of a National Node to participate in BBMRI-ERIC. At least one person (National Node Director) reporting to the Director General has to be designated for each National Node. For financial planning National Nodes</w:t>
      </w:r>
      <w:r w:rsidR="0086642D">
        <w:rPr>
          <w:rFonts w:cs="Helvetica"/>
          <w:sz w:val="20"/>
          <w:szCs w:val="20"/>
        </w:rPr>
        <w:t xml:space="preserve"> of an average size are assumed.” </w:t>
      </w:r>
      <w:r w:rsidR="00587589">
        <w:rPr>
          <w:rFonts w:cs="Times"/>
          <w:sz w:val="20"/>
          <w:szCs w:val="20"/>
        </w:rPr>
        <w:t xml:space="preserve">(BBMRI, 2012, </w:t>
      </w:r>
      <w:r w:rsidR="00305E1A">
        <w:rPr>
          <w:rFonts w:cs="Times"/>
          <w:sz w:val="20"/>
          <w:szCs w:val="20"/>
        </w:rPr>
        <w:t>52</w:t>
      </w:r>
      <w:r w:rsidR="0086642D">
        <w:rPr>
          <w:rFonts w:cs="Times"/>
          <w:sz w:val="20"/>
          <w:szCs w:val="20"/>
        </w:rPr>
        <w:t>-3</w:t>
      </w:r>
      <w:r w:rsidR="00305E1A">
        <w:rPr>
          <w:rFonts w:cs="Times"/>
          <w:sz w:val="20"/>
          <w:szCs w:val="20"/>
        </w:rPr>
        <w:t>)</w:t>
      </w:r>
    </w:p>
    <w:p w14:paraId="14C70846" w14:textId="77777777" w:rsidR="00F815A1" w:rsidRDefault="00F815A1" w:rsidP="00233E59">
      <w:pPr>
        <w:widowControl w:val="0"/>
        <w:autoSpaceDE w:val="0"/>
        <w:autoSpaceDN w:val="0"/>
        <w:adjustRightInd w:val="0"/>
        <w:spacing w:after="0" w:line="240" w:lineRule="auto"/>
        <w:rPr>
          <w:rFonts w:cs="Times"/>
          <w:sz w:val="20"/>
          <w:szCs w:val="20"/>
        </w:rPr>
      </w:pPr>
    </w:p>
    <w:p w14:paraId="22BED470" w14:textId="77777777" w:rsidR="00B370F0" w:rsidRPr="004A44D2" w:rsidRDefault="00B370F0" w:rsidP="00233E59">
      <w:pPr>
        <w:widowControl w:val="0"/>
        <w:autoSpaceDE w:val="0"/>
        <w:autoSpaceDN w:val="0"/>
        <w:adjustRightInd w:val="0"/>
        <w:spacing w:after="0" w:line="240" w:lineRule="auto"/>
        <w:rPr>
          <w:rFonts w:cs="Times"/>
          <w:sz w:val="20"/>
          <w:szCs w:val="20"/>
        </w:rPr>
      </w:pPr>
    </w:p>
    <w:p w14:paraId="6548FECB" w14:textId="77777777" w:rsidR="00233E59" w:rsidRPr="001416B8" w:rsidRDefault="00233E59" w:rsidP="000F29DF">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Costs for agreed upon upgrades</w:t>
      </w:r>
    </w:p>
    <w:p w14:paraId="37703230" w14:textId="77777777" w:rsidR="00233E59" w:rsidRDefault="00233E59" w:rsidP="004A44D2">
      <w:pPr>
        <w:widowControl w:val="0"/>
        <w:autoSpaceDE w:val="0"/>
        <w:autoSpaceDN w:val="0"/>
        <w:adjustRightInd w:val="0"/>
        <w:spacing w:after="0" w:line="240" w:lineRule="auto"/>
        <w:rPr>
          <w:rFonts w:cs="Times New Roman"/>
          <w:sz w:val="20"/>
          <w:szCs w:val="20"/>
        </w:rPr>
      </w:pPr>
    </w:p>
    <w:p w14:paraId="54E5A905" w14:textId="77777777" w:rsidR="00233E59" w:rsidRPr="001F0C98" w:rsidRDefault="00233E59" w:rsidP="004A44D2">
      <w:pPr>
        <w:widowControl w:val="0"/>
        <w:autoSpaceDE w:val="0"/>
        <w:autoSpaceDN w:val="0"/>
        <w:adjustRightInd w:val="0"/>
        <w:spacing w:after="0" w:line="240" w:lineRule="auto"/>
        <w:rPr>
          <w:rFonts w:cs="Times"/>
          <w:sz w:val="20"/>
          <w:szCs w:val="20"/>
        </w:rPr>
      </w:pPr>
    </w:p>
    <w:p w14:paraId="008DA145" w14:textId="3DC05596" w:rsidR="00DB431D" w:rsidRPr="001416B8" w:rsidRDefault="005B3EDC" w:rsidP="000F29DF">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F</w:t>
      </w:r>
      <w:r w:rsidR="00DB431D" w:rsidRPr="001416B8">
        <w:rPr>
          <w:rFonts w:cs="Times New Roman"/>
          <w:b/>
          <w:color w:val="FF0000"/>
          <w:sz w:val="20"/>
          <w:szCs w:val="20"/>
        </w:rPr>
        <w:t>unding policies of contributing partners for good medium to long-term plan</w:t>
      </w:r>
      <w:r w:rsidR="00495C5F" w:rsidRPr="001416B8">
        <w:rPr>
          <w:rFonts w:cs="Times New Roman"/>
          <w:b/>
          <w:color w:val="FF0000"/>
          <w:sz w:val="20"/>
          <w:szCs w:val="20"/>
        </w:rPr>
        <w:t>ning</w:t>
      </w:r>
    </w:p>
    <w:p w14:paraId="432E0FF4" w14:textId="0861CD11" w:rsidR="00235BBC" w:rsidRPr="000746F0" w:rsidRDefault="00235BBC" w:rsidP="006F6DFC">
      <w:pPr>
        <w:widowControl w:val="0"/>
        <w:autoSpaceDE w:val="0"/>
        <w:autoSpaceDN w:val="0"/>
        <w:adjustRightInd w:val="0"/>
        <w:spacing w:after="0" w:line="240" w:lineRule="auto"/>
        <w:rPr>
          <w:rFonts w:cs="Times"/>
          <w:sz w:val="20"/>
          <w:szCs w:val="20"/>
        </w:rPr>
      </w:pPr>
      <w:r w:rsidRPr="000746F0">
        <w:rPr>
          <w:rFonts w:cs="Times"/>
          <w:sz w:val="20"/>
          <w:szCs w:val="20"/>
        </w:rPr>
        <w:t>“</w:t>
      </w:r>
      <w:r w:rsidRPr="000746F0">
        <w:rPr>
          <w:rFonts w:cs="Calibri"/>
          <w:b/>
          <w:bCs/>
          <w:sz w:val="20"/>
          <w:szCs w:val="20"/>
        </w:rPr>
        <w:t>Continuity of Funding</w:t>
      </w:r>
    </w:p>
    <w:p w14:paraId="5926DDA1" w14:textId="68D03E48" w:rsidR="00235BBC" w:rsidRPr="000746F0" w:rsidRDefault="00235BBC" w:rsidP="000F29DF">
      <w:pPr>
        <w:widowControl w:val="0"/>
        <w:numPr>
          <w:ilvl w:val="0"/>
          <w:numId w:val="12"/>
        </w:numPr>
        <w:autoSpaceDE w:val="0"/>
        <w:autoSpaceDN w:val="0"/>
        <w:adjustRightInd w:val="0"/>
        <w:spacing w:after="0" w:line="240" w:lineRule="auto"/>
        <w:rPr>
          <w:rFonts w:cs="Times"/>
          <w:sz w:val="20"/>
          <w:szCs w:val="20"/>
        </w:rPr>
      </w:pPr>
      <w:r w:rsidRPr="000746F0">
        <w:rPr>
          <w:rFonts w:cs="Calibri"/>
          <w:sz w:val="20"/>
          <w:szCs w:val="20"/>
        </w:rPr>
        <w:t xml:space="preserve">Research infrastructure funding programs should be </w:t>
      </w:r>
      <w:proofErr w:type="spellStart"/>
      <w:r w:rsidRPr="000746F0">
        <w:rPr>
          <w:rFonts w:cs="Calibri"/>
          <w:sz w:val="20"/>
          <w:szCs w:val="20"/>
        </w:rPr>
        <w:t>ongoing</w:t>
      </w:r>
      <w:proofErr w:type="spellEnd"/>
      <w:r w:rsidRPr="000746F0">
        <w:rPr>
          <w:rFonts w:cs="Calibri"/>
          <w:sz w:val="20"/>
          <w:szCs w:val="20"/>
        </w:rPr>
        <w:t xml:space="preserve"> and predictable, t</w:t>
      </w:r>
      <w:r w:rsidR="000746F0">
        <w:rPr>
          <w:rFonts w:cs="Calibri"/>
          <w:sz w:val="20"/>
          <w:szCs w:val="20"/>
        </w:rPr>
        <w:t>o achieve optimal use of funds.</w:t>
      </w:r>
    </w:p>
    <w:p w14:paraId="311DED7E" w14:textId="77777777" w:rsidR="00E80EDC" w:rsidRPr="00E80EDC" w:rsidRDefault="00235BBC" w:rsidP="000F29DF">
      <w:pPr>
        <w:widowControl w:val="0"/>
        <w:numPr>
          <w:ilvl w:val="0"/>
          <w:numId w:val="12"/>
        </w:numPr>
        <w:autoSpaceDE w:val="0"/>
        <w:autoSpaceDN w:val="0"/>
        <w:adjustRightInd w:val="0"/>
        <w:spacing w:after="0" w:line="240" w:lineRule="auto"/>
        <w:rPr>
          <w:rFonts w:cs="Times"/>
          <w:sz w:val="20"/>
          <w:szCs w:val="20"/>
        </w:rPr>
      </w:pPr>
      <w:r w:rsidRPr="000746F0">
        <w:rPr>
          <w:rFonts w:cs="Calibri"/>
          <w:sz w:val="20"/>
          <w:szCs w:val="20"/>
        </w:rPr>
        <w:t xml:space="preserve">Infrastructure that continues to be a priority should be able to access funding for </w:t>
      </w:r>
      <w:proofErr w:type="spellStart"/>
      <w:r w:rsidRPr="000746F0">
        <w:rPr>
          <w:rFonts w:cs="Calibri"/>
          <w:sz w:val="20"/>
          <w:szCs w:val="20"/>
        </w:rPr>
        <w:t>ongoing</w:t>
      </w:r>
      <w:proofErr w:type="spellEnd"/>
      <w:r w:rsidRPr="000746F0">
        <w:rPr>
          <w:rFonts w:cs="Calibri"/>
          <w:sz w:val="20"/>
          <w:szCs w:val="20"/>
        </w:rPr>
        <w:t xml:space="preserve"> operations.</w:t>
      </w:r>
    </w:p>
    <w:p w14:paraId="43114919" w14:textId="75B39737" w:rsidR="00235BBC" w:rsidRPr="000746F0" w:rsidRDefault="00235BBC" w:rsidP="00E80EDC">
      <w:pPr>
        <w:widowControl w:val="0"/>
        <w:autoSpaceDE w:val="0"/>
        <w:autoSpaceDN w:val="0"/>
        <w:adjustRightInd w:val="0"/>
        <w:spacing w:after="0" w:line="240" w:lineRule="auto"/>
        <w:rPr>
          <w:rFonts w:cs="Times"/>
          <w:sz w:val="20"/>
          <w:szCs w:val="20"/>
        </w:rPr>
      </w:pPr>
      <w:r w:rsidRPr="000746F0">
        <w:rPr>
          <w:rFonts w:cs="Calibri"/>
          <w:i/>
          <w:iCs/>
          <w:sz w:val="20"/>
          <w:szCs w:val="20"/>
        </w:rPr>
        <w:t xml:space="preserve">Guiding considerations </w:t>
      </w:r>
    </w:p>
    <w:p w14:paraId="092E153C" w14:textId="7877B91F" w:rsidR="00235BBC" w:rsidRPr="00FF33E0" w:rsidRDefault="00235BBC" w:rsidP="000F29DF">
      <w:pPr>
        <w:pStyle w:val="Listenabsatz"/>
        <w:widowControl w:val="0"/>
        <w:numPr>
          <w:ilvl w:val="0"/>
          <w:numId w:val="13"/>
        </w:numPr>
        <w:autoSpaceDE w:val="0"/>
        <w:autoSpaceDN w:val="0"/>
        <w:adjustRightInd w:val="0"/>
        <w:spacing w:after="0" w:line="240" w:lineRule="auto"/>
        <w:ind w:left="567" w:hanging="283"/>
        <w:rPr>
          <w:rFonts w:cs="Times"/>
          <w:sz w:val="20"/>
          <w:szCs w:val="20"/>
        </w:rPr>
      </w:pPr>
      <w:proofErr w:type="spellStart"/>
      <w:r w:rsidRPr="00FF33E0">
        <w:rPr>
          <w:rFonts w:cs="Calibri"/>
          <w:i/>
          <w:iCs/>
          <w:sz w:val="20"/>
          <w:szCs w:val="20"/>
        </w:rPr>
        <w:t>Ongoing</w:t>
      </w:r>
      <w:proofErr w:type="spellEnd"/>
      <w:r w:rsidRPr="00FF33E0">
        <w:rPr>
          <w:rFonts w:cs="Calibri"/>
          <w:i/>
          <w:iCs/>
          <w:sz w:val="20"/>
          <w:szCs w:val="20"/>
        </w:rPr>
        <w:t xml:space="preserve"> and predictable funding programs support a more strategic, collaborative and planned a</w:t>
      </w:r>
      <w:r w:rsidRPr="00FF33E0">
        <w:rPr>
          <w:rFonts w:cs="Calibri"/>
          <w:i/>
          <w:iCs/>
          <w:sz w:val="20"/>
          <w:szCs w:val="20"/>
        </w:rPr>
        <w:t>p</w:t>
      </w:r>
      <w:r w:rsidRPr="00FF33E0">
        <w:rPr>
          <w:rFonts w:cs="Calibri"/>
          <w:i/>
          <w:iCs/>
          <w:sz w:val="20"/>
          <w:szCs w:val="20"/>
        </w:rPr>
        <w:t>proach to research infrastructure investment.</w:t>
      </w:r>
    </w:p>
    <w:p w14:paraId="47F14768" w14:textId="2405D43F" w:rsidR="00235BBC" w:rsidRPr="00FF33E0" w:rsidRDefault="00235BBC" w:rsidP="000F29DF">
      <w:pPr>
        <w:pStyle w:val="Listenabsatz"/>
        <w:widowControl w:val="0"/>
        <w:numPr>
          <w:ilvl w:val="0"/>
          <w:numId w:val="13"/>
        </w:numPr>
        <w:autoSpaceDE w:val="0"/>
        <w:autoSpaceDN w:val="0"/>
        <w:adjustRightInd w:val="0"/>
        <w:spacing w:after="0" w:line="240" w:lineRule="auto"/>
        <w:ind w:left="567" w:hanging="283"/>
        <w:rPr>
          <w:rFonts w:cs="Times"/>
          <w:sz w:val="20"/>
          <w:szCs w:val="20"/>
        </w:rPr>
      </w:pPr>
      <w:proofErr w:type="spellStart"/>
      <w:r w:rsidRPr="00FF33E0">
        <w:rPr>
          <w:rFonts w:cs="Calibri"/>
          <w:i/>
          <w:iCs/>
          <w:sz w:val="20"/>
          <w:szCs w:val="20"/>
        </w:rPr>
        <w:t>Ongoing</w:t>
      </w:r>
      <w:proofErr w:type="spellEnd"/>
      <w:r w:rsidRPr="00FF33E0">
        <w:rPr>
          <w:rFonts w:cs="Calibri"/>
          <w:i/>
          <w:iCs/>
          <w:sz w:val="20"/>
          <w:szCs w:val="20"/>
        </w:rPr>
        <w:t xml:space="preserve"> operational funding for priority national and landmark research infrastructure assists in ma</w:t>
      </w:r>
      <w:r w:rsidRPr="00FF33E0">
        <w:rPr>
          <w:rFonts w:cs="Calibri"/>
          <w:i/>
          <w:iCs/>
          <w:sz w:val="20"/>
          <w:szCs w:val="20"/>
        </w:rPr>
        <w:t>x</w:t>
      </w:r>
      <w:r w:rsidRPr="00FF33E0">
        <w:rPr>
          <w:rFonts w:cs="Calibri"/>
          <w:i/>
          <w:iCs/>
          <w:sz w:val="20"/>
          <w:szCs w:val="20"/>
        </w:rPr>
        <w:t>imising the benefit from the original investment.</w:t>
      </w:r>
    </w:p>
    <w:p w14:paraId="0E4D4BDB" w14:textId="2B04BA60" w:rsidR="00235BBC" w:rsidRPr="000746F0" w:rsidRDefault="00235BBC" w:rsidP="006F6DFC">
      <w:pPr>
        <w:widowControl w:val="0"/>
        <w:autoSpaceDE w:val="0"/>
        <w:autoSpaceDN w:val="0"/>
        <w:adjustRightInd w:val="0"/>
        <w:spacing w:after="0" w:line="240" w:lineRule="auto"/>
        <w:rPr>
          <w:rFonts w:cs="Times"/>
          <w:sz w:val="20"/>
          <w:szCs w:val="20"/>
        </w:rPr>
      </w:pPr>
      <w:r w:rsidRPr="000746F0">
        <w:rPr>
          <w:rFonts w:cs="Calibri"/>
          <w:b/>
          <w:bCs/>
          <w:sz w:val="20"/>
          <w:szCs w:val="20"/>
        </w:rPr>
        <w:lastRenderedPageBreak/>
        <w:t>Holistic Funding</w:t>
      </w:r>
    </w:p>
    <w:p w14:paraId="4663D9B0" w14:textId="02EEA486" w:rsidR="00235BBC" w:rsidRPr="00F06170" w:rsidRDefault="00235BBC" w:rsidP="000F29DF">
      <w:pPr>
        <w:pStyle w:val="Listenabsatz"/>
        <w:widowControl w:val="0"/>
        <w:numPr>
          <w:ilvl w:val="0"/>
          <w:numId w:val="14"/>
        </w:numPr>
        <w:autoSpaceDE w:val="0"/>
        <w:autoSpaceDN w:val="0"/>
        <w:adjustRightInd w:val="0"/>
        <w:spacing w:after="0" w:line="240" w:lineRule="auto"/>
        <w:ind w:left="284" w:hanging="284"/>
        <w:rPr>
          <w:rFonts w:cs="Times"/>
          <w:sz w:val="20"/>
          <w:szCs w:val="20"/>
        </w:rPr>
      </w:pPr>
      <w:r w:rsidRPr="00F06170">
        <w:rPr>
          <w:rFonts w:cs="Calibri"/>
          <w:sz w:val="20"/>
          <w:szCs w:val="20"/>
        </w:rPr>
        <w:t>Funding required to support research infrastructure will vary between elements, including capital costs, governance, skilled technical support staff and operations and maintenance. Support should be availab</w:t>
      </w:r>
      <w:r w:rsidR="00F06170">
        <w:rPr>
          <w:rFonts w:cs="Calibri"/>
          <w:sz w:val="20"/>
          <w:szCs w:val="20"/>
        </w:rPr>
        <w:t>le to cover these key elements.</w:t>
      </w:r>
    </w:p>
    <w:p w14:paraId="7FA31990" w14:textId="2AE4EA4E" w:rsidR="00235BBC" w:rsidRPr="00F06170" w:rsidRDefault="00235BBC" w:rsidP="000F29DF">
      <w:pPr>
        <w:pStyle w:val="Listenabsatz"/>
        <w:widowControl w:val="0"/>
        <w:numPr>
          <w:ilvl w:val="0"/>
          <w:numId w:val="14"/>
        </w:numPr>
        <w:autoSpaceDE w:val="0"/>
        <w:autoSpaceDN w:val="0"/>
        <w:adjustRightInd w:val="0"/>
        <w:spacing w:after="0" w:line="240" w:lineRule="auto"/>
        <w:ind w:left="284" w:hanging="284"/>
        <w:rPr>
          <w:rFonts w:cs="Times"/>
          <w:sz w:val="20"/>
          <w:szCs w:val="20"/>
        </w:rPr>
      </w:pPr>
      <w:r w:rsidRPr="00F06170">
        <w:rPr>
          <w:rFonts w:cs="Calibri"/>
          <w:sz w:val="20"/>
          <w:szCs w:val="20"/>
        </w:rPr>
        <w:t>Funding programs should allow some funding for project development costs, either for a facilitation‐based process or for project deve</w:t>
      </w:r>
      <w:r w:rsidR="00F06170">
        <w:rPr>
          <w:rFonts w:cs="Calibri"/>
          <w:sz w:val="20"/>
          <w:szCs w:val="20"/>
        </w:rPr>
        <w:t>lopment and scoping activities.</w:t>
      </w:r>
    </w:p>
    <w:p w14:paraId="63A566F9" w14:textId="77777777" w:rsidR="00BD7032" w:rsidRPr="00BD7032" w:rsidRDefault="00DF6ACA" w:rsidP="000F29DF">
      <w:pPr>
        <w:pStyle w:val="Listenabsatz"/>
        <w:widowControl w:val="0"/>
        <w:numPr>
          <w:ilvl w:val="0"/>
          <w:numId w:val="14"/>
        </w:numPr>
        <w:autoSpaceDE w:val="0"/>
        <w:autoSpaceDN w:val="0"/>
        <w:adjustRightInd w:val="0"/>
        <w:spacing w:after="0" w:line="240" w:lineRule="auto"/>
        <w:ind w:left="284" w:hanging="284"/>
        <w:rPr>
          <w:rFonts w:cs="Times"/>
          <w:sz w:val="20"/>
          <w:szCs w:val="20"/>
        </w:rPr>
      </w:pPr>
      <w:r w:rsidRPr="00F06170">
        <w:rPr>
          <w:rFonts w:cs="Calibri"/>
          <w:sz w:val="20"/>
          <w:szCs w:val="20"/>
        </w:rPr>
        <w:t xml:space="preserve">In the context where not all national and landmark </w:t>
      </w:r>
      <w:proofErr w:type="gramStart"/>
      <w:r w:rsidRPr="00F06170">
        <w:rPr>
          <w:rFonts w:cs="Calibri"/>
          <w:sz w:val="20"/>
          <w:szCs w:val="20"/>
        </w:rPr>
        <w:t>infrastructure</w:t>
      </w:r>
      <w:proofErr w:type="gramEnd"/>
      <w:r w:rsidRPr="00F06170">
        <w:rPr>
          <w:rFonts w:cs="Calibri"/>
          <w:sz w:val="20"/>
          <w:szCs w:val="20"/>
        </w:rPr>
        <w:t xml:space="preserve"> would necessarily be replaced, depreci</w:t>
      </w:r>
      <w:r w:rsidRPr="00F06170">
        <w:rPr>
          <w:rFonts w:cs="Calibri"/>
          <w:sz w:val="20"/>
          <w:szCs w:val="20"/>
        </w:rPr>
        <w:t>a</w:t>
      </w:r>
      <w:r w:rsidRPr="00F06170">
        <w:rPr>
          <w:rFonts w:cs="Calibri"/>
          <w:sz w:val="20"/>
          <w:szCs w:val="20"/>
        </w:rPr>
        <w:t>tion for these facilities should not be funded by Australian Government funding programs.</w:t>
      </w:r>
      <w:r w:rsidR="00BD7032">
        <w:rPr>
          <w:rFonts w:cs="Calibri"/>
          <w:sz w:val="20"/>
          <w:szCs w:val="20"/>
        </w:rPr>
        <w:t xml:space="preserve"> (…)</w:t>
      </w:r>
    </w:p>
    <w:p w14:paraId="33A759FF" w14:textId="77777777" w:rsidR="00BD7032" w:rsidRPr="00BD7032" w:rsidRDefault="00BD7032" w:rsidP="00BD7032">
      <w:pPr>
        <w:widowControl w:val="0"/>
        <w:autoSpaceDE w:val="0"/>
        <w:autoSpaceDN w:val="0"/>
        <w:adjustRightInd w:val="0"/>
        <w:spacing w:after="0" w:line="240" w:lineRule="auto"/>
        <w:rPr>
          <w:rFonts w:ascii="Times" w:hAnsi="Times" w:cs="Times"/>
          <w:sz w:val="20"/>
          <w:szCs w:val="20"/>
        </w:rPr>
      </w:pPr>
      <w:r w:rsidRPr="00BD7032">
        <w:rPr>
          <w:rFonts w:ascii="Calibri" w:hAnsi="Calibri" w:cs="Calibri"/>
          <w:b/>
          <w:bCs/>
          <w:sz w:val="20"/>
          <w:szCs w:val="20"/>
        </w:rPr>
        <w:t xml:space="preserve">Co‐investment </w:t>
      </w:r>
    </w:p>
    <w:p w14:paraId="5001F140" w14:textId="3D457AAD" w:rsidR="004A44D2" w:rsidRPr="00BD7032" w:rsidRDefault="00BD7032" w:rsidP="000F29DF">
      <w:pPr>
        <w:pStyle w:val="Listenabsatz"/>
        <w:widowControl w:val="0"/>
        <w:numPr>
          <w:ilvl w:val="0"/>
          <w:numId w:val="15"/>
        </w:numPr>
        <w:autoSpaceDE w:val="0"/>
        <w:autoSpaceDN w:val="0"/>
        <w:adjustRightInd w:val="0"/>
        <w:spacing w:after="0" w:line="240" w:lineRule="auto"/>
        <w:ind w:left="284" w:hanging="284"/>
        <w:rPr>
          <w:rFonts w:cs="Times"/>
          <w:sz w:val="20"/>
          <w:szCs w:val="20"/>
        </w:rPr>
      </w:pPr>
      <w:r w:rsidRPr="00BD7032">
        <w:rPr>
          <w:rFonts w:cs="Arial"/>
          <w:sz w:val="20"/>
          <w:szCs w:val="20"/>
        </w:rPr>
        <w:t>Co</w:t>
      </w:r>
      <w:r w:rsidRPr="00BD7032">
        <w:rPr>
          <w:rFonts w:cs="Myriad Pro Cond"/>
          <w:sz w:val="20"/>
          <w:szCs w:val="20"/>
        </w:rPr>
        <w:t>‐</w:t>
      </w:r>
      <w:r w:rsidRPr="00BD7032">
        <w:rPr>
          <w:rFonts w:cs="Arial"/>
          <w:sz w:val="20"/>
          <w:szCs w:val="20"/>
        </w:rPr>
        <w:t>investment in research infrastructure is desirable as it demonstrates a commitment by the investing party/</w:t>
      </w:r>
      <w:proofErr w:type="spellStart"/>
      <w:r w:rsidRPr="00BD7032">
        <w:rPr>
          <w:rFonts w:cs="Arial"/>
          <w:sz w:val="20"/>
          <w:szCs w:val="20"/>
        </w:rPr>
        <w:t>ies</w:t>
      </w:r>
      <w:proofErr w:type="spellEnd"/>
      <w:r w:rsidRPr="00BD7032">
        <w:rPr>
          <w:rFonts w:cs="Arial"/>
          <w:sz w:val="20"/>
          <w:szCs w:val="20"/>
        </w:rPr>
        <w:t xml:space="preserve"> to the project. Any program requirements for co</w:t>
      </w:r>
      <w:r w:rsidRPr="00BD7032">
        <w:rPr>
          <w:rFonts w:cs="Myriad Pro Cond"/>
          <w:sz w:val="20"/>
          <w:szCs w:val="20"/>
        </w:rPr>
        <w:t>‐</w:t>
      </w:r>
      <w:r w:rsidRPr="00BD7032">
        <w:rPr>
          <w:rFonts w:cs="Arial"/>
          <w:sz w:val="20"/>
          <w:szCs w:val="20"/>
        </w:rPr>
        <w:t>investment should be flexible to leverage max</w:t>
      </w:r>
      <w:r w:rsidRPr="00BD7032">
        <w:rPr>
          <w:rFonts w:cs="Arial"/>
          <w:sz w:val="20"/>
          <w:szCs w:val="20"/>
        </w:rPr>
        <w:t>i</w:t>
      </w:r>
      <w:r w:rsidRPr="00BD7032">
        <w:rPr>
          <w:rFonts w:cs="Arial"/>
          <w:sz w:val="20"/>
          <w:szCs w:val="20"/>
        </w:rPr>
        <w:t>mum support.</w:t>
      </w:r>
      <w:r w:rsidR="00235BBC" w:rsidRPr="00BD7032">
        <w:rPr>
          <w:rFonts w:cs="Times"/>
          <w:sz w:val="20"/>
          <w:szCs w:val="20"/>
        </w:rPr>
        <w:t>”</w:t>
      </w:r>
      <w:r w:rsidR="00395156" w:rsidRPr="00BD7032">
        <w:rPr>
          <w:rFonts w:cs="Times"/>
          <w:sz w:val="20"/>
          <w:szCs w:val="20"/>
        </w:rPr>
        <w:t xml:space="preserve"> (NRIC, </w:t>
      </w:r>
      <w:r w:rsidR="00323665" w:rsidRPr="00BD7032">
        <w:rPr>
          <w:rFonts w:cs="Times"/>
          <w:sz w:val="20"/>
          <w:szCs w:val="20"/>
        </w:rPr>
        <w:t>2013, 2</w:t>
      </w:r>
      <w:r>
        <w:rPr>
          <w:rFonts w:cs="Times"/>
          <w:sz w:val="20"/>
          <w:szCs w:val="20"/>
        </w:rPr>
        <w:t>-3</w:t>
      </w:r>
      <w:r w:rsidR="00323665" w:rsidRPr="00BD7032">
        <w:rPr>
          <w:rFonts w:cs="Times"/>
          <w:sz w:val="20"/>
          <w:szCs w:val="20"/>
        </w:rPr>
        <w:t>)</w:t>
      </w:r>
    </w:p>
    <w:p w14:paraId="7D407637" w14:textId="77777777" w:rsidR="00CE63F7" w:rsidRDefault="00CE63F7" w:rsidP="004A44D2">
      <w:pPr>
        <w:widowControl w:val="0"/>
        <w:autoSpaceDE w:val="0"/>
        <w:autoSpaceDN w:val="0"/>
        <w:adjustRightInd w:val="0"/>
        <w:spacing w:after="0" w:line="240" w:lineRule="auto"/>
        <w:rPr>
          <w:rFonts w:cs="Times"/>
          <w:sz w:val="20"/>
          <w:szCs w:val="20"/>
        </w:rPr>
      </w:pPr>
    </w:p>
    <w:p w14:paraId="3EAAFD99" w14:textId="77777777" w:rsidR="00F24469" w:rsidRPr="001F0C98" w:rsidRDefault="00F24469" w:rsidP="004A44D2">
      <w:pPr>
        <w:widowControl w:val="0"/>
        <w:autoSpaceDE w:val="0"/>
        <w:autoSpaceDN w:val="0"/>
        <w:adjustRightInd w:val="0"/>
        <w:spacing w:after="0" w:line="240" w:lineRule="auto"/>
        <w:rPr>
          <w:rFonts w:cs="Times"/>
          <w:sz w:val="20"/>
          <w:szCs w:val="20"/>
        </w:rPr>
      </w:pPr>
    </w:p>
    <w:p w14:paraId="547082BF" w14:textId="3BBE2144" w:rsidR="00DB431D" w:rsidRPr="001416B8" w:rsidRDefault="005B3EDC" w:rsidP="000F29DF">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C</w:t>
      </w:r>
      <w:r w:rsidR="00DB431D" w:rsidRPr="001416B8">
        <w:rPr>
          <w:rFonts w:cs="Times New Roman"/>
          <w:b/>
          <w:color w:val="FF0000"/>
          <w:sz w:val="20"/>
          <w:szCs w:val="20"/>
        </w:rPr>
        <w:t>ontributions and tangible/intangible assets</w:t>
      </w:r>
      <w:r w:rsidR="00A91B66" w:rsidRPr="001416B8">
        <w:rPr>
          <w:rFonts w:cs="Times New Roman"/>
          <w:b/>
          <w:color w:val="FF0000"/>
          <w:sz w:val="20"/>
          <w:szCs w:val="20"/>
        </w:rPr>
        <w:t xml:space="preserve">, taking </w:t>
      </w:r>
      <w:r w:rsidR="00DB431D" w:rsidRPr="001416B8">
        <w:rPr>
          <w:rFonts w:cs="Times New Roman"/>
          <w:b/>
          <w:color w:val="FF0000"/>
          <w:sz w:val="20"/>
          <w:szCs w:val="20"/>
        </w:rPr>
        <w:t>amorti</w:t>
      </w:r>
      <w:r w:rsidR="00EB20B4" w:rsidRPr="001416B8">
        <w:rPr>
          <w:rFonts w:cs="Times New Roman"/>
          <w:b/>
          <w:color w:val="FF0000"/>
          <w:sz w:val="20"/>
          <w:szCs w:val="20"/>
        </w:rPr>
        <w:t>s</w:t>
      </w:r>
      <w:r w:rsidR="00DB431D" w:rsidRPr="001416B8">
        <w:rPr>
          <w:rFonts w:cs="Times New Roman"/>
          <w:b/>
          <w:color w:val="FF0000"/>
          <w:sz w:val="20"/>
          <w:szCs w:val="20"/>
        </w:rPr>
        <w:t>a</w:t>
      </w:r>
      <w:r w:rsidR="00495C5F" w:rsidRPr="001416B8">
        <w:rPr>
          <w:rFonts w:cs="Times New Roman"/>
          <w:b/>
          <w:color w:val="FF0000"/>
          <w:sz w:val="20"/>
          <w:szCs w:val="20"/>
        </w:rPr>
        <w:t>tion/depreciation into account</w:t>
      </w:r>
    </w:p>
    <w:p w14:paraId="5431FD97" w14:textId="17F03805" w:rsidR="00514CDF" w:rsidRPr="00514CDF" w:rsidRDefault="00514CDF" w:rsidP="000F29DF">
      <w:pPr>
        <w:pStyle w:val="Listenabsatz"/>
        <w:widowControl w:val="0"/>
        <w:numPr>
          <w:ilvl w:val="0"/>
          <w:numId w:val="4"/>
        </w:numPr>
        <w:autoSpaceDE w:val="0"/>
        <w:autoSpaceDN w:val="0"/>
        <w:adjustRightInd w:val="0"/>
        <w:spacing w:after="240" w:line="240" w:lineRule="auto"/>
        <w:ind w:left="284" w:hanging="284"/>
        <w:rPr>
          <w:rFonts w:cs="Times"/>
          <w:sz w:val="20"/>
          <w:szCs w:val="20"/>
        </w:rPr>
      </w:pPr>
      <w:r>
        <w:rPr>
          <w:rFonts w:cs="Calibri Bold Italic"/>
          <w:sz w:val="20"/>
          <w:szCs w:val="20"/>
        </w:rPr>
        <w:t>“</w:t>
      </w:r>
      <w:r w:rsidRPr="00514CDF">
        <w:rPr>
          <w:rFonts w:cs="Calibri Bold Italic"/>
          <w:sz w:val="20"/>
          <w:szCs w:val="20"/>
        </w:rPr>
        <w:t xml:space="preserve">Organizations employ diverse methods for cost management and revenue generation, depending on their size and type. Almost all projects rely primarily on grants and contracts for </w:t>
      </w:r>
      <w:r w:rsidRPr="00514CDF">
        <w:rPr>
          <w:rFonts w:cs="Times"/>
          <w:sz w:val="20"/>
          <w:szCs w:val="20"/>
        </w:rPr>
        <w:t> </w:t>
      </w:r>
      <w:r w:rsidRPr="00514CDF">
        <w:rPr>
          <w:rFonts w:cs="Calibri Bold Italic"/>
          <w:sz w:val="20"/>
          <w:szCs w:val="20"/>
        </w:rPr>
        <w:t xml:space="preserve">funding, but almost all are also trying to diversify their revenue streams. </w:t>
      </w:r>
      <w:r w:rsidRPr="00514CDF">
        <w:rPr>
          <w:rFonts w:cs="Times"/>
          <w:sz w:val="20"/>
          <w:szCs w:val="20"/>
        </w:rPr>
        <w:t> </w:t>
      </w:r>
    </w:p>
    <w:p w14:paraId="4894D9A8" w14:textId="718EADB5" w:rsidR="00514CDF" w:rsidRPr="00514CDF" w:rsidRDefault="00514CDF" w:rsidP="000F29DF">
      <w:pPr>
        <w:pStyle w:val="Listenabsatz"/>
        <w:widowControl w:val="0"/>
        <w:numPr>
          <w:ilvl w:val="0"/>
          <w:numId w:val="4"/>
        </w:numPr>
        <w:autoSpaceDE w:val="0"/>
        <w:autoSpaceDN w:val="0"/>
        <w:adjustRightInd w:val="0"/>
        <w:spacing w:after="240" w:line="240" w:lineRule="auto"/>
        <w:ind w:left="284" w:hanging="284"/>
        <w:rPr>
          <w:rFonts w:cs="Times"/>
          <w:sz w:val="20"/>
          <w:szCs w:val="20"/>
        </w:rPr>
      </w:pPr>
      <w:r w:rsidRPr="00514CDF">
        <w:rPr>
          <w:rFonts w:cs="Calibri Bold Italic"/>
          <w:sz w:val="20"/>
          <w:szCs w:val="20"/>
        </w:rPr>
        <w:t xml:space="preserve">One core challenge for everyone was that many funders don’t see infrastructure sustainability as a priority; they tend to prefer funding new initiatives, rather than maintaining something that </w:t>
      </w:r>
      <w:r w:rsidRPr="00514CDF">
        <w:rPr>
          <w:rFonts w:cs="Times"/>
          <w:sz w:val="20"/>
          <w:szCs w:val="20"/>
        </w:rPr>
        <w:t> </w:t>
      </w:r>
      <w:r w:rsidR="00CE63F7">
        <w:rPr>
          <w:rFonts w:cs="Calibri Bold Italic"/>
          <w:sz w:val="20"/>
          <w:szCs w:val="20"/>
        </w:rPr>
        <w:t>already exists.</w:t>
      </w:r>
    </w:p>
    <w:p w14:paraId="116ED235" w14:textId="044ABF67" w:rsidR="00514CDF" w:rsidRPr="00514CDF" w:rsidRDefault="00514CDF" w:rsidP="000F29DF">
      <w:pPr>
        <w:pStyle w:val="Listenabsatz"/>
        <w:widowControl w:val="0"/>
        <w:numPr>
          <w:ilvl w:val="0"/>
          <w:numId w:val="4"/>
        </w:numPr>
        <w:autoSpaceDE w:val="0"/>
        <w:autoSpaceDN w:val="0"/>
        <w:adjustRightInd w:val="0"/>
        <w:spacing w:after="0" w:line="240" w:lineRule="auto"/>
        <w:ind w:left="284" w:hanging="284"/>
        <w:rPr>
          <w:rFonts w:cs="Times"/>
          <w:sz w:val="20"/>
          <w:szCs w:val="20"/>
        </w:rPr>
      </w:pPr>
      <w:r w:rsidRPr="00514CDF">
        <w:rPr>
          <w:rFonts w:cs="Calibri Bold Italic"/>
          <w:sz w:val="20"/>
          <w:szCs w:val="20"/>
        </w:rPr>
        <w:t xml:space="preserve">Everyone agreed that simple maintenance versus being able to adapt, add value, and grow are </w:t>
      </w:r>
      <w:r w:rsidRPr="00514CDF">
        <w:rPr>
          <w:rFonts w:cs="Times"/>
          <w:sz w:val="20"/>
          <w:szCs w:val="20"/>
        </w:rPr>
        <w:t> </w:t>
      </w:r>
      <w:r w:rsidRPr="00514CDF">
        <w:rPr>
          <w:rFonts w:cs="Calibri Bold Italic"/>
          <w:sz w:val="20"/>
          <w:szCs w:val="20"/>
        </w:rPr>
        <w:t>two very different trajectories with significant implications for managing costs and developing bud</w:t>
      </w:r>
      <w:r>
        <w:rPr>
          <w:rFonts w:cs="Calibri Bold Italic"/>
          <w:sz w:val="20"/>
          <w:szCs w:val="20"/>
        </w:rPr>
        <w:t>gets.” (ESA, 2010</w:t>
      </w:r>
      <w:r w:rsidR="00BA4AF4">
        <w:rPr>
          <w:rFonts w:cs="Calibri Bold Italic"/>
          <w:sz w:val="20"/>
          <w:szCs w:val="20"/>
        </w:rPr>
        <w:t xml:space="preserve">, </w:t>
      </w:r>
      <w:r w:rsidR="00085888">
        <w:rPr>
          <w:rFonts w:cs="Calibri Bold Italic"/>
          <w:sz w:val="20"/>
          <w:szCs w:val="20"/>
        </w:rPr>
        <w:t>3)</w:t>
      </w:r>
    </w:p>
    <w:p w14:paraId="55A477CA" w14:textId="77777777" w:rsidR="00514CDF" w:rsidRDefault="00514CDF" w:rsidP="004A44D2">
      <w:pPr>
        <w:widowControl w:val="0"/>
        <w:autoSpaceDE w:val="0"/>
        <w:autoSpaceDN w:val="0"/>
        <w:adjustRightInd w:val="0"/>
        <w:spacing w:after="0" w:line="240" w:lineRule="auto"/>
        <w:rPr>
          <w:rFonts w:cs="Times"/>
          <w:sz w:val="20"/>
          <w:szCs w:val="20"/>
        </w:rPr>
      </w:pPr>
    </w:p>
    <w:p w14:paraId="33D53480" w14:textId="10FDA1E3" w:rsidR="005F2632" w:rsidRPr="00963C56" w:rsidRDefault="005F2632" w:rsidP="00963C56">
      <w:pPr>
        <w:widowControl w:val="0"/>
        <w:tabs>
          <w:tab w:val="left" w:pos="220"/>
          <w:tab w:val="left" w:pos="720"/>
        </w:tabs>
        <w:autoSpaceDE w:val="0"/>
        <w:autoSpaceDN w:val="0"/>
        <w:adjustRightInd w:val="0"/>
        <w:spacing w:after="0" w:line="240" w:lineRule="auto"/>
        <w:rPr>
          <w:rFonts w:cs="Times"/>
          <w:sz w:val="20"/>
          <w:szCs w:val="20"/>
        </w:rPr>
      </w:pPr>
      <w:r w:rsidRPr="00963C56">
        <w:rPr>
          <w:rFonts w:cs="Times"/>
          <w:sz w:val="20"/>
          <w:szCs w:val="20"/>
        </w:rPr>
        <w:t>“Using this definition of sustainability, the following models are commonly used for the assembly and applic</w:t>
      </w:r>
      <w:r w:rsidRPr="00963C56">
        <w:rPr>
          <w:rFonts w:cs="Times"/>
          <w:sz w:val="20"/>
          <w:szCs w:val="20"/>
        </w:rPr>
        <w:t>a</w:t>
      </w:r>
      <w:r w:rsidRPr="00963C56">
        <w:rPr>
          <w:rFonts w:cs="Times"/>
          <w:sz w:val="20"/>
          <w:szCs w:val="20"/>
        </w:rPr>
        <w:t xml:space="preserve">tion of resources to </w:t>
      </w:r>
      <w:r w:rsidRPr="00963C56">
        <w:rPr>
          <w:rFonts w:cs="Times"/>
          <w:i/>
          <w:iCs/>
          <w:sz w:val="20"/>
          <w:szCs w:val="20"/>
        </w:rPr>
        <w:t xml:space="preserve">create </w:t>
      </w:r>
      <w:r w:rsidRPr="00963C56">
        <w:rPr>
          <w:rFonts w:cs="Times"/>
          <w:sz w:val="20"/>
          <w:szCs w:val="20"/>
        </w:rPr>
        <w:t xml:space="preserve">and then </w:t>
      </w:r>
      <w:r w:rsidRPr="00963C56">
        <w:rPr>
          <w:rFonts w:cs="Times"/>
          <w:i/>
          <w:iCs/>
          <w:sz w:val="20"/>
          <w:szCs w:val="20"/>
        </w:rPr>
        <w:t xml:space="preserve">sustain </w:t>
      </w:r>
      <w:r w:rsidRPr="00963C56">
        <w:rPr>
          <w:rFonts w:cs="Times"/>
          <w:sz w:val="20"/>
          <w:szCs w:val="20"/>
        </w:rPr>
        <w:t>an inf</w:t>
      </w:r>
      <w:r w:rsidR="00963C56">
        <w:rPr>
          <w:rFonts w:cs="Times"/>
          <w:sz w:val="20"/>
          <w:szCs w:val="20"/>
        </w:rPr>
        <w:t>rastructure element:</w:t>
      </w:r>
    </w:p>
    <w:p w14:paraId="154BF4BC" w14:textId="5F6CFD65" w:rsidR="005F2632" w:rsidRPr="00963C56" w:rsidRDefault="005F2632" w:rsidP="000F29DF">
      <w:pPr>
        <w:widowControl w:val="0"/>
        <w:numPr>
          <w:ilvl w:val="1"/>
          <w:numId w:val="8"/>
        </w:numPr>
        <w:autoSpaceDE w:val="0"/>
        <w:autoSpaceDN w:val="0"/>
        <w:adjustRightInd w:val="0"/>
        <w:spacing w:after="0" w:line="240" w:lineRule="auto"/>
        <w:ind w:left="284" w:hanging="284"/>
        <w:rPr>
          <w:rFonts w:cs="Times"/>
          <w:sz w:val="20"/>
          <w:szCs w:val="20"/>
        </w:rPr>
      </w:pPr>
      <w:r w:rsidRPr="00963C56">
        <w:rPr>
          <w:rFonts w:cs="Times"/>
          <w:sz w:val="20"/>
          <w:szCs w:val="20"/>
        </w:rPr>
        <w:t>Open source: a leader (or a set of leaders) promotes a goal of creating an infrastructure element in a public manner and a community voluntarily forms to work to</w:t>
      </w:r>
      <w:r w:rsidR="00963C56">
        <w:rPr>
          <w:rFonts w:cs="Times"/>
          <w:sz w:val="20"/>
          <w:szCs w:val="20"/>
        </w:rPr>
        <w:t>gether on this goal.</w:t>
      </w:r>
    </w:p>
    <w:p w14:paraId="1DF89FCC" w14:textId="421AE390" w:rsidR="005F2632" w:rsidRPr="00963C56" w:rsidRDefault="005F2632" w:rsidP="000F29DF">
      <w:pPr>
        <w:widowControl w:val="0"/>
        <w:numPr>
          <w:ilvl w:val="1"/>
          <w:numId w:val="8"/>
        </w:numPr>
        <w:autoSpaceDE w:val="0"/>
        <w:autoSpaceDN w:val="0"/>
        <w:adjustRightInd w:val="0"/>
        <w:spacing w:after="0" w:line="240" w:lineRule="auto"/>
        <w:ind w:left="284" w:hanging="284"/>
        <w:rPr>
          <w:rFonts w:cs="Times"/>
          <w:sz w:val="20"/>
          <w:szCs w:val="20"/>
        </w:rPr>
      </w:pPr>
      <w:r w:rsidRPr="00963C56">
        <w:rPr>
          <w:rFonts w:cs="Times"/>
          <w:sz w:val="20"/>
          <w:szCs w:val="20"/>
        </w:rPr>
        <w:t>Closed partnership: a set of partners works together to create an infrastructure element, but the partner- ship is not o</w:t>
      </w:r>
      <w:r w:rsidR="00963C56">
        <w:rPr>
          <w:rFonts w:cs="Times"/>
          <w:sz w:val="20"/>
          <w:szCs w:val="20"/>
        </w:rPr>
        <w:t>pen to external contributions.</w:t>
      </w:r>
    </w:p>
    <w:p w14:paraId="6617243B" w14:textId="2E17F7CF" w:rsidR="005F2632" w:rsidRPr="00963C56" w:rsidRDefault="005F2632" w:rsidP="000F29DF">
      <w:pPr>
        <w:widowControl w:val="0"/>
        <w:numPr>
          <w:ilvl w:val="1"/>
          <w:numId w:val="8"/>
        </w:numPr>
        <w:autoSpaceDE w:val="0"/>
        <w:autoSpaceDN w:val="0"/>
        <w:adjustRightInd w:val="0"/>
        <w:spacing w:after="0" w:line="240" w:lineRule="auto"/>
        <w:ind w:left="284" w:hanging="284"/>
        <w:rPr>
          <w:rFonts w:cs="Times"/>
          <w:sz w:val="20"/>
          <w:szCs w:val="20"/>
        </w:rPr>
      </w:pPr>
      <w:r w:rsidRPr="00963C56">
        <w:rPr>
          <w:rFonts w:cs="Times"/>
          <w:sz w:val="20"/>
          <w:szCs w:val="20"/>
        </w:rPr>
        <w:t>For profit: a group creates an infrastructure element using its own resources with the goal of later selling, leasing, or licensing the element or its design to recover the expend</w:t>
      </w:r>
      <w:r w:rsidR="00963C56">
        <w:rPr>
          <w:rFonts w:cs="Times"/>
          <w:sz w:val="20"/>
          <w:szCs w:val="20"/>
        </w:rPr>
        <w:t>ed resource and make a profit.</w:t>
      </w:r>
    </w:p>
    <w:p w14:paraId="20D5E472" w14:textId="5F63BBBC" w:rsidR="005F2632" w:rsidRPr="00963C56" w:rsidRDefault="005F2632" w:rsidP="000F29DF">
      <w:pPr>
        <w:widowControl w:val="0"/>
        <w:numPr>
          <w:ilvl w:val="1"/>
          <w:numId w:val="8"/>
        </w:numPr>
        <w:autoSpaceDE w:val="0"/>
        <w:autoSpaceDN w:val="0"/>
        <w:adjustRightInd w:val="0"/>
        <w:spacing w:after="0" w:line="240" w:lineRule="auto"/>
        <w:ind w:left="284" w:hanging="284"/>
        <w:rPr>
          <w:rFonts w:cs="Times"/>
          <w:sz w:val="20"/>
          <w:szCs w:val="20"/>
        </w:rPr>
      </w:pPr>
      <w:r w:rsidRPr="00963C56">
        <w:rPr>
          <w:rFonts w:cs="Times"/>
          <w:sz w:val="20"/>
          <w:szCs w:val="20"/>
        </w:rPr>
        <w:t>Dual licensing: a group creates an infrastructure element</w:t>
      </w:r>
      <w:r w:rsidR="00963C56">
        <w:rPr>
          <w:rFonts w:cs="Times"/>
          <w:sz w:val="20"/>
          <w:szCs w:val="20"/>
        </w:rPr>
        <w:t xml:space="preserve"> </w:t>
      </w:r>
      <w:r w:rsidRPr="00963C56">
        <w:rPr>
          <w:rFonts w:cs="Times"/>
          <w:sz w:val="20"/>
          <w:szCs w:val="20"/>
        </w:rPr>
        <w:t>using</w:t>
      </w:r>
      <w:r w:rsidR="00963C56">
        <w:rPr>
          <w:rFonts w:cs="Times"/>
          <w:sz w:val="20"/>
          <w:szCs w:val="20"/>
        </w:rPr>
        <w:t xml:space="preserve"> </w:t>
      </w:r>
      <w:r w:rsidRPr="00963C56">
        <w:rPr>
          <w:rFonts w:cs="Times"/>
          <w:sz w:val="20"/>
          <w:szCs w:val="20"/>
        </w:rPr>
        <w:t>its</w:t>
      </w:r>
      <w:r w:rsidR="00963C56">
        <w:rPr>
          <w:rFonts w:cs="Times"/>
          <w:sz w:val="20"/>
          <w:szCs w:val="20"/>
        </w:rPr>
        <w:t xml:space="preserve"> </w:t>
      </w:r>
      <w:r w:rsidRPr="00963C56">
        <w:rPr>
          <w:rFonts w:cs="Times"/>
          <w:sz w:val="20"/>
          <w:szCs w:val="20"/>
        </w:rPr>
        <w:t>own</w:t>
      </w:r>
      <w:r w:rsidR="00963C56">
        <w:rPr>
          <w:rFonts w:cs="Times"/>
          <w:sz w:val="20"/>
          <w:szCs w:val="20"/>
        </w:rPr>
        <w:t xml:space="preserve"> </w:t>
      </w:r>
      <w:r w:rsidRPr="00963C56">
        <w:rPr>
          <w:rFonts w:cs="Times"/>
          <w:sz w:val="20"/>
          <w:szCs w:val="20"/>
        </w:rPr>
        <w:t>resources</w:t>
      </w:r>
      <w:r w:rsidR="00963C56">
        <w:rPr>
          <w:rFonts w:cs="Times"/>
          <w:sz w:val="20"/>
          <w:szCs w:val="20"/>
        </w:rPr>
        <w:t xml:space="preserve"> </w:t>
      </w:r>
      <w:r w:rsidRPr="00963C56">
        <w:rPr>
          <w:rFonts w:cs="Times"/>
          <w:sz w:val="20"/>
          <w:szCs w:val="20"/>
        </w:rPr>
        <w:t>with</w:t>
      </w:r>
      <w:r w:rsidR="00963C56">
        <w:rPr>
          <w:rFonts w:cs="Times"/>
          <w:sz w:val="20"/>
          <w:szCs w:val="20"/>
        </w:rPr>
        <w:t xml:space="preserve"> </w:t>
      </w:r>
      <w:r w:rsidRPr="00963C56">
        <w:rPr>
          <w:rFonts w:cs="Times"/>
          <w:sz w:val="20"/>
          <w:szCs w:val="20"/>
        </w:rPr>
        <w:t>the</w:t>
      </w:r>
      <w:r w:rsidR="00963C56">
        <w:rPr>
          <w:rFonts w:cs="Times"/>
          <w:sz w:val="20"/>
          <w:szCs w:val="20"/>
        </w:rPr>
        <w:t xml:space="preserve"> </w:t>
      </w:r>
      <w:r w:rsidRPr="00963C56">
        <w:rPr>
          <w:rFonts w:cs="Times"/>
          <w:sz w:val="20"/>
          <w:szCs w:val="20"/>
        </w:rPr>
        <w:t>goal</w:t>
      </w:r>
      <w:r w:rsidR="00963C56">
        <w:rPr>
          <w:rFonts w:cs="Times"/>
          <w:sz w:val="20"/>
          <w:szCs w:val="20"/>
        </w:rPr>
        <w:t xml:space="preserve"> </w:t>
      </w:r>
      <w:r w:rsidRPr="00963C56">
        <w:rPr>
          <w:rFonts w:cs="Times"/>
          <w:sz w:val="20"/>
          <w:szCs w:val="20"/>
        </w:rPr>
        <w:t>of</w:t>
      </w:r>
      <w:r w:rsidR="00963C56">
        <w:rPr>
          <w:rFonts w:cs="Times"/>
          <w:sz w:val="20"/>
          <w:szCs w:val="20"/>
        </w:rPr>
        <w:t xml:space="preserve"> </w:t>
      </w:r>
      <w:r w:rsidRPr="00963C56">
        <w:rPr>
          <w:rFonts w:cs="Times"/>
          <w:sz w:val="20"/>
          <w:szCs w:val="20"/>
        </w:rPr>
        <w:t>allowing academic free use (and depending on the license, perhaps gaining further free contributions from that ac</w:t>
      </w:r>
      <w:r w:rsidR="00963C56">
        <w:rPr>
          <w:rFonts w:cs="Times"/>
          <w:sz w:val="20"/>
          <w:szCs w:val="20"/>
        </w:rPr>
        <w:t>a</w:t>
      </w:r>
      <w:r w:rsidRPr="00963C56">
        <w:rPr>
          <w:rFonts w:cs="Times"/>
          <w:sz w:val="20"/>
          <w:szCs w:val="20"/>
        </w:rPr>
        <w:t>demic community), while also selling, leasing, or licensing the element or its design to industry in order to recover the expended resource and perhaps make a profit, or at least, break even. This model also often has an implicit goal of not allowing other companies to financially profit di</w:t>
      </w:r>
      <w:r w:rsidR="00963C56">
        <w:rPr>
          <w:rFonts w:cs="Times"/>
          <w:sz w:val="20"/>
          <w:szCs w:val="20"/>
        </w:rPr>
        <w:t>rectly from the element.</w:t>
      </w:r>
    </w:p>
    <w:p w14:paraId="48A9AA4D" w14:textId="7DD4971B" w:rsidR="005F2632" w:rsidRPr="00963C56" w:rsidRDefault="005F2632" w:rsidP="000F29DF">
      <w:pPr>
        <w:widowControl w:val="0"/>
        <w:numPr>
          <w:ilvl w:val="1"/>
          <w:numId w:val="8"/>
        </w:numPr>
        <w:autoSpaceDE w:val="0"/>
        <w:autoSpaceDN w:val="0"/>
        <w:adjustRightInd w:val="0"/>
        <w:spacing w:after="0" w:line="240" w:lineRule="auto"/>
        <w:ind w:left="284" w:hanging="284"/>
        <w:rPr>
          <w:rFonts w:cs="Times"/>
          <w:sz w:val="20"/>
          <w:szCs w:val="20"/>
        </w:rPr>
      </w:pPr>
      <w:r w:rsidRPr="00963C56">
        <w:rPr>
          <w:rFonts w:cs="Times"/>
          <w:sz w:val="20"/>
          <w:szCs w:val="20"/>
        </w:rPr>
        <w:t>Open source and paid support: a group supports an open source element in exchange for resources from the users of that support. The support can include helping the users with the existing element, and adding features to the element for the supported users, though these added features become available to all users, not just those who have paid f</w:t>
      </w:r>
      <w:r w:rsidR="00963C56">
        <w:rPr>
          <w:rFonts w:cs="Times"/>
          <w:sz w:val="20"/>
          <w:szCs w:val="20"/>
        </w:rPr>
        <w:t>or support.</w:t>
      </w:r>
    </w:p>
    <w:p w14:paraId="75A1C54C" w14:textId="31D9F046" w:rsidR="005F2632" w:rsidRPr="00963C56" w:rsidRDefault="005F2632" w:rsidP="000F29DF">
      <w:pPr>
        <w:widowControl w:val="0"/>
        <w:numPr>
          <w:ilvl w:val="1"/>
          <w:numId w:val="8"/>
        </w:numPr>
        <w:autoSpaceDE w:val="0"/>
        <w:autoSpaceDN w:val="0"/>
        <w:adjustRightInd w:val="0"/>
        <w:spacing w:after="0" w:line="240" w:lineRule="auto"/>
        <w:ind w:left="284" w:hanging="284"/>
        <w:rPr>
          <w:rFonts w:cs="Times"/>
          <w:sz w:val="20"/>
          <w:szCs w:val="20"/>
        </w:rPr>
      </w:pPr>
      <w:r w:rsidRPr="00963C56">
        <w:rPr>
          <w:rFonts w:cs="Times"/>
          <w:sz w:val="20"/>
          <w:szCs w:val="20"/>
        </w:rPr>
        <w:t>Foundation or government: one or more groups convince an organization that promotes public advanc</w:t>
      </w:r>
      <w:r w:rsidRPr="00963C56">
        <w:rPr>
          <w:rFonts w:cs="Times"/>
          <w:sz w:val="20"/>
          <w:szCs w:val="20"/>
        </w:rPr>
        <w:t>e</w:t>
      </w:r>
      <w:r w:rsidRPr="00963C56">
        <w:rPr>
          <w:rFonts w:cs="Times"/>
          <w:sz w:val="20"/>
          <w:szCs w:val="20"/>
        </w:rPr>
        <w:t>ment that creating an infrastructure element will be a public good that should be supported.  </w:t>
      </w:r>
      <w:r w:rsidR="00675A4B" w:rsidRPr="00963C56">
        <w:rPr>
          <w:rFonts w:cs="Times"/>
          <w:sz w:val="20"/>
          <w:szCs w:val="20"/>
        </w:rPr>
        <w:t>(Katz and Proctor, 2014</w:t>
      </w:r>
      <w:r w:rsidR="00BA4AF4">
        <w:rPr>
          <w:rFonts w:cs="Times"/>
          <w:sz w:val="20"/>
          <w:szCs w:val="20"/>
        </w:rPr>
        <w:t xml:space="preserve">, </w:t>
      </w:r>
      <w:r w:rsidR="00963C56" w:rsidRPr="00963C56">
        <w:rPr>
          <w:rFonts w:cs="Times"/>
          <w:sz w:val="20"/>
          <w:szCs w:val="20"/>
        </w:rPr>
        <w:t>3</w:t>
      </w:r>
      <w:r w:rsidRPr="00963C56">
        <w:rPr>
          <w:rFonts w:cs="Times"/>
          <w:sz w:val="20"/>
          <w:szCs w:val="20"/>
        </w:rPr>
        <w:t>”</w:t>
      </w:r>
    </w:p>
    <w:p w14:paraId="5A1AD843" w14:textId="77777777" w:rsidR="005F2632" w:rsidRDefault="005F2632" w:rsidP="004A44D2">
      <w:pPr>
        <w:widowControl w:val="0"/>
        <w:autoSpaceDE w:val="0"/>
        <w:autoSpaceDN w:val="0"/>
        <w:adjustRightInd w:val="0"/>
        <w:spacing w:after="0" w:line="240" w:lineRule="auto"/>
        <w:rPr>
          <w:rFonts w:cs="Times"/>
          <w:sz w:val="20"/>
          <w:szCs w:val="20"/>
        </w:rPr>
      </w:pPr>
    </w:p>
    <w:p w14:paraId="4298BD11" w14:textId="77777777" w:rsidR="00AD2E42" w:rsidRPr="00C86B46" w:rsidRDefault="00AD2E42" w:rsidP="00AD2E42">
      <w:pPr>
        <w:widowControl w:val="0"/>
        <w:autoSpaceDE w:val="0"/>
        <w:autoSpaceDN w:val="0"/>
        <w:adjustRightInd w:val="0"/>
        <w:spacing w:after="0" w:line="240" w:lineRule="auto"/>
        <w:rPr>
          <w:rFonts w:cs="Times"/>
          <w:sz w:val="20"/>
          <w:szCs w:val="20"/>
        </w:rPr>
      </w:pPr>
      <w:r w:rsidRPr="00C86B46">
        <w:rPr>
          <w:rFonts w:cs="Times"/>
          <w:sz w:val="20"/>
          <w:szCs w:val="20"/>
        </w:rPr>
        <w:t>“</w:t>
      </w:r>
      <w:r w:rsidRPr="00C86B46">
        <w:rPr>
          <w:rFonts w:cs="Times"/>
          <w:color w:val="00000A"/>
          <w:sz w:val="20"/>
          <w:szCs w:val="20"/>
        </w:rPr>
        <w:t xml:space="preserve">Large sensor-based infrastructures for radio astronomy will be among the most intensive data-driven projects in the world, facing very high power </w:t>
      </w:r>
      <w:r w:rsidRPr="00C86B46">
        <w:rPr>
          <w:rFonts w:cs="Times"/>
          <w:sz w:val="20"/>
          <w:szCs w:val="20"/>
        </w:rPr>
        <w:t>demands</w:t>
      </w:r>
      <w:r w:rsidRPr="00C86B46">
        <w:rPr>
          <w:rFonts w:cs="Times"/>
          <w:color w:val="00000A"/>
          <w:sz w:val="20"/>
          <w:szCs w:val="20"/>
        </w:rPr>
        <w:t>. The geographically wide distribution of these infrastructures and their associated processing High Performance Computing (HPC) facilities require Green Information and Communications Technologies (ICT): a combination is needed of low power computing, power and byte eff</w:t>
      </w:r>
      <w:r w:rsidRPr="00C86B46">
        <w:rPr>
          <w:rFonts w:cs="Times"/>
          <w:color w:val="00000A"/>
          <w:sz w:val="20"/>
          <w:szCs w:val="20"/>
        </w:rPr>
        <w:t>i</w:t>
      </w:r>
      <w:r w:rsidRPr="00C86B46">
        <w:rPr>
          <w:rFonts w:cs="Times"/>
          <w:color w:val="00000A"/>
          <w:sz w:val="20"/>
          <w:szCs w:val="20"/>
        </w:rPr>
        <w:t>cient data storage, local data services, Smart Grid power management, and inclusion of Renewable Energies. Here we outline the major characteristics and innovation approaches to address power efficiency and long-term power sustainability for radio astronomy projects, focusing on Green ICT for science.</w:t>
      </w:r>
      <w:r w:rsidRPr="00C86B46">
        <w:rPr>
          <w:rFonts w:cs="Times"/>
          <w:sz w:val="20"/>
          <w:szCs w:val="20"/>
        </w:rPr>
        <w:t>” (Barbosa, 2014, 1)</w:t>
      </w:r>
    </w:p>
    <w:p w14:paraId="789A0A11" w14:textId="77777777" w:rsidR="00AD2E42" w:rsidRDefault="00AD2E42" w:rsidP="00AD2E42">
      <w:pPr>
        <w:widowControl w:val="0"/>
        <w:autoSpaceDE w:val="0"/>
        <w:autoSpaceDN w:val="0"/>
        <w:adjustRightInd w:val="0"/>
        <w:spacing w:after="0" w:line="240" w:lineRule="auto"/>
        <w:rPr>
          <w:rFonts w:cs="Times"/>
          <w:sz w:val="20"/>
          <w:szCs w:val="20"/>
        </w:rPr>
      </w:pPr>
    </w:p>
    <w:p w14:paraId="2194635E" w14:textId="77777777" w:rsidR="00514CDF" w:rsidRPr="001F0C98" w:rsidRDefault="00514CDF" w:rsidP="004A44D2">
      <w:pPr>
        <w:widowControl w:val="0"/>
        <w:autoSpaceDE w:val="0"/>
        <w:autoSpaceDN w:val="0"/>
        <w:adjustRightInd w:val="0"/>
        <w:spacing w:after="0" w:line="240" w:lineRule="auto"/>
        <w:rPr>
          <w:rFonts w:cs="Times"/>
          <w:sz w:val="20"/>
          <w:szCs w:val="20"/>
        </w:rPr>
      </w:pPr>
    </w:p>
    <w:p w14:paraId="7C5B2A78" w14:textId="5CDAB655" w:rsidR="00DB431D" w:rsidRPr="001416B8" w:rsidRDefault="005B3EDC" w:rsidP="000F29DF">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R</w:t>
      </w:r>
      <w:r w:rsidR="00DB431D" w:rsidRPr="001416B8">
        <w:rPr>
          <w:rFonts w:cs="Times New Roman"/>
          <w:b/>
          <w:color w:val="FF0000"/>
          <w:sz w:val="20"/>
          <w:szCs w:val="20"/>
        </w:rPr>
        <w:t>isk management strategies that can help mitigate un</w:t>
      </w:r>
      <w:r w:rsidR="00495C5F" w:rsidRPr="001416B8">
        <w:rPr>
          <w:rFonts w:cs="Times New Roman"/>
          <w:b/>
          <w:color w:val="FF0000"/>
          <w:sz w:val="20"/>
          <w:szCs w:val="20"/>
        </w:rPr>
        <w:t>foreseen cost escalation</w:t>
      </w:r>
    </w:p>
    <w:p w14:paraId="451AC7A4" w14:textId="7F42C7DA" w:rsidR="004A44D2" w:rsidRPr="00524378" w:rsidRDefault="00E53F2E" w:rsidP="0022370D">
      <w:pPr>
        <w:widowControl w:val="0"/>
        <w:autoSpaceDE w:val="0"/>
        <w:autoSpaceDN w:val="0"/>
        <w:adjustRightInd w:val="0"/>
        <w:spacing w:after="0" w:line="240" w:lineRule="auto"/>
        <w:rPr>
          <w:rFonts w:cs="Times"/>
          <w:sz w:val="20"/>
          <w:szCs w:val="20"/>
        </w:rPr>
      </w:pPr>
      <w:r w:rsidRPr="00524378">
        <w:rPr>
          <w:rFonts w:cs="Times"/>
          <w:sz w:val="20"/>
          <w:szCs w:val="20"/>
        </w:rPr>
        <w:t>“</w:t>
      </w:r>
      <w:r w:rsidR="008547D7" w:rsidRPr="00524378">
        <w:rPr>
          <w:rFonts w:cs="Times"/>
          <w:sz w:val="20"/>
          <w:szCs w:val="20"/>
        </w:rPr>
        <w:t xml:space="preserve">We believe elements of e-Research infrastructure can be placed in a three-dimensional space, as shown in </w:t>
      </w:r>
      <w:r w:rsidR="008547D7" w:rsidRPr="00524378">
        <w:rPr>
          <w:rFonts w:cs="Times"/>
          <w:bCs/>
          <w:sz w:val="20"/>
          <w:szCs w:val="20"/>
        </w:rPr>
        <w:t>Figure 1</w:t>
      </w:r>
      <w:r w:rsidR="008547D7" w:rsidRPr="00524378">
        <w:rPr>
          <w:rFonts w:cs="Times"/>
          <w:sz w:val="20"/>
          <w:szCs w:val="20"/>
        </w:rPr>
        <w:t xml:space="preserve">, and that doing this will lead to increased understanding of issues related to creating and sustaining these elements. </w:t>
      </w:r>
      <w:r w:rsidR="00524378">
        <w:rPr>
          <w:rFonts w:cs="Times"/>
          <w:sz w:val="20"/>
          <w:szCs w:val="20"/>
        </w:rPr>
        <w:t>T</w:t>
      </w:r>
      <w:r w:rsidR="008547D7" w:rsidRPr="00524378">
        <w:rPr>
          <w:rFonts w:cs="Times"/>
          <w:sz w:val="20"/>
          <w:szCs w:val="20"/>
        </w:rPr>
        <w:t xml:space="preserve">he first axis is the temporal duration of the element. This ranges from 5 years for computer </w:t>
      </w:r>
      <w:r w:rsidR="008547D7" w:rsidRPr="00524378">
        <w:rPr>
          <w:rFonts w:cs="Times"/>
          <w:sz w:val="20"/>
          <w:szCs w:val="20"/>
        </w:rPr>
        <w:lastRenderedPageBreak/>
        <w:t>systems, to about 10 years for networks and instruments, 20 years for production software, 40 years for people, and infinity for data, including publications, which can be viewed as a subset of data. Note that these values are approximate and can be debated; they do not completely define the duration of the elements. They are points of reference, and any given infrastructure element might have a shorter or longer duration than the point of reference given above. (In particular, the idea of a temporal duration for an instrument is unclear, but one can certainly consider an instrument as having a lifetime during which it is useful to a research community as shared infrastructure.) However, the key point is that decisions that are made about creating and sustaining infrastructure elements need to include awareness of the expected lifetime</w:t>
      </w:r>
      <w:r w:rsidR="00524378" w:rsidRPr="00524378">
        <w:rPr>
          <w:rFonts w:cs="Times"/>
          <w:sz w:val="20"/>
          <w:szCs w:val="20"/>
        </w:rPr>
        <w:t xml:space="preserve"> of the element. The second axis is the spatial extent of the element. In an academic setting, this might range from a particular laboratory to a department, college or school, university, university system or regional alliance, nation, and beyond. This could also be thought of for general research institutions, which might have alternative administrative units in place of departments, colleges or schools, such as divisions or directorates</w:t>
      </w:r>
      <w:r w:rsidR="008547D7" w:rsidRPr="00524378">
        <w:rPr>
          <w:rFonts w:cs="Times"/>
          <w:sz w:val="20"/>
          <w:szCs w:val="20"/>
        </w:rPr>
        <w:t xml:space="preserve">. </w:t>
      </w:r>
      <w:r w:rsidR="00EA5EE3" w:rsidRPr="00EA5EE3">
        <w:rPr>
          <w:rFonts w:cs="Times"/>
          <w:sz w:val="20"/>
          <w:szCs w:val="20"/>
        </w:rPr>
        <w:t>The third axis is the purpose of the infr</w:t>
      </w:r>
      <w:r w:rsidR="00EA5EE3" w:rsidRPr="00EA5EE3">
        <w:rPr>
          <w:rFonts w:cs="Times"/>
          <w:sz w:val="20"/>
          <w:szCs w:val="20"/>
        </w:rPr>
        <w:t>a</w:t>
      </w:r>
      <w:r w:rsidR="00EA5EE3" w:rsidRPr="00EA5EE3">
        <w:rPr>
          <w:rFonts w:cs="Times"/>
          <w:sz w:val="20"/>
          <w:szCs w:val="20"/>
        </w:rPr>
        <w:t>structure element. This ranges from the element being used for one particular problem—though in this case it’s unlikely to be infrastructure—to it being used for a variety of problems in one discipline (e.g., climate data from Arctic ice cores), to it being used for a variety of problems across a set of disciplines (e.g., molecular d</w:t>
      </w:r>
      <w:r w:rsidR="00EA5EE3" w:rsidRPr="00EA5EE3">
        <w:rPr>
          <w:rFonts w:cs="Times"/>
          <w:sz w:val="20"/>
          <w:szCs w:val="20"/>
        </w:rPr>
        <w:t>y</w:t>
      </w:r>
      <w:r w:rsidR="00EA5EE3" w:rsidRPr="00EA5EE3">
        <w:rPr>
          <w:rFonts w:cs="Times"/>
          <w:sz w:val="20"/>
          <w:szCs w:val="20"/>
        </w:rPr>
        <w:t>namics software), to it being used generally across all disciplines (e.g., a network, an HPC system). There are linkages between the temporal duration of an element and its purpose, e.g., although the lifetime of a given software element may be 20 years when just considering its technical context, if the element ceases to be us</w:t>
      </w:r>
      <w:r w:rsidR="00EA5EE3" w:rsidRPr="00EA5EE3">
        <w:rPr>
          <w:rFonts w:cs="Times"/>
          <w:sz w:val="20"/>
          <w:szCs w:val="20"/>
        </w:rPr>
        <w:t>e</w:t>
      </w:r>
      <w:r w:rsidR="00EA5EE3" w:rsidRPr="00EA5EE3">
        <w:rPr>
          <w:rFonts w:cs="Times"/>
          <w:sz w:val="20"/>
          <w:szCs w:val="20"/>
        </w:rPr>
        <w:t>ful to its user community then the life- time will be shortened.</w:t>
      </w:r>
      <w:r w:rsidRPr="00524378">
        <w:rPr>
          <w:rFonts w:cs="Times"/>
          <w:sz w:val="20"/>
          <w:szCs w:val="20"/>
        </w:rPr>
        <w:t>”</w:t>
      </w:r>
      <w:r w:rsidR="00443F63" w:rsidRPr="00524378">
        <w:rPr>
          <w:rFonts w:cs="Times"/>
          <w:sz w:val="20"/>
          <w:szCs w:val="20"/>
        </w:rPr>
        <w:t xml:space="preserve"> (</w:t>
      </w:r>
      <w:r w:rsidR="00443F63" w:rsidRPr="00524378">
        <w:rPr>
          <w:sz w:val="20"/>
          <w:szCs w:val="20"/>
        </w:rPr>
        <w:t>Katz D and Proctor, 2014</w:t>
      </w:r>
      <w:r w:rsidR="00BA4AF4">
        <w:rPr>
          <w:sz w:val="20"/>
          <w:szCs w:val="20"/>
        </w:rPr>
        <w:t xml:space="preserve">, </w:t>
      </w:r>
      <w:r w:rsidR="00070110" w:rsidRPr="00524378">
        <w:rPr>
          <w:sz w:val="20"/>
          <w:szCs w:val="20"/>
        </w:rPr>
        <w:t>2</w:t>
      </w:r>
      <w:r w:rsidR="00443F63" w:rsidRPr="00524378">
        <w:rPr>
          <w:sz w:val="20"/>
          <w:szCs w:val="20"/>
        </w:rPr>
        <w:t>)</w:t>
      </w:r>
    </w:p>
    <w:p w14:paraId="2D041C42" w14:textId="77777777" w:rsidR="00CE63F7" w:rsidRDefault="00CE63F7" w:rsidP="004A44D2">
      <w:pPr>
        <w:widowControl w:val="0"/>
        <w:autoSpaceDE w:val="0"/>
        <w:autoSpaceDN w:val="0"/>
        <w:adjustRightInd w:val="0"/>
        <w:spacing w:after="0" w:line="240" w:lineRule="auto"/>
        <w:rPr>
          <w:rFonts w:cs="Times"/>
          <w:sz w:val="20"/>
          <w:szCs w:val="20"/>
        </w:rPr>
      </w:pPr>
    </w:p>
    <w:p w14:paraId="419BD80D" w14:textId="75098661" w:rsidR="004A3E00" w:rsidRPr="00B25971" w:rsidRDefault="004A3E00" w:rsidP="00B25971">
      <w:pPr>
        <w:widowControl w:val="0"/>
        <w:autoSpaceDE w:val="0"/>
        <w:autoSpaceDN w:val="0"/>
        <w:adjustRightInd w:val="0"/>
        <w:spacing w:after="0" w:line="240" w:lineRule="auto"/>
        <w:rPr>
          <w:rFonts w:cs="Times"/>
          <w:sz w:val="20"/>
          <w:szCs w:val="20"/>
        </w:rPr>
      </w:pPr>
      <w:r w:rsidRPr="00B25971">
        <w:rPr>
          <w:rFonts w:cs="Times"/>
          <w:sz w:val="20"/>
          <w:szCs w:val="20"/>
        </w:rPr>
        <w:t>“In the financial dimension of sustainability we have de- fined three key areas: market strategy, customer focus and brand recognition. While there are many important activities within each of these three areas, the fund</w:t>
      </w:r>
      <w:r w:rsidRPr="00B25971">
        <w:rPr>
          <w:rFonts w:cs="Times"/>
          <w:sz w:val="20"/>
          <w:szCs w:val="20"/>
        </w:rPr>
        <w:t>a</w:t>
      </w:r>
      <w:r w:rsidRPr="00B25971">
        <w:rPr>
          <w:rFonts w:cs="Times"/>
          <w:sz w:val="20"/>
          <w:szCs w:val="20"/>
        </w:rPr>
        <w:t>mental element should be the development and maintenance of a strategic plan.” (Watson, 2014</w:t>
      </w:r>
      <w:r w:rsidR="00BA4AF4">
        <w:rPr>
          <w:rFonts w:cs="Times"/>
          <w:sz w:val="20"/>
          <w:szCs w:val="20"/>
        </w:rPr>
        <w:t xml:space="preserve">, </w:t>
      </w:r>
      <w:r w:rsidRPr="00B25971">
        <w:rPr>
          <w:rFonts w:cs="Times"/>
          <w:sz w:val="20"/>
          <w:szCs w:val="20"/>
        </w:rPr>
        <w:t>64)</w:t>
      </w:r>
    </w:p>
    <w:p w14:paraId="6035560C" w14:textId="77777777" w:rsidR="00EF3AB8" w:rsidRDefault="00EF3AB8" w:rsidP="000819D2">
      <w:pPr>
        <w:widowControl w:val="0"/>
        <w:autoSpaceDE w:val="0"/>
        <w:autoSpaceDN w:val="0"/>
        <w:adjustRightInd w:val="0"/>
        <w:spacing w:after="0" w:line="240" w:lineRule="auto"/>
        <w:rPr>
          <w:rFonts w:cs="Times New Roman"/>
          <w:sz w:val="20"/>
          <w:szCs w:val="20"/>
        </w:rPr>
      </w:pPr>
    </w:p>
    <w:p w14:paraId="6EE1B1A7" w14:textId="43BD3D3D" w:rsidR="00B25971" w:rsidRPr="006C5226" w:rsidRDefault="00B25971" w:rsidP="006C5226">
      <w:pPr>
        <w:widowControl w:val="0"/>
        <w:autoSpaceDE w:val="0"/>
        <w:autoSpaceDN w:val="0"/>
        <w:adjustRightInd w:val="0"/>
        <w:spacing w:after="0" w:line="240" w:lineRule="auto"/>
        <w:rPr>
          <w:rFonts w:cs="Times"/>
          <w:sz w:val="20"/>
          <w:szCs w:val="20"/>
        </w:rPr>
      </w:pPr>
      <w:r w:rsidRPr="006C5226">
        <w:rPr>
          <w:rFonts w:cs="Times New Roman"/>
          <w:sz w:val="20"/>
          <w:szCs w:val="20"/>
        </w:rPr>
        <w:t>“One of the conditions for the real word’s sustainable development is the occurrence of a social change (also referred to as social development). By the same analogy stated above, this means that an e-Infrastructure can be sustainable only if a change occurs in the way we consider and support Virtual Organisations of users. Any model of long-term sustainable e- Infrastructures should then put the user at the centre and be scalable and dependable.” (</w:t>
      </w:r>
      <w:r w:rsidR="00BA4AF4" w:rsidRPr="006C5226">
        <w:rPr>
          <w:rFonts w:cs="Times New Roman"/>
          <w:sz w:val="20"/>
          <w:szCs w:val="20"/>
        </w:rPr>
        <w:t>Barbera, 2009, 4)</w:t>
      </w:r>
    </w:p>
    <w:p w14:paraId="63695465" w14:textId="77777777" w:rsidR="00B25971" w:rsidRDefault="00B25971" w:rsidP="000819D2">
      <w:pPr>
        <w:widowControl w:val="0"/>
        <w:autoSpaceDE w:val="0"/>
        <w:autoSpaceDN w:val="0"/>
        <w:adjustRightInd w:val="0"/>
        <w:spacing w:after="0" w:line="240" w:lineRule="auto"/>
        <w:rPr>
          <w:rFonts w:cs="Times New Roman"/>
          <w:sz w:val="20"/>
          <w:szCs w:val="20"/>
        </w:rPr>
      </w:pPr>
    </w:p>
    <w:p w14:paraId="17112496" w14:textId="77777777" w:rsidR="00792539" w:rsidRPr="001416B8" w:rsidRDefault="00792539" w:rsidP="00792539">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Plan and management costs for termination phase</w:t>
      </w:r>
    </w:p>
    <w:p w14:paraId="07B545DE" w14:textId="77777777" w:rsidR="00792539" w:rsidRDefault="00792539" w:rsidP="00792539">
      <w:pPr>
        <w:pStyle w:val="KeinLeerraum"/>
        <w:rPr>
          <w:sz w:val="20"/>
          <w:szCs w:val="20"/>
        </w:rPr>
      </w:pPr>
    </w:p>
    <w:p w14:paraId="350F6B37" w14:textId="77777777" w:rsidR="00DA21E0" w:rsidRPr="001F0C98" w:rsidRDefault="00DA21E0" w:rsidP="000819D2">
      <w:pPr>
        <w:widowControl w:val="0"/>
        <w:autoSpaceDE w:val="0"/>
        <w:autoSpaceDN w:val="0"/>
        <w:adjustRightInd w:val="0"/>
        <w:spacing w:after="0" w:line="240" w:lineRule="auto"/>
        <w:rPr>
          <w:rFonts w:cs="Times New Roman"/>
          <w:sz w:val="20"/>
          <w:szCs w:val="20"/>
        </w:rPr>
      </w:pPr>
    </w:p>
    <w:p w14:paraId="1F3ED5B6" w14:textId="1A4330EE" w:rsidR="000819D2" w:rsidRPr="000F29DF" w:rsidRDefault="000819D2" w:rsidP="000F29DF">
      <w:pPr>
        <w:pStyle w:val="Listenabsatz"/>
        <w:widowControl w:val="0"/>
        <w:numPr>
          <w:ilvl w:val="0"/>
          <w:numId w:val="20"/>
        </w:numPr>
        <w:autoSpaceDE w:val="0"/>
        <w:autoSpaceDN w:val="0"/>
        <w:adjustRightInd w:val="0"/>
        <w:spacing w:after="0" w:line="240" w:lineRule="auto"/>
        <w:ind w:left="567" w:hanging="567"/>
        <w:rPr>
          <w:rFonts w:cs="Times"/>
          <w:b/>
          <w:color w:val="FF0000"/>
          <w:sz w:val="24"/>
          <w:szCs w:val="24"/>
        </w:rPr>
      </w:pPr>
      <w:r w:rsidRPr="000F29DF">
        <w:rPr>
          <w:rFonts w:cs="Times New Roman"/>
          <w:b/>
          <w:color w:val="FF0000"/>
          <w:sz w:val="24"/>
          <w:szCs w:val="24"/>
        </w:rPr>
        <w:t>Human resources</w:t>
      </w:r>
    </w:p>
    <w:p w14:paraId="54286D5A" w14:textId="6C0AC5C6" w:rsidR="00DB431D" w:rsidRPr="001416B8" w:rsidRDefault="00104E1C" w:rsidP="000F29DF">
      <w:pPr>
        <w:widowControl w:val="0"/>
        <w:numPr>
          <w:ilvl w:val="0"/>
          <w:numId w:val="23"/>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P</w:t>
      </w:r>
      <w:r w:rsidR="00B52467" w:rsidRPr="001416B8">
        <w:rPr>
          <w:rFonts w:cs="Times New Roman"/>
          <w:b/>
          <w:color w:val="FF0000"/>
          <w:sz w:val="20"/>
          <w:szCs w:val="20"/>
        </w:rPr>
        <w:t>olicies/</w:t>
      </w:r>
      <w:r w:rsidR="00DB431D" w:rsidRPr="001416B8">
        <w:rPr>
          <w:rFonts w:cs="Times New Roman"/>
          <w:b/>
          <w:color w:val="FF0000"/>
          <w:sz w:val="20"/>
          <w:szCs w:val="20"/>
        </w:rPr>
        <w:t xml:space="preserve">practices </w:t>
      </w:r>
      <w:r w:rsidR="00B52467" w:rsidRPr="001416B8">
        <w:rPr>
          <w:rFonts w:cs="Times New Roman"/>
          <w:b/>
          <w:color w:val="FF0000"/>
          <w:sz w:val="20"/>
          <w:szCs w:val="20"/>
        </w:rPr>
        <w:t>to attract</w:t>
      </w:r>
      <w:r w:rsidR="00DB431D" w:rsidRPr="001416B8">
        <w:rPr>
          <w:rFonts w:cs="Times New Roman"/>
          <w:b/>
          <w:color w:val="FF0000"/>
          <w:sz w:val="20"/>
          <w:szCs w:val="20"/>
        </w:rPr>
        <w:t xml:space="preserve"> and </w:t>
      </w:r>
      <w:r w:rsidR="00B52467" w:rsidRPr="001416B8">
        <w:rPr>
          <w:rFonts w:cs="Times New Roman"/>
          <w:b/>
          <w:color w:val="FF0000"/>
          <w:sz w:val="20"/>
          <w:szCs w:val="20"/>
        </w:rPr>
        <w:t>retain</w:t>
      </w:r>
      <w:r w:rsidR="00DB431D" w:rsidRPr="001416B8">
        <w:rPr>
          <w:rFonts w:cs="Times New Roman"/>
          <w:b/>
          <w:color w:val="FF0000"/>
          <w:sz w:val="20"/>
          <w:szCs w:val="20"/>
        </w:rPr>
        <w:t xml:space="preserve"> scientific, technical and admi</w:t>
      </w:r>
      <w:r w:rsidR="00B053FD" w:rsidRPr="001416B8">
        <w:rPr>
          <w:rFonts w:cs="Times New Roman"/>
          <w:b/>
          <w:color w:val="FF0000"/>
          <w:sz w:val="20"/>
          <w:szCs w:val="20"/>
        </w:rPr>
        <w:t>nistrative staff</w:t>
      </w:r>
    </w:p>
    <w:p w14:paraId="176D41E2" w14:textId="70CE5C84" w:rsidR="00F90A2D" w:rsidRPr="00B872DD" w:rsidRDefault="00D7041F" w:rsidP="009D53BA">
      <w:pPr>
        <w:widowControl w:val="0"/>
        <w:autoSpaceDE w:val="0"/>
        <w:autoSpaceDN w:val="0"/>
        <w:adjustRightInd w:val="0"/>
        <w:spacing w:after="0" w:line="240" w:lineRule="auto"/>
        <w:rPr>
          <w:rFonts w:cs="Times"/>
          <w:sz w:val="20"/>
          <w:szCs w:val="20"/>
        </w:rPr>
      </w:pPr>
      <w:r w:rsidRPr="00B872DD">
        <w:rPr>
          <w:rFonts w:cs="Times New Roman"/>
          <w:sz w:val="20"/>
          <w:szCs w:val="20"/>
        </w:rPr>
        <w:t>“</w:t>
      </w:r>
      <w:r w:rsidRPr="00B872DD">
        <w:rPr>
          <w:rFonts w:cs="Calibri Bold Italic"/>
          <w:sz w:val="20"/>
          <w:szCs w:val="20"/>
        </w:rPr>
        <w:t>Critical mass of scientific talent is based on outstanding scientific opportunity but can be built up through mechanisms such as attractive employment conditions, transparent recruitment practices, openness to divers</w:t>
      </w:r>
      <w:r w:rsidRPr="00B872DD">
        <w:rPr>
          <w:rFonts w:cs="Calibri Bold Italic"/>
          <w:sz w:val="20"/>
          <w:szCs w:val="20"/>
        </w:rPr>
        <w:t>i</w:t>
      </w:r>
      <w:r w:rsidRPr="00B872DD">
        <w:rPr>
          <w:rFonts w:cs="Calibri Bold Italic"/>
          <w:sz w:val="20"/>
          <w:szCs w:val="20"/>
        </w:rPr>
        <w:t>ty, and adaptable PhD and post-doctoral curricula. Additionally, RIs can finance or co- finance studentships and doctoral and postdoctoral fellows. In order to preserve links to national educational systems, doctoral and post-doctoral programmes can be designed together with universities, thus enabling young researchers to acquire hands-on experience at the RI while maintaining links to their home universities. Developing and ma</w:t>
      </w:r>
      <w:r w:rsidRPr="00B872DD">
        <w:rPr>
          <w:rFonts w:cs="Calibri Bold Italic"/>
          <w:sz w:val="20"/>
          <w:szCs w:val="20"/>
        </w:rPr>
        <w:t>n</w:t>
      </w:r>
      <w:r w:rsidRPr="00B872DD">
        <w:rPr>
          <w:rFonts w:cs="Calibri Bold Italic"/>
          <w:sz w:val="20"/>
          <w:szCs w:val="20"/>
        </w:rPr>
        <w:t>aging new instrumentation also generates the need to train technologically skilled personnel and ensure their mobility. It should be noted that at the moment RIs in Europe are very successful in attracting the best scie</w:t>
      </w:r>
      <w:r w:rsidRPr="00B872DD">
        <w:rPr>
          <w:rFonts w:cs="Calibri Bold Italic"/>
          <w:sz w:val="20"/>
          <w:szCs w:val="20"/>
        </w:rPr>
        <w:t>n</w:t>
      </w:r>
      <w:r w:rsidRPr="00B872DD">
        <w:rPr>
          <w:rFonts w:cs="Calibri Bold Italic"/>
          <w:sz w:val="20"/>
          <w:szCs w:val="20"/>
        </w:rPr>
        <w:t>tific talents but face difficulties in attracting experts in instrumentation and engineers.</w:t>
      </w:r>
      <w:r w:rsidR="00196060" w:rsidRPr="00B872DD">
        <w:rPr>
          <w:rFonts w:cs="Calibri Bold Italic"/>
          <w:sz w:val="20"/>
          <w:szCs w:val="20"/>
        </w:rPr>
        <w:t xml:space="preserve"> RIs can build up their pool of scientific talent by enabling inter-institutional and trans-national mobility at all career level</w:t>
      </w:r>
      <w:r w:rsidR="009D53BA" w:rsidRPr="00B872DD">
        <w:rPr>
          <w:rFonts w:cs="Calibri Bold Italic"/>
          <w:sz w:val="20"/>
          <w:szCs w:val="20"/>
        </w:rPr>
        <w:t xml:space="preserve">s </w:t>
      </w:r>
      <w:r w:rsidR="00196060" w:rsidRPr="00B872DD">
        <w:rPr>
          <w:rFonts w:cs="Calibri Bold Italic"/>
          <w:sz w:val="20"/>
          <w:szCs w:val="20"/>
        </w:rPr>
        <w:t xml:space="preserve">but with particular focus on young researchers. This can be achieved through short- term visiting exchanges (from lab to lab), organization of scientific events or dedicated workshops, as well as targeted training opportunities. RIs can consider innovative mechanisms, such as engaging in partnerships with </w:t>
      </w:r>
      <w:proofErr w:type="gramStart"/>
      <w:r w:rsidR="00196060" w:rsidRPr="00B872DD">
        <w:rPr>
          <w:rFonts w:cs="Calibri Bold Italic"/>
          <w:sz w:val="20"/>
          <w:szCs w:val="20"/>
        </w:rPr>
        <w:t>industry,</w:t>
      </w:r>
      <w:proofErr w:type="gramEnd"/>
      <w:r w:rsidR="00196060" w:rsidRPr="00B872DD">
        <w:rPr>
          <w:rFonts w:cs="Calibri Bold Italic"/>
          <w:sz w:val="20"/>
          <w:szCs w:val="20"/>
        </w:rPr>
        <w:t xml:space="preserve"> in order to facilitate pa</w:t>
      </w:r>
      <w:r w:rsidR="00196060" w:rsidRPr="00B872DD">
        <w:rPr>
          <w:rFonts w:cs="Calibri Bold Italic"/>
          <w:sz w:val="20"/>
          <w:szCs w:val="20"/>
        </w:rPr>
        <w:t>r</w:t>
      </w:r>
      <w:r w:rsidR="00196060" w:rsidRPr="00B872DD">
        <w:rPr>
          <w:rFonts w:cs="Calibri Bold Italic"/>
          <w:sz w:val="20"/>
          <w:szCs w:val="20"/>
        </w:rPr>
        <w:t>ticipation of talented researchers and engineers from less developed regions in their training events.</w:t>
      </w:r>
      <w:r w:rsidR="00FB5616" w:rsidRPr="00B872DD">
        <w:rPr>
          <w:rFonts w:cs="Calibri Bold Italic"/>
          <w:sz w:val="20"/>
          <w:szCs w:val="20"/>
        </w:rPr>
        <w:t xml:space="preserve"> For all </w:t>
      </w:r>
      <w:proofErr w:type="spellStart"/>
      <w:r w:rsidR="00FB5616" w:rsidRPr="00B872DD">
        <w:rPr>
          <w:rFonts w:cs="Calibri Bold Italic"/>
          <w:sz w:val="20"/>
          <w:szCs w:val="20"/>
        </w:rPr>
        <w:t>EIROforum</w:t>
      </w:r>
      <w:proofErr w:type="spellEnd"/>
      <w:r w:rsidR="00FB5616" w:rsidRPr="00B872DD">
        <w:rPr>
          <w:rFonts w:cs="Calibri Bold Italic"/>
          <w:sz w:val="20"/>
          <w:szCs w:val="20"/>
        </w:rPr>
        <w:t xml:space="preserve"> organizations, training the next generation of researchers and engineers is part of their core mission. EIROs have in place training programmes for doctoral and postdoctoral fellows as well as other young r</w:t>
      </w:r>
      <w:r w:rsidR="00FB5616" w:rsidRPr="00B872DD">
        <w:rPr>
          <w:rFonts w:cs="Calibri Bold Italic"/>
          <w:sz w:val="20"/>
          <w:szCs w:val="20"/>
        </w:rPr>
        <w:t>e</w:t>
      </w:r>
      <w:r w:rsidR="00FB5616" w:rsidRPr="00B872DD">
        <w:rPr>
          <w:rFonts w:cs="Calibri Bold Italic"/>
          <w:sz w:val="20"/>
          <w:szCs w:val="20"/>
        </w:rPr>
        <w:t>searchers and scientific and technical staff, which encourage mobility and exchange of knowledge.</w:t>
      </w:r>
      <w:r w:rsidRPr="00B872DD">
        <w:rPr>
          <w:rFonts w:cs="Times New Roman"/>
          <w:sz w:val="20"/>
          <w:szCs w:val="20"/>
        </w:rPr>
        <w:t>” (</w:t>
      </w:r>
      <w:proofErr w:type="spellStart"/>
      <w:r w:rsidR="007513D2" w:rsidRPr="00B872DD">
        <w:rPr>
          <w:rFonts w:cs="Times"/>
          <w:sz w:val="20"/>
          <w:szCs w:val="20"/>
        </w:rPr>
        <w:t>EIROforum</w:t>
      </w:r>
      <w:proofErr w:type="spellEnd"/>
      <w:r w:rsidRPr="00B872DD">
        <w:rPr>
          <w:rFonts w:cs="Times New Roman"/>
          <w:sz w:val="20"/>
          <w:szCs w:val="20"/>
        </w:rPr>
        <w:t>, 2015</w:t>
      </w:r>
      <w:r w:rsidR="00BA4AF4">
        <w:rPr>
          <w:rFonts w:cs="Times New Roman"/>
          <w:sz w:val="20"/>
          <w:szCs w:val="20"/>
        </w:rPr>
        <w:t xml:space="preserve">, </w:t>
      </w:r>
      <w:r w:rsidRPr="00B872DD">
        <w:rPr>
          <w:rFonts w:cs="Times New Roman"/>
          <w:sz w:val="20"/>
          <w:szCs w:val="20"/>
        </w:rPr>
        <w:t>5)</w:t>
      </w:r>
    </w:p>
    <w:p w14:paraId="55852702" w14:textId="77777777" w:rsidR="00F90A2D" w:rsidRDefault="00F90A2D" w:rsidP="00F90A2D">
      <w:pPr>
        <w:widowControl w:val="0"/>
        <w:autoSpaceDE w:val="0"/>
        <w:autoSpaceDN w:val="0"/>
        <w:adjustRightInd w:val="0"/>
        <w:spacing w:after="0" w:line="240" w:lineRule="auto"/>
        <w:rPr>
          <w:rFonts w:cs="Times"/>
          <w:sz w:val="20"/>
          <w:szCs w:val="20"/>
        </w:rPr>
      </w:pPr>
    </w:p>
    <w:p w14:paraId="30220123" w14:textId="0397410B" w:rsidR="00FB66B9" w:rsidRPr="00FB66B9" w:rsidRDefault="00FB66B9" w:rsidP="00FB66B9">
      <w:pPr>
        <w:widowControl w:val="0"/>
        <w:autoSpaceDE w:val="0"/>
        <w:autoSpaceDN w:val="0"/>
        <w:adjustRightInd w:val="0"/>
        <w:spacing w:after="0" w:line="240" w:lineRule="auto"/>
        <w:rPr>
          <w:rFonts w:cs="Times"/>
          <w:sz w:val="20"/>
          <w:szCs w:val="20"/>
        </w:rPr>
      </w:pPr>
      <w:r>
        <w:rPr>
          <w:rFonts w:cs="Times"/>
          <w:bCs/>
          <w:sz w:val="20"/>
          <w:szCs w:val="20"/>
        </w:rPr>
        <w:t>“</w:t>
      </w:r>
      <w:r w:rsidRPr="00FB66B9">
        <w:rPr>
          <w:rFonts w:cs="Times"/>
          <w:b/>
          <w:bCs/>
          <w:sz w:val="20"/>
          <w:szCs w:val="20"/>
        </w:rPr>
        <w:t>Lack of professional support</w:t>
      </w:r>
      <w:r w:rsidRPr="00FB66B9">
        <w:rPr>
          <w:rFonts w:cs="Times New Roman"/>
          <w:sz w:val="20"/>
          <w:szCs w:val="20"/>
        </w:rPr>
        <w:t xml:space="preserve">: there is a lack of professional support offered for many technologies involved and support available is often ill-matched to users’ needs, e.g., in terms of the level of skills assumed. </w:t>
      </w:r>
      <w:r w:rsidRPr="00FB66B9">
        <w:rPr>
          <w:rFonts w:cs="Times"/>
          <w:b/>
          <w:bCs/>
          <w:sz w:val="20"/>
          <w:szCs w:val="20"/>
        </w:rPr>
        <w:t>Response</w:t>
      </w:r>
      <w:r w:rsidRPr="00FB66B9">
        <w:rPr>
          <w:rFonts w:cs="Times New Roman"/>
          <w:sz w:val="20"/>
          <w:szCs w:val="20"/>
        </w:rPr>
        <w:t xml:space="preserve">: provision of support through national centres of excellence for particular research areas and in combination with local provision at research institutions. </w:t>
      </w:r>
    </w:p>
    <w:p w14:paraId="23925C01" w14:textId="62F9DBB9" w:rsidR="00FB66B9" w:rsidRPr="00FB66B9" w:rsidRDefault="00FB66B9" w:rsidP="00FB66B9">
      <w:pPr>
        <w:widowControl w:val="0"/>
        <w:autoSpaceDE w:val="0"/>
        <w:autoSpaceDN w:val="0"/>
        <w:adjustRightInd w:val="0"/>
        <w:spacing w:after="0" w:line="240" w:lineRule="auto"/>
        <w:rPr>
          <w:rFonts w:cs="Times"/>
          <w:sz w:val="20"/>
          <w:szCs w:val="20"/>
        </w:rPr>
      </w:pPr>
      <w:r w:rsidRPr="00FB66B9">
        <w:rPr>
          <w:rFonts w:cs="Times"/>
          <w:b/>
          <w:bCs/>
          <w:sz w:val="20"/>
          <w:szCs w:val="20"/>
        </w:rPr>
        <w:lastRenderedPageBreak/>
        <w:t>Lack of availability of technical skills</w:t>
      </w:r>
      <w:r w:rsidRPr="00FB66B9">
        <w:rPr>
          <w:rFonts w:cs="Times New Roman"/>
          <w:sz w:val="20"/>
          <w:szCs w:val="20"/>
        </w:rPr>
        <w:t xml:space="preserve">: relevant skills required to develop and operate e-Infrastructures and research applications are not widely available. </w:t>
      </w:r>
      <w:r w:rsidRPr="00FB66B9">
        <w:rPr>
          <w:rFonts w:cs="Times"/>
          <w:b/>
          <w:bCs/>
          <w:sz w:val="20"/>
          <w:szCs w:val="20"/>
        </w:rPr>
        <w:t>Response</w:t>
      </w:r>
      <w:r w:rsidRPr="00FB66B9">
        <w:rPr>
          <w:rFonts w:cs="Times New Roman"/>
          <w:sz w:val="20"/>
          <w:szCs w:val="20"/>
        </w:rPr>
        <w:t>: development of specific training programmes such as the Master in e-Science offered by the University of Edinburgh</w:t>
      </w:r>
      <w:r>
        <w:rPr>
          <w:rFonts w:cs="Times New Roman"/>
          <w:sz w:val="20"/>
          <w:szCs w:val="20"/>
        </w:rPr>
        <w:t>.” (Voss, et al. 2007</w:t>
      </w:r>
      <w:r w:rsidR="00BA4AF4">
        <w:rPr>
          <w:rFonts w:cs="Times New Roman"/>
          <w:sz w:val="20"/>
          <w:szCs w:val="20"/>
        </w:rPr>
        <w:t xml:space="preserve">, </w:t>
      </w:r>
      <w:r w:rsidR="00BD71C6">
        <w:rPr>
          <w:rFonts w:cs="Times New Roman"/>
          <w:sz w:val="20"/>
          <w:szCs w:val="20"/>
        </w:rPr>
        <w:t>4)</w:t>
      </w:r>
    </w:p>
    <w:p w14:paraId="0C24FBE6" w14:textId="77777777" w:rsidR="00FB66B9" w:rsidRDefault="00FB66B9" w:rsidP="00F90A2D">
      <w:pPr>
        <w:widowControl w:val="0"/>
        <w:autoSpaceDE w:val="0"/>
        <w:autoSpaceDN w:val="0"/>
        <w:adjustRightInd w:val="0"/>
        <w:spacing w:after="0" w:line="240" w:lineRule="auto"/>
        <w:rPr>
          <w:rFonts w:cs="Times"/>
          <w:sz w:val="20"/>
          <w:szCs w:val="20"/>
        </w:rPr>
      </w:pPr>
    </w:p>
    <w:p w14:paraId="7FB6E2F9" w14:textId="1334789C" w:rsidR="009A625E" w:rsidRPr="009A625E" w:rsidRDefault="009A625E" w:rsidP="009A625E">
      <w:pPr>
        <w:widowControl w:val="0"/>
        <w:autoSpaceDE w:val="0"/>
        <w:autoSpaceDN w:val="0"/>
        <w:adjustRightInd w:val="0"/>
        <w:spacing w:after="0" w:line="240" w:lineRule="auto"/>
        <w:rPr>
          <w:rFonts w:cs="Times"/>
          <w:sz w:val="20"/>
          <w:szCs w:val="20"/>
        </w:rPr>
      </w:pPr>
      <w:r w:rsidRPr="009A625E">
        <w:rPr>
          <w:rFonts w:cs="Times"/>
          <w:sz w:val="20"/>
          <w:szCs w:val="20"/>
        </w:rPr>
        <w:t>“</w:t>
      </w:r>
      <w:r w:rsidRPr="009A625E">
        <w:rPr>
          <w:rFonts w:cs="Times New Roman"/>
          <w:sz w:val="20"/>
          <w:szCs w:val="20"/>
        </w:rPr>
        <w:t xml:space="preserve">Furthermore, there is a need to provide a sustained supply of IT professionals with the required technical skills to operate, maintain and further develop advanced e-Infrastructures. Programmes like the MSc course at the University of Edinburgh are an important step in this direction. While it is true that technologies are changing rapidly and that, therefore, </w:t>
      </w:r>
      <w:proofErr w:type="spellStart"/>
      <w:r w:rsidRPr="009A625E">
        <w:rPr>
          <w:rFonts w:cs="Times New Roman"/>
          <w:sz w:val="20"/>
          <w:szCs w:val="20"/>
        </w:rPr>
        <w:t>ongoing</w:t>
      </w:r>
      <w:proofErr w:type="spellEnd"/>
      <w:r w:rsidRPr="009A625E">
        <w:rPr>
          <w:rFonts w:cs="Times New Roman"/>
          <w:sz w:val="20"/>
          <w:szCs w:val="20"/>
        </w:rPr>
        <w:t xml:space="preserve"> training is required, it is crucial for IT professionals to have a solid unde</w:t>
      </w:r>
      <w:r w:rsidRPr="009A625E">
        <w:rPr>
          <w:rFonts w:cs="Times New Roman"/>
          <w:sz w:val="20"/>
          <w:szCs w:val="20"/>
        </w:rPr>
        <w:t>r</w:t>
      </w:r>
      <w:r w:rsidRPr="009A625E">
        <w:rPr>
          <w:rFonts w:cs="Times New Roman"/>
          <w:sz w:val="20"/>
          <w:szCs w:val="20"/>
        </w:rPr>
        <w:t>standing of the core principles of distributed computing and those are difficult to learn in relatively short trai</w:t>
      </w:r>
      <w:r w:rsidRPr="009A625E">
        <w:rPr>
          <w:rFonts w:cs="Times New Roman"/>
          <w:sz w:val="20"/>
          <w:szCs w:val="20"/>
        </w:rPr>
        <w:t>n</w:t>
      </w:r>
      <w:r w:rsidRPr="009A625E">
        <w:rPr>
          <w:rFonts w:cs="Times New Roman"/>
          <w:sz w:val="20"/>
          <w:szCs w:val="20"/>
        </w:rPr>
        <w:t>ing courses.</w:t>
      </w:r>
      <w:r w:rsidRPr="009A625E">
        <w:rPr>
          <w:rFonts w:cs="Times"/>
          <w:sz w:val="20"/>
          <w:szCs w:val="20"/>
        </w:rPr>
        <w:t>” (Voss, et al. 2007</w:t>
      </w:r>
      <w:r w:rsidR="00BA4AF4">
        <w:rPr>
          <w:rFonts w:cs="Times"/>
          <w:sz w:val="20"/>
          <w:szCs w:val="20"/>
        </w:rPr>
        <w:t xml:space="preserve">, </w:t>
      </w:r>
      <w:r w:rsidRPr="009A625E">
        <w:rPr>
          <w:rFonts w:cs="Times"/>
          <w:sz w:val="20"/>
          <w:szCs w:val="20"/>
        </w:rPr>
        <w:t>8)</w:t>
      </w:r>
    </w:p>
    <w:p w14:paraId="262E6711" w14:textId="77777777" w:rsidR="009A625E" w:rsidRDefault="009A625E" w:rsidP="00F90A2D">
      <w:pPr>
        <w:widowControl w:val="0"/>
        <w:autoSpaceDE w:val="0"/>
        <w:autoSpaceDN w:val="0"/>
        <w:adjustRightInd w:val="0"/>
        <w:spacing w:after="0" w:line="240" w:lineRule="auto"/>
        <w:rPr>
          <w:rFonts w:cs="Times"/>
          <w:sz w:val="20"/>
          <w:szCs w:val="20"/>
        </w:rPr>
      </w:pPr>
    </w:p>
    <w:p w14:paraId="67998A63" w14:textId="1B95D889" w:rsidR="009A625E" w:rsidRDefault="00792539" w:rsidP="00F90A2D">
      <w:pPr>
        <w:widowControl w:val="0"/>
        <w:autoSpaceDE w:val="0"/>
        <w:autoSpaceDN w:val="0"/>
        <w:adjustRightInd w:val="0"/>
        <w:spacing w:after="0" w:line="240" w:lineRule="auto"/>
        <w:rPr>
          <w:rFonts w:cs="Times"/>
          <w:sz w:val="20"/>
          <w:szCs w:val="20"/>
        </w:rPr>
      </w:pPr>
      <w:r>
        <w:rPr>
          <w:rFonts w:cs="Times"/>
          <w:sz w:val="20"/>
          <w:szCs w:val="20"/>
        </w:rPr>
        <w:t xml:space="preserve">“The workshop discussions highlighted </w:t>
      </w:r>
      <w:r w:rsidR="00177D46">
        <w:rPr>
          <w:rFonts w:cs="Times"/>
          <w:sz w:val="20"/>
          <w:szCs w:val="20"/>
        </w:rPr>
        <w:t xml:space="preserve">cross-cutting challenges of </w:t>
      </w:r>
      <w:proofErr w:type="spellStart"/>
      <w:r w:rsidR="00177D46">
        <w:rPr>
          <w:rFonts w:cs="Times"/>
          <w:sz w:val="20"/>
          <w:szCs w:val="20"/>
        </w:rPr>
        <w:t>i</w:t>
      </w:r>
      <w:proofErr w:type="spellEnd"/>
      <w:r w:rsidR="00177D46">
        <w:rPr>
          <w:rFonts w:cs="Times"/>
          <w:sz w:val="20"/>
          <w:szCs w:val="20"/>
        </w:rPr>
        <w:t>) new and changed skills needs which co</w:t>
      </w:r>
      <w:r w:rsidR="00177D46">
        <w:rPr>
          <w:rFonts w:cs="Times"/>
          <w:sz w:val="20"/>
          <w:szCs w:val="20"/>
        </w:rPr>
        <w:t>m</w:t>
      </w:r>
      <w:r w:rsidR="00177D46">
        <w:rPr>
          <w:rFonts w:cs="Times"/>
          <w:sz w:val="20"/>
          <w:szCs w:val="20"/>
        </w:rPr>
        <w:t>bine technical and scientific skills and require interdisciplinary thinking and communication; ii) recognizing new job profiles and tasks rising from the emergence of computing intensive and data-driven science with integral role of e-infrastructures; iii) need for effective European level collaboration and coordination to avoid duplic</w:t>
      </w:r>
      <w:r w:rsidR="00177D46">
        <w:rPr>
          <w:rFonts w:cs="Times"/>
          <w:sz w:val="20"/>
          <w:szCs w:val="20"/>
        </w:rPr>
        <w:t>a</w:t>
      </w:r>
      <w:r w:rsidR="00177D46">
        <w:rPr>
          <w:rFonts w:cs="Times"/>
          <w:sz w:val="20"/>
          <w:szCs w:val="20"/>
        </w:rPr>
        <w:t xml:space="preserve">tion of efforts and join the forces for developing high quality human capital for e-infrastructures. Furthermore, there are specific challenges relating to the skills and human resources for </w:t>
      </w:r>
      <w:proofErr w:type="spellStart"/>
      <w:r w:rsidR="00177D46">
        <w:rPr>
          <w:rFonts w:cs="Times"/>
          <w:sz w:val="20"/>
          <w:szCs w:val="20"/>
        </w:rPr>
        <w:t>i</w:t>
      </w:r>
      <w:proofErr w:type="spellEnd"/>
      <w:r w:rsidR="00177D46">
        <w:rPr>
          <w:rFonts w:cs="Times"/>
          <w:sz w:val="20"/>
          <w:szCs w:val="20"/>
        </w:rPr>
        <w:t xml:space="preserve">) e-infrastructures development, ii) digital research service provision, iii) scientific usage of e-infrastructures, and </w:t>
      </w:r>
      <w:proofErr w:type="gramStart"/>
      <w:r w:rsidR="00177D46">
        <w:rPr>
          <w:rFonts w:cs="Times"/>
          <w:sz w:val="20"/>
          <w:szCs w:val="20"/>
        </w:rPr>
        <w:t>iv) the</w:t>
      </w:r>
      <w:proofErr w:type="gramEnd"/>
      <w:r w:rsidR="00177D46">
        <w:rPr>
          <w:rFonts w:cs="Times"/>
          <w:sz w:val="20"/>
          <w:szCs w:val="20"/>
        </w:rPr>
        <w:t xml:space="preserve"> institutional strategies for effectively tackling the human resources challenges.</w:t>
      </w:r>
      <w:r w:rsidR="00C827CF">
        <w:rPr>
          <w:rFonts w:cs="Times"/>
          <w:sz w:val="20"/>
          <w:szCs w:val="20"/>
        </w:rPr>
        <w:t xml:space="preserve"> During the consultation, several suggestions for promoting skills and human resources for e-infrastructures were raised. It is necessary to better map the current situation and future needs, and support recognizing and establishing new job profiles and career paths. Specific inves</w:t>
      </w:r>
      <w:r w:rsidR="00C827CF">
        <w:rPr>
          <w:rFonts w:cs="Times"/>
          <w:sz w:val="20"/>
          <w:szCs w:val="20"/>
        </w:rPr>
        <w:t>t</w:t>
      </w:r>
      <w:r w:rsidR="00C827CF">
        <w:rPr>
          <w:rFonts w:cs="Times"/>
          <w:sz w:val="20"/>
          <w:szCs w:val="20"/>
        </w:rPr>
        <w:t>ment should be addressed to innovating new education and training approaches: creating new specific curric</w:t>
      </w:r>
      <w:r w:rsidR="00C827CF">
        <w:rPr>
          <w:rFonts w:cs="Times"/>
          <w:sz w:val="20"/>
          <w:szCs w:val="20"/>
        </w:rPr>
        <w:t>u</w:t>
      </w:r>
      <w:r w:rsidR="00C827CF">
        <w:rPr>
          <w:rFonts w:cs="Times"/>
          <w:sz w:val="20"/>
          <w:szCs w:val="20"/>
        </w:rPr>
        <w:t xml:space="preserve">la for e-infrastructures personnel; integrating technical and scientific aspects into cross-disciplinary curricula; encouraging collaborative </w:t>
      </w:r>
      <w:proofErr w:type="spellStart"/>
      <w:r w:rsidR="00C827CF">
        <w:rPr>
          <w:rFonts w:cs="Times"/>
          <w:sz w:val="20"/>
          <w:szCs w:val="20"/>
        </w:rPr>
        <w:t>mindset</w:t>
      </w:r>
      <w:proofErr w:type="spellEnd"/>
      <w:r w:rsidR="00C827CF">
        <w:rPr>
          <w:rFonts w:cs="Times"/>
          <w:sz w:val="20"/>
          <w:szCs w:val="20"/>
        </w:rPr>
        <w:t xml:space="preserve"> and computational thinking into education already from early age; on-the-job learning through knowledge transfer from and between experts in terms of short-term courses and staff exchanges. These should be supplemented by encouraging ‘communities of practice’ between e-infrastructures actors, including developers, operators and scientific users.” (European Commission, 2012, 4)</w:t>
      </w:r>
    </w:p>
    <w:p w14:paraId="388753CF" w14:textId="77777777" w:rsidR="005A6D71" w:rsidRDefault="005A6D71" w:rsidP="00F90A2D">
      <w:pPr>
        <w:widowControl w:val="0"/>
        <w:autoSpaceDE w:val="0"/>
        <w:autoSpaceDN w:val="0"/>
        <w:adjustRightInd w:val="0"/>
        <w:spacing w:after="0" w:line="240" w:lineRule="auto"/>
        <w:rPr>
          <w:rFonts w:cs="Times"/>
          <w:sz w:val="20"/>
          <w:szCs w:val="20"/>
        </w:rPr>
      </w:pPr>
    </w:p>
    <w:p w14:paraId="3AA6F0AF" w14:textId="290BFDE9" w:rsidR="005A6D71" w:rsidRDefault="005A6D71" w:rsidP="00F16A22">
      <w:pPr>
        <w:widowControl w:val="0"/>
        <w:autoSpaceDE w:val="0"/>
        <w:autoSpaceDN w:val="0"/>
        <w:adjustRightInd w:val="0"/>
        <w:spacing w:after="0" w:line="240" w:lineRule="auto"/>
        <w:rPr>
          <w:rFonts w:cs="Arial"/>
          <w:sz w:val="20"/>
          <w:szCs w:val="20"/>
        </w:rPr>
      </w:pPr>
      <w:r w:rsidRPr="00F16A22">
        <w:rPr>
          <w:rFonts w:cs="Times"/>
          <w:sz w:val="20"/>
          <w:szCs w:val="20"/>
        </w:rPr>
        <w:t>“</w:t>
      </w:r>
      <w:r w:rsidRPr="00F16A22">
        <w:rPr>
          <w:rFonts w:cs="Arial"/>
          <w:sz w:val="20"/>
          <w:szCs w:val="20"/>
        </w:rPr>
        <w:t xml:space="preserve">The purpose of this document is to make concrete suggestions and identify a </w:t>
      </w:r>
      <w:r w:rsidRPr="00F16A22">
        <w:rPr>
          <w:rFonts w:cs="Arial"/>
          <w:b/>
          <w:bCs/>
          <w:sz w:val="20"/>
          <w:szCs w:val="20"/>
        </w:rPr>
        <w:t xml:space="preserve">pragmatic solution </w:t>
      </w:r>
      <w:r w:rsidRPr="00F16A22">
        <w:rPr>
          <w:rFonts w:cs="Arial"/>
          <w:sz w:val="20"/>
          <w:szCs w:val="20"/>
        </w:rPr>
        <w:t>that would increase employability and facilitate staff mobility within European RIs. Such a solution could be the introdu</w:t>
      </w:r>
      <w:r w:rsidRPr="00F16A22">
        <w:rPr>
          <w:rFonts w:cs="Arial"/>
          <w:sz w:val="20"/>
          <w:szCs w:val="20"/>
        </w:rPr>
        <w:t>c</w:t>
      </w:r>
      <w:r w:rsidRPr="00F16A22">
        <w:rPr>
          <w:rFonts w:cs="Arial"/>
          <w:sz w:val="20"/>
          <w:szCs w:val="20"/>
        </w:rPr>
        <w:t xml:space="preserve">tion of </w:t>
      </w:r>
      <w:r w:rsidRPr="00F16A22">
        <w:rPr>
          <w:rFonts w:cs="Arial"/>
          <w:b/>
          <w:bCs/>
          <w:sz w:val="20"/>
          <w:szCs w:val="20"/>
        </w:rPr>
        <w:t xml:space="preserve">an attractive scheme for the temporary secondment of expert staff </w:t>
      </w:r>
      <w:r w:rsidRPr="00F16A22">
        <w:rPr>
          <w:rFonts w:cs="Arial"/>
          <w:sz w:val="20"/>
          <w:szCs w:val="20"/>
        </w:rPr>
        <w:t xml:space="preserve">from a </w:t>
      </w:r>
      <w:r w:rsidRPr="00F16A22">
        <w:rPr>
          <w:rFonts w:cs="Arial"/>
          <w:b/>
          <w:bCs/>
          <w:sz w:val="20"/>
          <w:szCs w:val="20"/>
        </w:rPr>
        <w:t xml:space="preserve">sending RI </w:t>
      </w:r>
      <w:r w:rsidRPr="00F16A22">
        <w:rPr>
          <w:rFonts w:cs="Arial"/>
          <w:sz w:val="20"/>
          <w:szCs w:val="20"/>
        </w:rPr>
        <w:t xml:space="preserve">to a </w:t>
      </w:r>
      <w:r w:rsidRPr="00F16A22">
        <w:rPr>
          <w:rFonts w:cs="Arial"/>
          <w:b/>
          <w:bCs/>
          <w:sz w:val="20"/>
          <w:szCs w:val="20"/>
        </w:rPr>
        <w:t>receiving RI</w:t>
      </w:r>
      <w:r w:rsidRPr="00F16A22">
        <w:rPr>
          <w:rFonts w:cs="Arial"/>
          <w:sz w:val="20"/>
          <w:szCs w:val="20"/>
        </w:rPr>
        <w:t>.</w:t>
      </w:r>
      <w:r w:rsidR="00456A26" w:rsidRPr="00F16A22">
        <w:rPr>
          <w:rFonts w:cs="Times"/>
          <w:sz w:val="20"/>
          <w:szCs w:val="20"/>
        </w:rPr>
        <w:t>”</w:t>
      </w:r>
    </w:p>
    <w:p w14:paraId="3CB8652F" w14:textId="77777777" w:rsidR="004A3E75" w:rsidRDefault="00FD6B20" w:rsidP="00FD6B20">
      <w:pPr>
        <w:widowControl w:val="0"/>
        <w:autoSpaceDE w:val="0"/>
        <w:autoSpaceDN w:val="0"/>
        <w:adjustRightInd w:val="0"/>
        <w:spacing w:after="0" w:line="240" w:lineRule="auto"/>
        <w:rPr>
          <w:rFonts w:cs="Arial"/>
          <w:sz w:val="20"/>
          <w:szCs w:val="20"/>
        </w:rPr>
      </w:pPr>
      <w:r w:rsidRPr="00FD6B20">
        <w:rPr>
          <w:rFonts w:cs="Arial"/>
          <w:sz w:val="20"/>
          <w:szCs w:val="20"/>
        </w:rPr>
        <w:t>“</w:t>
      </w:r>
      <w:r w:rsidRPr="00FD6B20">
        <w:rPr>
          <w:rFonts w:cs="Arial"/>
          <w:b/>
          <w:bCs/>
          <w:sz w:val="20"/>
          <w:szCs w:val="20"/>
        </w:rPr>
        <w:t xml:space="preserve">It is proposed to establish a Europe-wide secondment-based scheme for staff mobility within an integrated structure of European RIs covering one, or several, research communities. </w:t>
      </w:r>
      <w:r w:rsidRPr="00FD6B20">
        <w:rPr>
          <w:rFonts w:cs="Arial"/>
          <w:sz w:val="20"/>
          <w:szCs w:val="20"/>
        </w:rPr>
        <w:t>This would provide a solid fram</w:t>
      </w:r>
      <w:r w:rsidRPr="00FD6B20">
        <w:rPr>
          <w:rFonts w:cs="Arial"/>
          <w:sz w:val="20"/>
          <w:szCs w:val="20"/>
        </w:rPr>
        <w:t>e</w:t>
      </w:r>
      <w:r w:rsidRPr="00FD6B20">
        <w:rPr>
          <w:rFonts w:cs="Arial"/>
          <w:sz w:val="20"/>
          <w:szCs w:val="20"/>
        </w:rPr>
        <w:t>work within which staff mobility could occur, individual experts could follow a career path across a wide range of RIs and career development within a group of RIs, rather than within a single RI, could be envisaged.”</w:t>
      </w:r>
    </w:p>
    <w:p w14:paraId="34B3EDDB" w14:textId="602CE9A5" w:rsidR="004A3E75" w:rsidRPr="004A3E75" w:rsidRDefault="004A3E75" w:rsidP="004A3E75">
      <w:pPr>
        <w:widowControl w:val="0"/>
        <w:autoSpaceDE w:val="0"/>
        <w:autoSpaceDN w:val="0"/>
        <w:adjustRightInd w:val="0"/>
        <w:spacing w:after="0" w:line="240" w:lineRule="auto"/>
        <w:rPr>
          <w:rFonts w:cs="Times"/>
          <w:sz w:val="20"/>
          <w:szCs w:val="20"/>
        </w:rPr>
      </w:pPr>
      <w:r w:rsidRPr="004A3E75">
        <w:rPr>
          <w:rFonts w:cs="Arial"/>
          <w:sz w:val="20"/>
          <w:szCs w:val="20"/>
        </w:rPr>
        <w:t>“</w:t>
      </w:r>
      <w:r w:rsidRPr="004A3E75">
        <w:rPr>
          <w:rFonts w:cs="Arial"/>
          <w:b/>
          <w:bCs/>
          <w:sz w:val="20"/>
          <w:szCs w:val="20"/>
        </w:rPr>
        <w:t xml:space="preserve">A financial scheme should be established to support this secondment-based mobility. </w:t>
      </w:r>
      <w:r w:rsidRPr="004A3E75">
        <w:rPr>
          <w:rFonts w:cs="Arial"/>
          <w:sz w:val="20"/>
          <w:szCs w:val="20"/>
        </w:rPr>
        <w:t>It is proposed to i</w:t>
      </w:r>
      <w:r w:rsidRPr="004A3E75">
        <w:rPr>
          <w:rFonts w:cs="Arial"/>
          <w:sz w:val="20"/>
          <w:szCs w:val="20"/>
        </w:rPr>
        <w:t>n</w:t>
      </w:r>
      <w:r w:rsidRPr="004A3E75">
        <w:rPr>
          <w:rFonts w:cs="Arial"/>
          <w:sz w:val="20"/>
          <w:szCs w:val="20"/>
        </w:rPr>
        <w:t>clude a specifi</w:t>
      </w:r>
      <w:r>
        <w:rPr>
          <w:rFonts w:cs="Arial"/>
          <w:sz w:val="20"/>
          <w:szCs w:val="20"/>
        </w:rPr>
        <w:t>c set of accompanying measures:</w:t>
      </w:r>
    </w:p>
    <w:p w14:paraId="75B8B51C" w14:textId="62340DC6" w:rsidR="004A3E75" w:rsidRPr="004A3E75" w:rsidRDefault="004A3E75" w:rsidP="004A3E75">
      <w:pPr>
        <w:widowControl w:val="0"/>
        <w:numPr>
          <w:ilvl w:val="0"/>
          <w:numId w:val="41"/>
        </w:numPr>
        <w:autoSpaceDE w:val="0"/>
        <w:autoSpaceDN w:val="0"/>
        <w:adjustRightInd w:val="0"/>
        <w:spacing w:after="0" w:line="240" w:lineRule="auto"/>
        <w:ind w:left="284" w:hanging="284"/>
        <w:rPr>
          <w:rFonts w:cs="Symbol"/>
          <w:color w:val="262626"/>
          <w:sz w:val="20"/>
          <w:szCs w:val="20"/>
        </w:rPr>
      </w:pPr>
      <w:r w:rsidRPr="004A3E75">
        <w:rPr>
          <w:rFonts w:cs="Arial"/>
          <w:color w:val="262626"/>
          <w:sz w:val="20"/>
          <w:szCs w:val="20"/>
        </w:rPr>
        <w:t xml:space="preserve">A set of </w:t>
      </w:r>
      <w:r w:rsidRPr="004A3E75">
        <w:rPr>
          <w:rFonts w:cs="Arial"/>
          <w:b/>
          <w:bCs/>
          <w:color w:val="262626"/>
          <w:sz w:val="20"/>
          <w:szCs w:val="20"/>
        </w:rPr>
        <w:t xml:space="preserve">financial measures </w:t>
      </w:r>
      <w:r w:rsidRPr="004A3E75">
        <w:rPr>
          <w:rFonts w:cs="Arial"/>
          <w:color w:val="262626"/>
          <w:sz w:val="20"/>
          <w:szCs w:val="20"/>
        </w:rPr>
        <w:t>that include a living allowance and the reimbursement of removal expenses; exceptional solutions may be considered to cover education expenses or the loss of a partner’s job; existing European-level financial rules should</w:t>
      </w:r>
      <w:r>
        <w:rPr>
          <w:rFonts w:cs="Arial"/>
          <w:color w:val="262626"/>
          <w:sz w:val="20"/>
          <w:szCs w:val="20"/>
        </w:rPr>
        <w:t xml:space="preserve"> be examined for applicability;</w:t>
      </w:r>
    </w:p>
    <w:p w14:paraId="20B3F6FD" w14:textId="2E915C17" w:rsidR="004A3E75" w:rsidRPr="004A3E75" w:rsidRDefault="004A3E75" w:rsidP="00FD6B20">
      <w:pPr>
        <w:widowControl w:val="0"/>
        <w:numPr>
          <w:ilvl w:val="0"/>
          <w:numId w:val="41"/>
        </w:numPr>
        <w:autoSpaceDE w:val="0"/>
        <w:autoSpaceDN w:val="0"/>
        <w:adjustRightInd w:val="0"/>
        <w:spacing w:after="0" w:line="240" w:lineRule="auto"/>
        <w:ind w:left="284" w:hanging="284"/>
        <w:rPr>
          <w:rFonts w:cs="Symbol"/>
          <w:color w:val="262626"/>
          <w:sz w:val="20"/>
          <w:szCs w:val="20"/>
        </w:rPr>
      </w:pPr>
      <w:r w:rsidRPr="004A3E75">
        <w:rPr>
          <w:rFonts w:cs="Arial"/>
          <w:color w:val="262626"/>
          <w:sz w:val="20"/>
          <w:szCs w:val="20"/>
        </w:rPr>
        <w:t xml:space="preserve">An additional funding mechanism should be established to provide the </w:t>
      </w:r>
      <w:r w:rsidRPr="004A3E75">
        <w:rPr>
          <w:rFonts w:cs="Arial"/>
          <w:b/>
          <w:bCs/>
          <w:color w:val="262626"/>
          <w:sz w:val="20"/>
          <w:szCs w:val="20"/>
        </w:rPr>
        <w:t>budget needed to cover the su</w:t>
      </w:r>
      <w:r w:rsidRPr="004A3E75">
        <w:rPr>
          <w:rFonts w:cs="Arial"/>
          <w:b/>
          <w:bCs/>
          <w:color w:val="262626"/>
          <w:sz w:val="20"/>
          <w:szCs w:val="20"/>
        </w:rPr>
        <w:t>p</w:t>
      </w:r>
      <w:r w:rsidRPr="004A3E75">
        <w:rPr>
          <w:rFonts w:cs="Arial"/>
          <w:b/>
          <w:bCs/>
          <w:color w:val="262626"/>
          <w:sz w:val="20"/>
          <w:szCs w:val="20"/>
        </w:rPr>
        <w:t>plementary costs associated with these measures.</w:t>
      </w:r>
      <w:r w:rsidRPr="004A3E75">
        <w:rPr>
          <w:rFonts w:cs="Arial"/>
          <w:sz w:val="20"/>
          <w:szCs w:val="20"/>
        </w:rPr>
        <w:t>”</w:t>
      </w:r>
    </w:p>
    <w:p w14:paraId="00C862C8" w14:textId="10BF81BE" w:rsidR="00FD6B20" w:rsidRPr="00FD6B20" w:rsidRDefault="00FD6B20" w:rsidP="00FD6B20">
      <w:pPr>
        <w:widowControl w:val="0"/>
        <w:autoSpaceDE w:val="0"/>
        <w:autoSpaceDN w:val="0"/>
        <w:adjustRightInd w:val="0"/>
        <w:spacing w:after="0" w:line="240" w:lineRule="auto"/>
        <w:rPr>
          <w:rFonts w:cs="Times"/>
          <w:sz w:val="20"/>
          <w:szCs w:val="20"/>
        </w:rPr>
      </w:pPr>
      <w:r w:rsidRPr="00FD6B20">
        <w:rPr>
          <w:rFonts w:cs="Arial"/>
          <w:sz w:val="20"/>
          <w:szCs w:val="20"/>
        </w:rPr>
        <w:t>(</w:t>
      </w:r>
      <w:proofErr w:type="spellStart"/>
      <w:r w:rsidRPr="00FD6B20">
        <w:rPr>
          <w:rFonts w:cs="Arial"/>
          <w:sz w:val="20"/>
          <w:szCs w:val="20"/>
        </w:rPr>
        <w:t>EIROforum</w:t>
      </w:r>
      <w:proofErr w:type="spellEnd"/>
      <w:r w:rsidRPr="00FD6B20">
        <w:rPr>
          <w:rFonts w:cs="Arial"/>
          <w:sz w:val="20"/>
          <w:szCs w:val="20"/>
        </w:rPr>
        <w:t xml:space="preserve">/ERF, 2011, </w:t>
      </w:r>
      <w:r>
        <w:rPr>
          <w:rFonts w:cs="Arial"/>
          <w:sz w:val="20"/>
          <w:szCs w:val="20"/>
        </w:rPr>
        <w:t xml:space="preserve">2, </w:t>
      </w:r>
      <w:r w:rsidRPr="00FD6B20">
        <w:rPr>
          <w:rFonts w:cs="Arial"/>
          <w:sz w:val="20"/>
          <w:szCs w:val="20"/>
        </w:rPr>
        <w:t>4</w:t>
      </w:r>
      <w:r w:rsidR="004A3E75">
        <w:rPr>
          <w:rFonts w:cs="Arial"/>
          <w:sz w:val="20"/>
          <w:szCs w:val="20"/>
        </w:rPr>
        <w:t>, 5</w:t>
      </w:r>
      <w:r w:rsidRPr="00FD6B20">
        <w:rPr>
          <w:rFonts w:cs="Arial"/>
          <w:sz w:val="20"/>
          <w:szCs w:val="20"/>
        </w:rPr>
        <w:t>)</w:t>
      </w:r>
    </w:p>
    <w:p w14:paraId="489A593E" w14:textId="77777777" w:rsidR="00792539" w:rsidRPr="00F90A2D" w:rsidRDefault="00792539" w:rsidP="00F90A2D">
      <w:pPr>
        <w:widowControl w:val="0"/>
        <w:autoSpaceDE w:val="0"/>
        <w:autoSpaceDN w:val="0"/>
        <w:adjustRightInd w:val="0"/>
        <w:spacing w:after="0" w:line="240" w:lineRule="auto"/>
        <w:rPr>
          <w:rFonts w:cs="Times"/>
          <w:sz w:val="20"/>
          <w:szCs w:val="20"/>
        </w:rPr>
      </w:pPr>
    </w:p>
    <w:p w14:paraId="58F2D1CD" w14:textId="77777777" w:rsidR="00C64369" w:rsidRPr="001F0C98" w:rsidRDefault="00C64369" w:rsidP="000E0301">
      <w:pPr>
        <w:pStyle w:val="KeinLeerraum"/>
        <w:rPr>
          <w:sz w:val="20"/>
          <w:szCs w:val="20"/>
        </w:rPr>
      </w:pPr>
    </w:p>
    <w:p w14:paraId="062155F7" w14:textId="23475FC7" w:rsidR="004F02DF" w:rsidRPr="00271AFC" w:rsidRDefault="004F02DF" w:rsidP="00271AFC">
      <w:pPr>
        <w:pStyle w:val="Listenabsatz"/>
        <w:widowControl w:val="0"/>
        <w:numPr>
          <w:ilvl w:val="0"/>
          <w:numId w:val="20"/>
        </w:numPr>
        <w:autoSpaceDE w:val="0"/>
        <w:autoSpaceDN w:val="0"/>
        <w:adjustRightInd w:val="0"/>
        <w:spacing w:after="0" w:line="240" w:lineRule="auto"/>
        <w:ind w:left="567" w:hanging="567"/>
        <w:rPr>
          <w:rFonts w:cs="Times"/>
          <w:b/>
          <w:color w:val="FF0000"/>
          <w:sz w:val="24"/>
          <w:szCs w:val="24"/>
        </w:rPr>
      </w:pPr>
      <w:r w:rsidRPr="00271AFC">
        <w:rPr>
          <w:rFonts w:cs="Times New Roman"/>
          <w:b/>
          <w:color w:val="FF0000"/>
          <w:sz w:val="24"/>
          <w:szCs w:val="24"/>
        </w:rPr>
        <w:t>Other</w:t>
      </w:r>
    </w:p>
    <w:p w14:paraId="44A76BDB" w14:textId="2B458503" w:rsidR="00617F73" w:rsidRPr="001416B8" w:rsidRDefault="003B66FD" w:rsidP="00271AFC">
      <w:pPr>
        <w:widowControl w:val="0"/>
        <w:numPr>
          <w:ilvl w:val="0"/>
          <w:numId w:val="33"/>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U</w:t>
      </w:r>
      <w:r w:rsidR="00617F73" w:rsidRPr="001416B8">
        <w:rPr>
          <w:rFonts w:cs="Times New Roman"/>
          <w:b/>
          <w:color w:val="FF0000"/>
          <w:sz w:val="20"/>
          <w:szCs w:val="20"/>
        </w:rPr>
        <w:t>nforeseen challenges during the construction phase (e.g. developments in science and technology)</w:t>
      </w:r>
    </w:p>
    <w:p w14:paraId="7F9F5DBA" w14:textId="051C6F81" w:rsidR="00276D21" w:rsidRPr="00276D21" w:rsidRDefault="007C5869" w:rsidP="00276D21">
      <w:pPr>
        <w:widowControl w:val="0"/>
        <w:autoSpaceDE w:val="0"/>
        <w:autoSpaceDN w:val="0"/>
        <w:adjustRightInd w:val="0"/>
        <w:spacing w:after="0" w:line="240" w:lineRule="auto"/>
        <w:rPr>
          <w:rFonts w:cs="Times"/>
          <w:sz w:val="20"/>
          <w:szCs w:val="20"/>
        </w:rPr>
      </w:pPr>
      <w:r>
        <w:rPr>
          <w:rFonts w:cs="Times"/>
          <w:bCs/>
          <w:sz w:val="20"/>
          <w:szCs w:val="20"/>
        </w:rPr>
        <w:t>“</w:t>
      </w:r>
      <w:r w:rsidR="00276D21" w:rsidRPr="00276D21">
        <w:rPr>
          <w:rFonts w:cs="Times"/>
          <w:b/>
          <w:bCs/>
          <w:sz w:val="20"/>
          <w:szCs w:val="20"/>
        </w:rPr>
        <w:t>Uncertainty about Development</w:t>
      </w:r>
      <w:r w:rsidR="00276D21" w:rsidRPr="00276D21">
        <w:rPr>
          <w:rFonts w:cs="Times New Roman"/>
          <w:sz w:val="20"/>
          <w:szCs w:val="20"/>
        </w:rPr>
        <w:t>: there is significant uncertainty regarding the direction of technological d</w:t>
      </w:r>
      <w:r w:rsidR="00276D21" w:rsidRPr="00276D21">
        <w:rPr>
          <w:rFonts w:cs="Times New Roman"/>
          <w:sz w:val="20"/>
          <w:szCs w:val="20"/>
        </w:rPr>
        <w:t>e</w:t>
      </w:r>
      <w:r w:rsidR="00276D21" w:rsidRPr="00276D21">
        <w:rPr>
          <w:rFonts w:cs="Times New Roman"/>
          <w:sz w:val="20"/>
          <w:szCs w:val="20"/>
        </w:rPr>
        <w:t xml:space="preserve">velopment and standardisation in e-Infrastructure technologies (e.g., the recent shift from OGSI </w:t>
      </w:r>
      <w:r w:rsidR="006D557F">
        <w:rPr>
          <w:rFonts w:cs="Times New Roman"/>
          <w:sz w:val="20"/>
          <w:szCs w:val="20"/>
        </w:rPr>
        <w:t xml:space="preserve">[Open Grid Services Infrastructure] </w:t>
      </w:r>
      <w:r w:rsidR="00276D21" w:rsidRPr="00276D21">
        <w:rPr>
          <w:rFonts w:cs="Times New Roman"/>
          <w:sz w:val="20"/>
          <w:szCs w:val="20"/>
        </w:rPr>
        <w:t>to WSRF</w:t>
      </w:r>
      <w:r w:rsidR="006D557F">
        <w:rPr>
          <w:rFonts w:cs="Times New Roman"/>
          <w:sz w:val="20"/>
          <w:szCs w:val="20"/>
        </w:rPr>
        <w:t xml:space="preserve"> [Web Services </w:t>
      </w:r>
      <w:r w:rsidR="00176D16">
        <w:rPr>
          <w:rFonts w:cs="Times New Roman"/>
          <w:sz w:val="20"/>
          <w:szCs w:val="20"/>
        </w:rPr>
        <w:t xml:space="preserve">Resource </w:t>
      </w:r>
      <w:r w:rsidR="006D557F">
        <w:rPr>
          <w:rFonts w:cs="Times New Roman"/>
          <w:sz w:val="20"/>
          <w:szCs w:val="20"/>
        </w:rPr>
        <w:t>Framework]</w:t>
      </w:r>
      <w:r w:rsidR="00276D21" w:rsidRPr="00276D21">
        <w:rPr>
          <w:rFonts w:cs="Times New Roman"/>
          <w:sz w:val="20"/>
          <w:szCs w:val="20"/>
        </w:rPr>
        <w:t xml:space="preserve">, cf. </w:t>
      </w:r>
      <w:proofErr w:type="spellStart"/>
      <w:r w:rsidR="00276D21" w:rsidRPr="00276D21">
        <w:rPr>
          <w:rFonts w:cs="Times New Roman"/>
          <w:sz w:val="20"/>
          <w:szCs w:val="20"/>
        </w:rPr>
        <w:t>Czajkowski</w:t>
      </w:r>
      <w:proofErr w:type="spellEnd"/>
      <w:r w:rsidR="00276D21" w:rsidRPr="00276D21">
        <w:rPr>
          <w:rFonts w:cs="Times New Roman"/>
          <w:sz w:val="20"/>
          <w:szCs w:val="20"/>
        </w:rPr>
        <w:t xml:space="preserve"> </w:t>
      </w:r>
      <w:r w:rsidR="00276D21" w:rsidRPr="00276D21">
        <w:rPr>
          <w:rFonts w:cs="Times"/>
          <w:i/>
          <w:iCs/>
          <w:sz w:val="20"/>
          <w:szCs w:val="20"/>
        </w:rPr>
        <w:t>et al</w:t>
      </w:r>
      <w:r w:rsidR="00276D21" w:rsidRPr="00276D21">
        <w:rPr>
          <w:rFonts w:cs="Times New Roman"/>
          <w:sz w:val="20"/>
          <w:szCs w:val="20"/>
        </w:rPr>
        <w:t xml:space="preserve">. 2004). </w:t>
      </w:r>
      <w:r w:rsidR="00276D21" w:rsidRPr="00276D21">
        <w:rPr>
          <w:rFonts w:cs="Times"/>
          <w:b/>
          <w:bCs/>
          <w:sz w:val="20"/>
          <w:szCs w:val="20"/>
        </w:rPr>
        <w:t>Response</w:t>
      </w:r>
      <w:r w:rsidR="00276D21" w:rsidRPr="00276D21">
        <w:rPr>
          <w:rFonts w:cs="Times New Roman"/>
          <w:sz w:val="20"/>
          <w:szCs w:val="20"/>
        </w:rPr>
        <w:t>: provision of forecasting reports and roadmaps for technical development by experts in the field and increased outreach activities by institutio</w:t>
      </w:r>
      <w:r w:rsidR="00276D21">
        <w:rPr>
          <w:rFonts w:cs="Times New Roman"/>
          <w:sz w:val="20"/>
          <w:szCs w:val="20"/>
        </w:rPr>
        <w:t>ns such as the Open Grid Forum.” (Voss, et al. 2007</w:t>
      </w:r>
      <w:r w:rsidR="00BA4AF4">
        <w:rPr>
          <w:rFonts w:cs="Times New Roman"/>
          <w:sz w:val="20"/>
          <w:szCs w:val="20"/>
        </w:rPr>
        <w:t xml:space="preserve">, </w:t>
      </w:r>
      <w:r>
        <w:rPr>
          <w:rFonts w:cs="Times New Roman"/>
          <w:sz w:val="20"/>
          <w:szCs w:val="20"/>
        </w:rPr>
        <w:t>4)</w:t>
      </w:r>
    </w:p>
    <w:p w14:paraId="5179D7C0" w14:textId="77777777" w:rsidR="00276D21" w:rsidRDefault="00276D21" w:rsidP="0087063A">
      <w:pPr>
        <w:widowControl w:val="0"/>
        <w:autoSpaceDE w:val="0"/>
        <w:autoSpaceDN w:val="0"/>
        <w:adjustRightInd w:val="0"/>
        <w:spacing w:after="0" w:line="240" w:lineRule="auto"/>
        <w:rPr>
          <w:rFonts w:cs="Times"/>
          <w:sz w:val="20"/>
          <w:szCs w:val="20"/>
        </w:rPr>
      </w:pPr>
    </w:p>
    <w:p w14:paraId="7036627F" w14:textId="77777777" w:rsidR="00F90A2D" w:rsidRPr="001F0C98" w:rsidRDefault="00F90A2D" w:rsidP="0087063A">
      <w:pPr>
        <w:widowControl w:val="0"/>
        <w:autoSpaceDE w:val="0"/>
        <w:autoSpaceDN w:val="0"/>
        <w:adjustRightInd w:val="0"/>
        <w:spacing w:after="0" w:line="240" w:lineRule="auto"/>
        <w:rPr>
          <w:rFonts w:cs="Times"/>
          <w:sz w:val="20"/>
          <w:szCs w:val="20"/>
        </w:rPr>
      </w:pPr>
    </w:p>
    <w:p w14:paraId="2545D162" w14:textId="1679285E" w:rsidR="00617F73" w:rsidRPr="001416B8" w:rsidRDefault="003B66FD" w:rsidP="00A56A11">
      <w:pPr>
        <w:widowControl w:val="0"/>
        <w:numPr>
          <w:ilvl w:val="0"/>
          <w:numId w:val="33"/>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Legal framework</w:t>
      </w:r>
    </w:p>
    <w:p w14:paraId="7932F01C" w14:textId="7878CC60" w:rsidR="00EF3AB8" w:rsidRDefault="00EF3AB8" w:rsidP="00EF3AB8">
      <w:pPr>
        <w:widowControl w:val="0"/>
        <w:autoSpaceDE w:val="0"/>
        <w:autoSpaceDN w:val="0"/>
        <w:adjustRightInd w:val="0"/>
        <w:spacing w:after="0" w:line="240" w:lineRule="auto"/>
        <w:rPr>
          <w:rFonts w:cs="Calibri Bold Italic"/>
          <w:sz w:val="20"/>
          <w:szCs w:val="20"/>
        </w:rPr>
      </w:pPr>
      <w:r>
        <w:rPr>
          <w:rFonts w:cs="Calibri Bold Italic"/>
          <w:sz w:val="20"/>
          <w:szCs w:val="20"/>
        </w:rPr>
        <w:t>“</w:t>
      </w:r>
      <w:r w:rsidRPr="001F0C98">
        <w:rPr>
          <w:rFonts w:cs="Calibri Bold Italic"/>
          <w:sz w:val="20"/>
          <w:szCs w:val="20"/>
        </w:rPr>
        <w:t xml:space="preserve">The continuity and steady progress of intergovernmental RIs is guaranteed through their founding treaties, which offer a regulatory framework that is both flexible and reliable. All </w:t>
      </w:r>
      <w:proofErr w:type="spellStart"/>
      <w:r w:rsidRPr="001F0C98">
        <w:rPr>
          <w:rFonts w:cs="Calibri Bold Italic"/>
          <w:sz w:val="20"/>
          <w:szCs w:val="20"/>
        </w:rPr>
        <w:t>EIROforum</w:t>
      </w:r>
      <w:proofErr w:type="spellEnd"/>
      <w:r w:rsidRPr="001F0C98">
        <w:rPr>
          <w:rFonts w:cs="Calibri Bold Italic"/>
          <w:sz w:val="20"/>
          <w:szCs w:val="20"/>
        </w:rPr>
        <w:t xml:space="preserve"> organizations [</w:t>
      </w:r>
      <w:r w:rsidRPr="001F0C98">
        <w:rPr>
          <w:rFonts w:cs="Calibri Bold Italic"/>
          <w:sz w:val="20"/>
          <w:szCs w:val="20"/>
          <w:lang w:eastAsia="ja-JP"/>
        </w:rPr>
        <w:t xml:space="preserve">CERN, EMBL, ESA, ESO, ESRF, </w:t>
      </w:r>
      <w:proofErr w:type="spellStart"/>
      <w:r w:rsidRPr="001F0C98">
        <w:rPr>
          <w:rFonts w:cs="Calibri Bold Italic"/>
          <w:sz w:val="20"/>
          <w:szCs w:val="20"/>
          <w:lang w:eastAsia="ja-JP"/>
        </w:rPr>
        <w:t>EUROfusion</w:t>
      </w:r>
      <w:proofErr w:type="spellEnd"/>
      <w:r w:rsidRPr="001F0C98">
        <w:rPr>
          <w:rFonts w:cs="Calibri Bold Italic"/>
          <w:sz w:val="20"/>
          <w:szCs w:val="20"/>
          <w:lang w:eastAsia="ja-JP"/>
        </w:rPr>
        <w:t>, European XFEL, ILL</w:t>
      </w:r>
      <w:r w:rsidRPr="001F0C98">
        <w:rPr>
          <w:rFonts w:cs="Calibri Bold Italic"/>
          <w:sz w:val="20"/>
          <w:szCs w:val="20"/>
        </w:rPr>
        <w:t>]</w:t>
      </w:r>
      <w:r>
        <w:rPr>
          <w:rFonts w:cs="Calibri Bold Italic"/>
          <w:sz w:val="20"/>
          <w:szCs w:val="20"/>
        </w:rPr>
        <w:t xml:space="preserve"> </w:t>
      </w:r>
      <w:r w:rsidRPr="001F0C98">
        <w:rPr>
          <w:rFonts w:cs="Calibri Bold Italic"/>
          <w:sz w:val="20"/>
          <w:szCs w:val="20"/>
        </w:rPr>
        <w:t xml:space="preserve">are based on arrangements amongst member states, such as </w:t>
      </w:r>
      <w:r w:rsidRPr="001F0C98">
        <w:rPr>
          <w:rFonts w:cs="Calibri Bold Italic"/>
          <w:sz w:val="20"/>
          <w:szCs w:val="20"/>
        </w:rPr>
        <w:lastRenderedPageBreak/>
        <w:t>intergovernmental conventions or treaties, although they have opted for different legal models as regards their implementation. These vary from an i</w:t>
      </w:r>
      <w:r w:rsidRPr="001F0C98">
        <w:rPr>
          <w:rFonts w:cs="Calibri Bold Italic"/>
          <w:color w:val="1A1718"/>
          <w:sz w:val="20"/>
          <w:szCs w:val="20"/>
        </w:rPr>
        <w:t>nternational organization, a non-profit company model established under national law or a joint undertaking and a multi-party agreement. These legal models ensure that the admini</w:t>
      </w:r>
      <w:r w:rsidRPr="001F0C98">
        <w:rPr>
          <w:rFonts w:cs="Calibri Bold Italic"/>
          <w:color w:val="1A1718"/>
          <w:sz w:val="20"/>
          <w:szCs w:val="20"/>
        </w:rPr>
        <w:t>s</w:t>
      </w:r>
      <w:r w:rsidRPr="001F0C98">
        <w:rPr>
          <w:rFonts w:cs="Calibri Bold Italic"/>
          <w:color w:val="1A1718"/>
          <w:sz w:val="20"/>
          <w:szCs w:val="20"/>
        </w:rPr>
        <w:t xml:space="preserve">trative workload within a particular RI </w:t>
      </w:r>
      <w:r w:rsidRPr="001F0C98">
        <w:rPr>
          <w:rFonts w:cs="Calibri Bold Italic"/>
          <w:sz w:val="20"/>
          <w:szCs w:val="20"/>
        </w:rPr>
        <w:t>is mini</w:t>
      </w:r>
      <w:r>
        <w:rPr>
          <w:rFonts w:cs="Calibri Bold Italic"/>
          <w:sz w:val="20"/>
          <w:szCs w:val="20"/>
        </w:rPr>
        <w:t>mized.” (</w:t>
      </w:r>
      <w:proofErr w:type="spellStart"/>
      <w:r w:rsidR="007513D2" w:rsidRPr="00E436D0">
        <w:rPr>
          <w:rFonts w:cs="Times"/>
          <w:sz w:val="20"/>
          <w:szCs w:val="20"/>
          <w:lang w:val="en-US"/>
        </w:rPr>
        <w:t>EIRO</w:t>
      </w:r>
      <w:r w:rsidR="007513D2">
        <w:rPr>
          <w:rFonts w:cs="Times"/>
          <w:sz w:val="20"/>
          <w:szCs w:val="20"/>
          <w:lang w:val="en-US"/>
        </w:rPr>
        <w:t>forum</w:t>
      </w:r>
      <w:proofErr w:type="spellEnd"/>
      <w:r>
        <w:rPr>
          <w:rFonts w:cs="Calibri Bold Italic"/>
          <w:sz w:val="20"/>
          <w:szCs w:val="20"/>
        </w:rPr>
        <w:t>, 2015</w:t>
      </w:r>
      <w:r w:rsidR="00BA4AF4">
        <w:rPr>
          <w:rFonts w:cs="Calibri Bold Italic"/>
          <w:sz w:val="20"/>
          <w:szCs w:val="20"/>
        </w:rPr>
        <w:t xml:space="preserve">, </w:t>
      </w:r>
      <w:r>
        <w:rPr>
          <w:rFonts w:cs="Calibri Bold Italic"/>
          <w:sz w:val="20"/>
          <w:szCs w:val="20"/>
        </w:rPr>
        <w:t>3)</w:t>
      </w:r>
    </w:p>
    <w:p w14:paraId="323255A3" w14:textId="77777777" w:rsidR="00EF3AB8" w:rsidRDefault="00EF3AB8" w:rsidP="00EF3AB8">
      <w:pPr>
        <w:widowControl w:val="0"/>
        <w:autoSpaceDE w:val="0"/>
        <w:autoSpaceDN w:val="0"/>
        <w:adjustRightInd w:val="0"/>
        <w:spacing w:after="0" w:line="240" w:lineRule="auto"/>
        <w:rPr>
          <w:rFonts w:cs="Calibri Bold Italic"/>
          <w:sz w:val="20"/>
          <w:szCs w:val="20"/>
        </w:rPr>
      </w:pPr>
    </w:p>
    <w:p w14:paraId="500C249B" w14:textId="7E70D0B3" w:rsidR="00EF3AB8" w:rsidRPr="007513D2" w:rsidRDefault="00EF3AB8" w:rsidP="007513D2">
      <w:pPr>
        <w:widowControl w:val="0"/>
        <w:autoSpaceDE w:val="0"/>
        <w:autoSpaceDN w:val="0"/>
        <w:adjustRightInd w:val="0"/>
        <w:spacing w:after="0" w:line="240" w:lineRule="auto"/>
        <w:rPr>
          <w:rFonts w:cs="Times"/>
          <w:sz w:val="20"/>
          <w:szCs w:val="20"/>
        </w:rPr>
      </w:pPr>
      <w:r w:rsidRPr="007513D2">
        <w:rPr>
          <w:rFonts w:cs="Calibri Bold Italic"/>
          <w:sz w:val="20"/>
          <w:szCs w:val="20"/>
        </w:rPr>
        <w:t xml:space="preserve">“For pan-European RIs, the host country - or in distributed RIs the host countries - play a vital role in ensuring the smooth establishment and functioning of the RI. The relationship between the RI and the host </w:t>
      </w:r>
      <w:proofErr w:type="gramStart"/>
      <w:r w:rsidRPr="007513D2">
        <w:rPr>
          <w:rFonts w:cs="Calibri Bold Italic"/>
          <w:sz w:val="20"/>
          <w:szCs w:val="20"/>
        </w:rPr>
        <w:t>country(</w:t>
      </w:r>
      <w:proofErr w:type="spellStart"/>
      <w:proofErr w:type="gramEnd"/>
      <w:r w:rsidRPr="007513D2">
        <w:rPr>
          <w:rFonts w:cs="Calibri Bold Italic"/>
          <w:sz w:val="20"/>
          <w:szCs w:val="20"/>
        </w:rPr>
        <w:t>ies</w:t>
      </w:r>
      <w:proofErr w:type="spellEnd"/>
      <w:r w:rsidRPr="007513D2">
        <w:rPr>
          <w:rFonts w:cs="Calibri Bold Italic"/>
          <w:sz w:val="20"/>
          <w:szCs w:val="20"/>
        </w:rPr>
        <w:t>) is often regulated in a separate legal document.” (</w:t>
      </w:r>
      <w:proofErr w:type="spellStart"/>
      <w:r w:rsidR="007513D2" w:rsidRPr="007513D2">
        <w:rPr>
          <w:rFonts w:cs="Times"/>
          <w:sz w:val="20"/>
          <w:szCs w:val="20"/>
        </w:rPr>
        <w:t>EIROforum</w:t>
      </w:r>
      <w:proofErr w:type="spellEnd"/>
      <w:r w:rsidRPr="007513D2">
        <w:rPr>
          <w:rFonts w:cs="Calibri Bold Italic"/>
          <w:sz w:val="20"/>
          <w:szCs w:val="20"/>
        </w:rPr>
        <w:t>, 2015</w:t>
      </w:r>
      <w:r w:rsidR="00BA4AF4">
        <w:rPr>
          <w:rFonts w:cs="Calibri Bold Italic"/>
          <w:sz w:val="20"/>
          <w:szCs w:val="20"/>
        </w:rPr>
        <w:t xml:space="preserve">, </w:t>
      </w:r>
      <w:r w:rsidRPr="007513D2">
        <w:rPr>
          <w:rFonts w:cs="Calibri Bold Italic"/>
          <w:sz w:val="20"/>
          <w:szCs w:val="20"/>
        </w:rPr>
        <w:t>4)</w:t>
      </w:r>
    </w:p>
    <w:p w14:paraId="3FC2B0DF" w14:textId="77777777" w:rsidR="00CE2E70" w:rsidRDefault="00CE2E70" w:rsidP="000E0301">
      <w:pPr>
        <w:pStyle w:val="KeinLeerraum"/>
        <w:rPr>
          <w:sz w:val="20"/>
          <w:szCs w:val="20"/>
        </w:rPr>
      </w:pPr>
    </w:p>
    <w:p w14:paraId="69A03473" w14:textId="6CDF53C6" w:rsidR="00EB7B00" w:rsidRPr="006B49EE" w:rsidRDefault="00EB7B00" w:rsidP="006B49EE">
      <w:pPr>
        <w:widowControl w:val="0"/>
        <w:autoSpaceDE w:val="0"/>
        <w:autoSpaceDN w:val="0"/>
        <w:adjustRightInd w:val="0"/>
        <w:spacing w:after="0" w:line="240" w:lineRule="auto"/>
        <w:rPr>
          <w:sz w:val="20"/>
          <w:szCs w:val="20"/>
        </w:rPr>
      </w:pPr>
      <w:r w:rsidRPr="006B49EE">
        <w:rPr>
          <w:sz w:val="20"/>
          <w:szCs w:val="20"/>
        </w:rPr>
        <w:t>“</w:t>
      </w:r>
      <w:r w:rsidRPr="006B49EE">
        <w:rPr>
          <w:rFonts w:cs="Helvetica"/>
          <w:sz w:val="20"/>
          <w:szCs w:val="20"/>
        </w:rPr>
        <w:t>The European Research Infrastructure Consortium (ERIC) legal entity has been identified as the most appr</w:t>
      </w:r>
      <w:r w:rsidRPr="006B49EE">
        <w:rPr>
          <w:rFonts w:cs="Helvetica"/>
          <w:sz w:val="20"/>
          <w:szCs w:val="20"/>
        </w:rPr>
        <w:t>o</w:t>
      </w:r>
      <w:r w:rsidRPr="006B49EE">
        <w:rPr>
          <w:rFonts w:cs="Helvetica"/>
          <w:sz w:val="20"/>
          <w:szCs w:val="20"/>
        </w:rPr>
        <w:t>priate legal entity to support the distributed operation of the BBMRI. BBMRI-ERIC is established for an unli</w:t>
      </w:r>
      <w:r w:rsidRPr="006B49EE">
        <w:rPr>
          <w:rFonts w:cs="Helvetica"/>
          <w:sz w:val="20"/>
          <w:szCs w:val="20"/>
        </w:rPr>
        <w:t>m</w:t>
      </w:r>
      <w:r w:rsidRPr="006B49EE">
        <w:rPr>
          <w:rFonts w:cs="Helvetica"/>
          <w:sz w:val="20"/>
          <w:szCs w:val="20"/>
        </w:rPr>
        <w:t>ited period under the Council Regulation (EC) No 723/2009 of 25 June 2009 on the Community legal framework for an ERIC. The ERIC is set up to sustainably establish and operate, on a non-economic basis, the distributed pan-European Research infrastructure “Biobanking and Biomolecular Research Infrastructure, European R</w:t>
      </w:r>
      <w:r w:rsidRPr="006B49EE">
        <w:rPr>
          <w:rFonts w:cs="Helvetica"/>
          <w:sz w:val="20"/>
          <w:szCs w:val="20"/>
        </w:rPr>
        <w:t>e</w:t>
      </w:r>
      <w:r w:rsidRPr="006B49EE">
        <w:rPr>
          <w:rFonts w:cs="Helvetica"/>
          <w:sz w:val="20"/>
          <w:szCs w:val="20"/>
        </w:rPr>
        <w:t>search Infrastructure Consortium” (BBMRI-ERIC).</w:t>
      </w:r>
      <w:r w:rsidRPr="006B49EE">
        <w:rPr>
          <w:sz w:val="20"/>
          <w:szCs w:val="20"/>
        </w:rPr>
        <w:t xml:space="preserve">” (BBMRI, 2012, </w:t>
      </w:r>
      <w:r w:rsidR="006B49EE" w:rsidRPr="006B49EE">
        <w:rPr>
          <w:sz w:val="20"/>
          <w:szCs w:val="20"/>
        </w:rPr>
        <w:t>37)</w:t>
      </w:r>
    </w:p>
    <w:p w14:paraId="6F5CF265" w14:textId="77777777" w:rsidR="008046B9" w:rsidRDefault="008046B9" w:rsidP="003473C0">
      <w:pPr>
        <w:pStyle w:val="KeinLeerraum"/>
        <w:rPr>
          <w:sz w:val="20"/>
          <w:szCs w:val="20"/>
        </w:rPr>
      </w:pPr>
    </w:p>
    <w:p w14:paraId="4E9DB17D" w14:textId="77777777" w:rsidR="006B49EE" w:rsidRDefault="006B49EE" w:rsidP="003473C0">
      <w:pPr>
        <w:pStyle w:val="KeinLeerraum"/>
        <w:rPr>
          <w:sz w:val="20"/>
          <w:szCs w:val="20"/>
        </w:rPr>
      </w:pPr>
    </w:p>
    <w:p w14:paraId="439E330C" w14:textId="67C02B1D" w:rsidR="00A56A11" w:rsidRDefault="00A56A11" w:rsidP="00A56A11">
      <w:pPr>
        <w:pStyle w:val="KeinLeerraum"/>
        <w:numPr>
          <w:ilvl w:val="0"/>
          <w:numId w:val="19"/>
        </w:numPr>
        <w:ind w:left="567" w:hanging="567"/>
        <w:rPr>
          <w:b/>
          <w:color w:val="FF0000"/>
          <w:sz w:val="24"/>
          <w:szCs w:val="24"/>
        </w:rPr>
      </w:pPr>
      <w:r>
        <w:rPr>
          <w:b/>
          <w:color w:val="FF0000"/>
          <w:sz w:val="24"/>
          <w:szCs w:val="24"/>
        </w:rPr>
        <w:t>Bibliography</w:t>
      </w:r>
    </w:p>
    <w:p w14:paraId="5710D731" w14:textId="26CD6DA5" w:rsidR="00C82EAB" w:rsidRPr="003C357B" w:rsidRDefault="00C82EAB" w:rsidP="00C82EAB">
      <w:pPr>
        <w:pStyle w:val="KeinLeerraum"/>
        <w:numPr>
          <w:ilvl w:val="0"/>
          <w:numId w:val="37"/>
        </w:numPr>
        <w:ind w:left="567" w:hanging="567"/>
        <w:rPr>
          <w:b/>
          <w:color w:val="FF0000"/>
          <w:sz w:val="20"/>
          <w:szCs w:val="20"/>
        </w:rPr>
      </w:pPr>
      <w:r>
        <w:rPr>
          <w:b/>
          <w:color w:val="FF0000"/>
          <w:sz w:val="20"/>
          <w:szCs w:val="20"/>
        </w:rPr>
        <w:t>L</w:t>
      </w:r>
      <w:r w:rsidRPr="003C357B">
        <w:rPr>
          <w:b/>
          <w:color w:val="FF0000"/>
          <w:sz w:val="20"/>
          <w:szCs w:val="20"/>
        </w:rPr>
        <w:t xml:space="preserve">iterature </w:t>
      </w:r>
      <w:r>
        <w:rPr>
          <w:b/>
          <w:color w:val="FF0000"/>
          <w:sz w:val="20"/>
          <w:szCs w:val="20"/>
        </w:rPr>
        <w:t>cited</w:t>
      </w:r>
    </w:p>
    <w:p w14:paraId="271925B5" w14:textId="77777777" w:rsidR="00A56A11" w:rsidRPr="000123B3" w:rsidRDefault="00A56A11" w:rsidP="00A56A11">
      <w:pPr>
        <w:pStyle w:val="KeinLeerraum"/>
        <w:numPr>
          <w:ilvl w:val="0"/>
          <w:numId w:val="2"/>
        </w:numPr>
        <w:ind w:left="284" w:hanging="284"/>
        <w:rPr>
          <w:sz w:val="20"/>
          <w:szCs w:val="20"/>
        </w:rPr>
      </w:pPr>
      <w:proofErr w:type="spellStart"/>
      <w:r w:rsidRPr="000123B3">
        <w:rPr>
          <w:sz w:val="20"/>
          <w:szCs w:val="20"/>
        </w:rPr>
        <w:t>Bany</w:t>
      </w:r>
      <w:proofErr w:type="spellEnd"/>
      <w:r w:rsidRPr="000123B3">
        <w:rPr>
          <w:sz w:val="20"/>
          <w:szCs w:val="20"/>
        </w:rPr>
        <w:t xml:space="preserve"> Mohammed AA, </w:t>
      </w:r>
      <w:proofErr w:type="spellStart"/>
      <w:r w:rsidRPr="000123B3">
        <w:rPr>
          <w:sz w:val="20"/>
          <w:szCs w:val="20"/>
        </w:rPr>
        <w:t>Altmann</w:t>
      </w:r>
      <w:proofErr w:type="spellEnd"/>
      <w:r w:rsidRPr="000123B3">
        <w:rPr>
          <w:sz w:val="20"/>
          <w:szCs w:val="20"/>
        </w:rPr>
        <w:t xml:space="preserve"> J. 2010. </w:t>
      </w:r>
      <w:hyperlink r:id="rId15" w:history="1">
        <w:r w:rsidRPr="000123B3">
          <w:rPr>
            <w:rStyle w:val="Link"/>
            <w:i/>
            <w:sz w:val="20"/>
            <w:szCs w:val="20"/>
          </w:rPr>
          <w:t>A funding and governing model for achieving sustainable growth of computing e-infrastructures</w:t>
        </w:r>
      </w:hyperlink>
      <w:r w:rsidRPr="000123B3">
        <w:rPr>
          <w:sz w:val="20"/>
          <w:szCs w:val="20"/>
        </w:rPr>
        <w:t xml:space="preserve">. Seoul National University, Technology Management, Economics and Policy Program. (Discussion Paper, 62) &amp; </w:t>
      </w:r>
      <w:r w:rsidRPr="000123B3">
        <w:rPr>
          <w:rFonts w:cs="Helvetica Neue"/>
          <w:i/>
          <w:sz w:val="20"/>
          <w:szCs w:val="20"/>
        </w:rPr>
        <w:t>Annals of Telecommunications</w:t>
      </w:r>
      <w:r>
        <w:rPr>
          <w:rFonts w:cs="Helvetica Neue"/>
          <w:sz w:val="20"/>
          <w:szCs w:val="20"/>
        </w:rPr>
        <w:t>, 65(11): 739-56.</w:t>
      </w:r>
    </w:p>
    <w:p w14:paraId="0AC85C23" w14:textId="77777777" w:rsidR="00A56A11" w:rsidRDefault="00A56A11" w:rsidP="00A56A11">
      <w:pPr>
        <w:pStyle w:val="KeinLeerraum"/>
        <w:numPr>
          <w:ilvl w:val="0"/>
          <w:numId w:val="2"/>
        </w:numPr>
        <w:ind w:left="284" w:hanging="284"/>
        <w:rPr>
          <w:sz w:val="20"/>
          <w:szCs w:val="20"/>
        </w:rPr>
      </w:pPr>
      <w:r w:rsidRPr="00E712CC">
        <w:rPr>
          <w:rFonts w:cs="Verdana"/>
          <w:bCs/>
          <w:sz w:val="20"/>
          <w:szCs w:val="20"/>
        </w:rPr>
        <w:t>Barbera</w:t>
      </w:r>
      <w:r w:rsidRPr="00E712CC">
        <w:rPr>
          <w:rFonts w:cs="Verdana"/>
          <w:sz w:val="20"/>
          <w:szCs w:val="20"/>
        </w:rPr>
        <w:t xml:space="preserve"> R, et al. 2009.</w:t>
      </w:r>
      <w:r>
        <w:rPr>
          <w:rFonts w:cs="Verdana"/>
          <w:color w:val="393939"/>
          <w:sz w:val="20"/>
          <w:szCs w:val="20"/>
        </w:rPr>
        <w:t xml:space="preserve"> </w:t>
      </w:r>
      <w:hyperlink r:id="rId16" w:history="1">
        <w:r w:rsidRPr="001F0C98">
          <w:rPr>
            <w:rStyle w:val="Link"/>
            <w:sz w:val="20"/>
            <w:szCs w:val="20"/>
          </w:rPr>
          <w:t>Approach to sustainable e-infrastructures: the case of the Latin American grid</w:t>
        </w:r>
      </w:hyperlink>
      <w:r>
        <w:rPr>
          <w:sz w:val="20"/>
          <w:szCs w:val="20"/>
        </w:rPr>
        <w:t xml:space="preserve">, </w:t>
      </w:r>
      <w:r w:rsidRPr="00E712CC">
        <w:rPr>
          <w:rFonts w:cs="Verdana"/>
          <w:sz w:val="20"/>
          <w:szCs w:val="20"/>
        </w:rPr>
        <w:t>IST-Africa</w:t>
      </w:r>
      <w:r>
        <w:rPr>
          <w:rFonts w:cs="Verdana"/>
          <w:sz w:val="20"/>
          <w:szCs w:val="20"/>
        </w:rPr>
        <w:t xml:space="preserve"> Conference, Kampala, Uganda, May.</w:t>
      </w:r>
    </w:p>
    <w:p w14:paraId="438353DA" w14:textId="77777777" w:rsidR="00A56A11" w:rsidRDefault="00A56A11" w:rsidP="00A56A11">
      <w:pPr>
        <w:pStyle w:val="KeinLeerraum"/>
        <w:numPr>
          <w:ilvl w:val="0"/>
          <w:numId w:val="2"/>
        </w:numPr>
        <w:ind w:left="284" w:hanging="284"/>
        <w:rPr>
          <w:sz w:val="20"/>
          <w:szCs w:val="20"/>
        </w:rPr>
      </w:pPr>
      <w:r w:rsidRPr="001F0C98">
        <w:rPr>
          <w:sz w:val="20"/>
          <w:szCs w:val="20"/>
        </w:rPr>
        <w:t xml:space="preserve">Barbosa D, et al. </w:t>
      </w:r>
      <w:r>
        <w:rPr>
          <w:sz w:val="20"/>
          <w:szCs w:val="20"/>
        </w:rPr>
        <w:t xml:space="preserve">2014. </w:t>
      </w:r>
      <w:hyperlink r:id="rId17" w:history="1">
        <w:r w:rsidRPr="001F0C98">
          <w:rPr>
            <w:rStyle w:val="Link"/>
            <w:sz w:val="20"/>
            <w:szCs w:val="20"/>
          </w:rPr>
          <w:t>A sustainable approach to large ICT science based infrastructures: the case for radio astronomy</w:t>
        </w:r>
      </w:hyperlink>
      <w:r>
        <w:rPr>
          <w:sz w:val="20"/>
          <w:szCs w:val="20"/>
        </w:rPr>
        <w:t xml:space="preserve">, </w:t>
      </w:r>
      <w:r w:rsidRPr="001F0C98">
        <w:rPr>
          <w:sz w:val="20"/>
          <w:szCs w:val="20"/>
        </w:rPr>
        <w:t>IEEE International Energy Conferenc</w:t>
      </w:r>
      <w:r>
        <w:rPr>
          <w:sz w:val="20"/>
          <w:szCs w:val="20"/>
        </w:rPr>
        <w:t>e, Dubrovnik, Croatia, May.</w:t>
      </w:r>
    </w:p>
    <w:p w14:paraId="24FF5A4B" w14:textId="7337C08A" w:rsidR="00AE6D6E" w:rsidRPr="00AE6D6E" w:rsidRDefault="00AE6D6E" w:rsidP="00A56A11">
      <w:pPr>
        <w:pStyle w:val="KeinLeerraum"/>
        <w:numPr>
          <w:ilvl w:val="0"/>
          <w:numId w:val="2"/>
        </w:numPr>
        <w:ind w:left="284" w:hanging="284"/>
        <w:rPr>
          <w:sz w:val="20"/>
          <w:szCs w:val="20"/>
        </w:rPr>
      </w:pPr>
      <w:r w:rsidRPr="009F6AD1">
        <w:rPr>
          <w:sz w:val="20"/>
          <w:szCs w:val="20"/>
        </w:rPr>
        <w:t xml:space="preserve">BBMRI, </w:t>
      </w:r>
      <w:r w:rsidRPr="009F6AD1">
        <w:rPr>
          <w:rFonts w:cs="Helvetica"/>
          <w:sz w:val="20"/>
          <w:szCs w:val="20"/>
        </w:rPr>
        <w:t>European Biobanking and Biomolecular Resources Research Infrastructure</w:t>
      </w:r>
      <w:r w:rsidRPr="009F6AD1">
        <w:rPr>
          <w:sz w:val="20"/>
          <w:szCs w:val="20"/>
        </w:rPr>
        <w:t xml:space="preserve">. 2012. </w:t>
      </w:r>
      <w:hyperlink r:id="rId18" w:history="1">
        <w:r w:rsidRPr="009F6AD1">
          <w:rPr>
            <w:rStyle w:val="Link"/>
            <w:i/>
            <w:sz w:val="20"/>
            <w:szCs w:val="20"/>
          </w:rPr>
          <w:t>Biobanking and biomolecular resources research infrastructure BBMRI: business plan</w:t>
        </w:r>
      </w:hyperlink>
      <w:r>
        <w:rPr>
          <w:sz w:val="20"/>
          <w:szCs w:val="20"/>
        </w:rPr>
        <w:t xml:space="preserve">. </w:t>
      </w:r>
      <w:r w:rsidRPr="001F0C98">
        <w:rPr>
          <w:sz w:val="20"/>
          <w:szCs w:val="20"/>
        </w:rPr>
        <w:t>Graz, Austria</w:t>
      </w:r>
      <w:r>
        <w:rPr>
          <w:sz w:val="20"/>
          <w:szCs w:val="20"/>
        </w:rPr>
        <w:t>.</w:t>
      </w:r>
    </w:p>
    <w:p w14:paraId="2034A152" w14:textId="77777777" w:rsidR="00A56A11" w:rsidRPr="001F0C98" w:rsidRDefault="00A56A11" w:rsidP="00A56A11">
      <w:pPr>
        <w:pStyle w:val="KeinLeerraum"/>
        <w:numPr>
          <w:ilvl w:val="0"/>
          <w:numId w:val="2"/>
        </w:numPr>
        <w:ind w:left="284" w:hanging="284"/>
        <w:rPr>
          <w:sz w:val="20"/>
          <w:szCs w:val="20"/>
        </w:rPr>
      </w:pPr>
      <w:r>
        <w:rPr>
          <w:rFonts w:cs="Lucida Grande"/>
          <w:bCs/>
          <w:sz w:val="20"/>
          <w:szCs w:val="20"/>
          <w:lang w:val="de-DE"/>
        </w:rPr>
        <w:t>Chandras C</w:t>
      </w:r>
      <w:r w:rsidRPr="001F0C98">
        <w:rPr>
          <w:rFonts w:cs="Lucida Grande"/>
          <w:bCs/>
          <w:sz w:val="20"/>
          <w:szCs w:val="20"/>
          <w:lang w:val="de-DE"/>
        </w:rPr>
        <w:t xml:space="preserve">, et al. </w:t>
      </w:r>
      <w:r w:rsidRPr="001F0C98">
        <w:rPr>
          <w:sz w:val="20"/>
          <w:szCs w:val="20"/>
        </w:rPr>
        <w:t xml:space="preserve">2009. </w:t>
      </w:r>
      <w:hyperlink r:id="rId19" w:history="1">
        <w:r w:rsidRPr="001F0C98">
          <w:rPr>
            <w:rStyle w:val="Link"/>
            <w:sz w:val="20"/>
            <w:szCs w:val="20"/>
          </w:rPr>
          <w:t>Models for financial sustainability of biological databases and resources</w:t>
        </w:r>
      </w:hyperlink>
      <w:r>
        <w:rPr>
          <w:sz w:val="20"/>
          <w:szCs w:val="20"/>
        </w:rPr>
        <w:t xml:space="preserve">, </w:t>
      </w:r>
      <w:r w:rsidRPr="001F0C98">
        <w:rPr>
          <w:i/>
          <w:sz w:val="20"/>
          <w:szCs w:val="20"/>
        </w:rPr>
        <w:t>Database: the Journal of Biological Databases and Curation</w:t>
      </w:r>
      <w:r>
        <w:rPr>
          <w:sz w:val="20"/>
          <w:szCs w:val="20"/>
        </w:rPr>
        <w:t>.</w:t>
      </w:r>
    </w:p>
    <w:p w14:paraId="1E1D9970" w14:textId="77777777" w:rsidR="00A56A11" w:rsidRDefault="00A56A11" w:rsidP="00A56A11">
      <w:pPr>
        <w:pStyle w:val="KeinLeerraum"/>
        <w:numPr>
          <w:ilvl w:val="0"/>
          <w:numId w:val="2"/>
        </w:numPr>
        <w:ind w:left="284" w:hanging="284"/>
        <w:rPr>
          <w:sz w:val="20"/>
          <w:szCs w:val="20"/>
        </w:rPr>
      </w:pPr>
      <w:proofErr w:type="gramStart"/>
      <w:r w:rsidRPr="001F0C98">
        <w:rPr>
          <w:sz w:val="20"/>
          <w:szCs w:val="20"/>
        </w:rPr>
        <w:t>e</w:t>
      </w:r>
      <w:proofErr w:type="gramEnd"/>
      <w:r w:rsidRPr="001F0C98">
        <w:rPr>
          <w:sz w:val="20"/>
          <w:szCs w:val="20"/>
        </w:rPr>
        <w:t>-I</w:t>
      </w:r>
      <w:r>
        <w:rPr>
          <w:sz w:val="20"/>
          <w:szCs w:val="20"/>
        </w:rPr>
        <w:t>RG, I</w:t>
      </w:r>
      <w:r w:rsidRPr="001F0C98">
        <w:rPr>
          <w:sz w:val="20"/>
          <w:szCs w:val="20"/>
        </w:rPr>
        <w:t>nfrastructures Reflection Group</w:t>
      </w:r>
      <w:r>
        <w:rPr>
          <w:sz w:val="20"/>
          <w:szCs w:val="20"/>
        </w:rPr>
        <w:t>. 2015.</w:t>
      </w:r>
      <w:r w:rsidRPr="001F0C98">
        <w:rPr>
          <w:sz w:val="20"/>
          <w:szCs w:val="20"/>
        </w:rPr>
        <w:t xml:space="preserve"> </w:t>
      </w:r>
      <w:hyperlink r:id="rId20" w:history="1">
        <w:r w:rsidRPr="001F0C98">
          <w:rPr>
            <w:rStyle w:val="Link"/>
            <w:sz w:val="20"/>
            <w:szCs w:val="20"/>
          </w:rPr>
          <w:t>Best practices for the use of e-Infrastructures by large-scale research infrastructures</w:t>
        </w:r>
      </w:hyperlink>
      <w:r>
        <w:rPr>
          <w:sz w:val="20"/>
          <w:szCs w:val="20"/>
        </w:rPr>
        <w:t>. The Hague, Netherlands. (Guidelines Document)</w:t>
      </w:r>
    </w:p>
    <w:p w14:paraId="483C13F5" w14:textId="77777777" w:rsidR="007A04F9" w:rsidRPr="007A04F9" w:rsidRDefault="007A04F9" w:rsidP="007A04F9">
      <w:pPr>
        <w:pStyle w:val="KeinLeerraum"/>
        <w:numPr>
          <w:ilvl w:val="0"/>
          <w:numId w:val="2"/>
        </w:numPr>
        <w:ind w:left="284" w:hanging="284"/>
        <w:rPr>
          <w:sz w:val="20"/>
          <w:szCs w:val="20"/>
        </w:rPr>
      </w:pPr>
      <w:proofErr w:type="spellStart"/>
      <w:r w:rsidRPr="007A04F9">
        <w:rPr>
          <w:sz w:val="20"/>
          <w:szCs w:val="20"/>
        </w:rPr>
        <w:t>EIROforum</w:t>
      </w:r>
      <w:proofErr w:type="spellEnd"/>
      <w:r w:rsidRPr="007A04F9">
        <w:rPr>
          <w:sz w:val="20"/>
          <w:szCs w:val="20"/>
        </w:rPr>
        <w:t xml:space="preserve">, European Intergovernmental Research Organisations </w:t>
      </w:r>
      <w:r w:rsidRPr="007A04F9">
        <w:rPr>
          <w:rFonts w:cs="Arial"/>
          <w:iCs/>
          <w:sz w:val="20"/>
          <w:szCs w:val="20"/>
        </w:rPr>
        <w:t>/ ERF, European Association of National Research Facilities ERF. 2011.</w:t>
      </w:r>
      <w:r w:rsidRPr="007A04F9">
        <w:rPr>
          <w:sz w:val="20"/>
          <w:szCs w:val="20"/>
        </w:rPr>
        <w:t xml:space="preserve"> </w:t>
      </w:r>
      <w:hyperlink r:id="rId21" w:history="1">
        <w:r w:rsidRPr="007A04F9">
          <w:rPr>
            <w:rStyle w:val="Link"/>
            <w:i/>
            <w:sz w:val="20"/>
            <w:szCs w:val="20"/>
          </w:rPr>
          <w:t>Research Infrastructures Staff Exchange (RISE): a new scheme for staff mobil</w:t>
        </w:r>
        <w:r w:rsidRPr="007A04F9">
          <w:rPr>
            <w:rStyle w:val="Link"/>
            <w:i/>
            <w:sz w:val="20"/>
            <w:szCs w:val="20"/>
          </w:rPr>
          <w:t>i</w:t>
        </w:r>
        <w:r w:rsidRPr="007A04F9">
          <w:rPr>
            <w:rStyle w:val="Link"/>
            <w:i/>
            <w:sz w:val="20"/>
            <w:szCs w:val="20"/>
          </w:rPr>
          <w:t>ty within European research infrastructures</w:t>
        </w:r>
      </w:hyperlink>
      <w:r w:rsidRPr="007A04F9">
        <w:rPr>
          <w:sz w:val="20"/>
          <w:szCs w:val="20"/>
        </w:rPr>
        <w:t>.</w:t>
      </w:r>
    </w:p>
    <w:p w14:paraId="70941E93" w14:textId="77777777" w:rsidR="00A56A11" w:rsidRDefault="00A56A11" w:rsidP="00A56A11">
      <w:pPr>
        <w:pStyle w:val="KeinLeerraum"/>
        <w:numPr>
          <w:ilvl w:val="0"/>
          <w:numId w:val="2"/>
        </w:numPr>
        <w:ind w:left="284" w:hanging="284"/>
        <w:rPr>
          <w:sz w:val="20"/>
          <w:szCs w:val="20"/>
        </w:rPr>
      </w:pPr>
      <w:proofErr w:type="spellStart"/>
      <w:r>
        <w:rPr>
          <w:sz w:val="20"/>
          <w:szCs w:val="20"/>
        </w:rPr>
        <w:t>EIROforum</w:t>
      </w:r>
      <w:proofErr w:type="spellEnd"/>
      <w:r>
        <w:rPr>
          <w:sz w:val="20"/>
          <w:szCs w:val="20"/>
        </w:rPr>
        <w:t xml:space="preserve">, </w:t>
      </w:r>
      <w:r w:rsidRPr="001F0C98">
        <w:rPr>
          <w:sz w:val="20"/>
          <w:szCs w:val="20"/>
        </w:rPr>
        <w:t>European Intergovernmental Research Organisations</w:t>
      </w:r>
      <w:r>
        <w:rPr>
          <w:sz w:val="20"/>
          <w:szCs w:val="20"/>
        </w:rPr>
        <w:t>. 2015.</w:t>
      </w:r>
      <w:r w:rsidRPr="001F0C98">
        <w:rPr>
          <w:sz w:val="20"/>
          <w:szCs w:val="20"/>
        </w:rPr>
        <w:t xml:space="preserve"> </w:t>
      </w:r>
      <w:hyperlink r:id="rId22" w:history="1">
        <w:r w:rsidRPr="001057E8">
          <w:rPr>
            <w:rStyle w:val="Link"/>
            <w:i/>
            <w:sz w:val="20"/>
            <w:szCs w:val="20"/>
          </w:rPr>
          <w:t>Long-term sustainability of r</w:t>
        </w:r>
        <w:r w:rsidRPr="001057E8">
          <w:rPr>
            <w:rStyle w:val="Link"/>
            <w:i/>
            <w:sz w:val="20"/>
            <w:szCs w:val="20"/>
          </w:rPr>
          <w:t>e</w:t>
        </w:r>
        <w:r w:rsidRPr="001057E8">
          <w:rPr>
            <w:rStyle w:val="Link"/>
            <w:i/>
            <w:sz w:val="20"/>
            <w:szCs w:val="20"/>
          </w:rPr>
          <w:t>search infrastructures</w:t>
        </w:r>
      </w:hyperlink>
      <w:r>
        <w:rPr>
          <w:sz w:val="20"/>
          <w:szCs w:val="20"/>
        </w:rPr>
        <w:t>. (Discussion Paper)</w:t>
      </w:r>
    </w:p>
    <w:p w14:paraId="442EE9CF" w14:textId="56CC8875" w:rsidR="00CC108C" w:rsidRPr="00CC108C" w:rsidRDefault="00CC108C" w:rsidP="00A56A11">
      <w:pPr>
        <w:pStyle w:val="KeinLeerraum"/>
        <w:numPr>
          <w:ilvl w:val="0"/>
          <w:numId w:val="2"/>
        </w:numPr>
        <w:ind w:left="284" w:hanging="284"/>
        <w:rPr>
          <w:sz w:val="20"/>
          <w:szCs w:val="20"/>
          <w:u w:val="single"/>
        </w:rPr>
      </w:pPr>
      <w:r w:rsidRPr="001B4B35">
        <w:rPr>
          <w:sz w:val="20"/>
          <w:szCs w:val="20"/>
        </w:rPr>
        <w:t xml:space="preserve">ERICON, European Polar Research Icebreaker Consortium. 2011. </w:t>
      </w:r>
      <w:hyperlink r:id="rId23" w:history="1">
        <w:r w:rsidRPr="001B4B35">
          <w:rPr>
            <w:rStyle w:val="Link"/>
            <w:i/>
            <w:sz w:val="20"/>
            <w:szCs w:val="20"/>
          </w:rPr>
          <w:t>Business planning perspective and financial models of participation for the research icebreaker AURORA BOREALIS</w:t>
        </w:r>
      </w:hyperlink>
      <w:r w:rsidRPr="001B4B35">
        <w:rPr>
          <w:sz w:val="20"/>
          <w:szCs w:val="20"/>
        </w:rPr>
        <w:t>. European Science Foundation ESF: Strasbourg.</w:t>
      </w:r>
    </w:p>
    <w:p w14:paraId="7D65D2C7" w14:textId="77777777" w:rsidR="00A56A11" w:rsidRPr="00265753" w:rsidRDefault="00A56A11" w:rsidP="00A56A11">
      <w:pPr>
        <w:pStyle w:val="KeinLeerraum"/>
        <w:numPr>
          <w:ilvl w:val="0"/>
          <w:numId w:val="2"/>
        </w:numPr>
        <w:ind w:left="284" w:hanging="284"/>
        <w:rPr>
          <w:sz w:val="20"/>
          <w:szCs w:val="20"/>
          <w:u w:val="single"/>
        </w:rPr>
      </w:pPr>
      <w:r>
        <w:rPr>
          <w:sz w:val="20"/>
          <w:szCs w:val="20"/>
        </w:rPr>
        <w:t xml:space="preserve">ESA, </w:t>
      </w:r>
      <w:r w:rsidRPr="001F0C98">
        <w:rPr>
          <w:sz w:val="20"/>
          <w:szCs w:val="20"/>
        </w:rPr>
        <w:t>Ecological Society of America</w:t>
      </w:r>
      <w:r>
        <w:rPr>
          <w:sz w:val="20"/>
          <w:szCs w:val="20"/>
        </w:rPr>
        <w:t>. 2010.</w:t>
      </w:r>
      <w:r w:rsidRPr="001F0C98">
        <w:rPr>
          <w:sz w:val="20"/>
          <w:szCs w:val="20"/>
        </w:rPr>
        <w:t xml:space="preserve"> </w:t>
      </w:r>
      <w:hyperlink r:id="rId24" w:history="1">
        <w:r w:rsidRPr="00F02B02">
          <w:rPr>
            <w:rStyle w:val="Link"/>
            <w:i/>
            <w:sz w:val="20"/>
            <w:szCs w:val="20"/>
          </w:rPr>
          <w:t>Strategies for sustainability of biological infrastructure</w:t>
        </w:r>
      </w:hyperlink>
      <w:r>
        <w:rPr>
          <w:sz w:val="20"/>
          <w:szCs w:val="20"/>
        </w:rPr>
        <w:t xml:space="preserve">. </w:t>
      </w:r>
      <w:r w:rsidRPr="001F0C98">
        <w:rPr>
          <w:sz w:val="20"/>
          <w:szCs w:val="20"/>
        </w:rPr>
        <w:t>(Workshop Report)</w:t>
      </w:r>
    </w:p>
    <w:p w14:paraId="4654135B" w14:textId="77777777" w:rsidR="00A56A11" w:rsidRDefault="00A56A11" w:rsidP="00A56A11">
      <w:pPr>
        <w:pStyle w:val="StandardWeb"/>
        <w:numPr>
          <w:ilvl w:val="0"/>
          <w:numId w:val="2"/>
        </w:numPr>
        <w:spacing w:before="0" w:beforeAutospacing="0" w:after="0" w:afterAutospacing="0"/>
        <w:ind w:left="284" w:hanging="284"/>
        <w:rPr>
          <w:rFonts w:asciiTheme="minorHAnsi" w:hAnsiTheme="minorHAnsi"/>
          <w:lang w:val="en-GB"/>
        </w:rPr>
      </w:pPr>
      <w:r w:rsidRPr="001F0C98">
        <w:rPr>
          <w:rFonts w:asciiTheme="minorHAnsi" w:hAnsiTheme="minorHAnsi"/>
          <w:lang w:val="en-GB"/>
        </w:rPr>
        <w:t>European Commission</w:t>
      </w:r>
      <w:r>
        <w:rPr>
          <w:rFonts w:asciiTheme="minorHAnsi" w:hAnsiTheme="minorHAnsi"/>
          <w:lang w:val="en-GB"/>
        </w:rPr>
        <w:t>. 2010.</w:t>
      </w:r>
      <w:r w:rsidRPr="001F0C98">
        <w:t xml:space="preserve"> </w:t>
      </w:r>
      <w:hyperlink r:id="rId25" w:history="1">
        <w:r w:rsidRPr="00D41586">
          <w:rPr>
            <w:rStyle w:val="Link"/>
            <w:rFonts w:asciiTheme="minorHAnsi" w:hAnsiTheme="minorHAnsi"/>
            <w:i/>
            <w:lang w:val="en-GB"/>
          </w:rPr>
          <w:t>Cost control and management issues of global research infrastructures: report of the European expert group</w:t>
        </w:r>
      </w:hyperlink>
      <w:r>
        <w:rPr>
          <w:rFonts w:asciiTheme="minorHAnsi" w:hAnsiTheme="minorHAnsi"/>
          <w:lang w:val="en-GB"/>
        </w:rPr>
        <w:t xml:space="preserve">. </w:t>
      </w:r>
      <w:r w:rsidRPr="004F3D3B">
        <w:rPr>
          <w:rFonts w:asciiTheme="minorHAnsi" w:hAnsiTheme="minorHAnsi"/>
          <w:lang w:val="en-GB"/>
        </w:rPr>
        <w:t>Brussels.</w:t>
      </w:r>
    </w:p>
    <w:p w14:paraId="3919660B" w14:textId="219DDB63" w:rsidR="00856E26" w:rsidRPr="004F3D3B" w:rsidRDefault="00856E26" w:rsidP="00A56A11">
      <w:pPr>
        <w:pStyle w:val="StandardWeb"/>
        <w:numPr>
          <w:ilvl w:val="0"/>
          <w:numId w:val="2"/>
        </w:numPr>
        <w:spacing w:before="0" w:beforeAutospacing="0" w:after="0" w:afterAutospacing="0"/>
        <w:ind w:left="284" w:hanging="284"/>
        <w:rPr>
          <w:rFonts w:asciiTheme="minorHAnsi" w:hAnsiTheme="minorHAnsi"/>
          <w:lang w:val="en-GB"/>
        </w:rPr>
      </w:pPr>
      <w:r w:rsidRPr="001F0C98">
        <w:rPr>
          <w:rFonts w:asciiTheme="minorHAnsi" w:hAnsiTheme="minorHAnsi"/>
          <w:lang w:val="en-GB"/>
        </w:rPr>
        <w:t>European Commission, DG Information Society and Media, Uni</w:t>
      </w:r>
      <w:r>
        <w:rPr>
          <w:rFonts w:asciiTheme="minorHAnsi" w:hAnsiTheme="minorHAnsi"/>
          <w:lang w:val="en-GB"/>
        </w:rPr>
        <w:t>t F3 „</w:t>
      </w:r>
      <w:proofErr w:type="spellStart"/>
      <w:r>
        <w:rPr>
          <w:rFonts w:asciiTheme="minorHAnsi" w:hAnsiTheme="minorHAnsi"/>
          <w:lang w:val="en-GB"/>
        </w:rPr>
        <w:t>Géant</w:t>
      </w:r>
      <w:proofErr w:type="spellEnd"/>
      <w:r>
        <w:rPr>
          <w:rFonts w:asciiTheme="minorHAnsi" w:hAnsiTheme="minorHAnsi"/>
          <w:lang w:val="en-GB"/>
        </w:rPr>
        <w:t xml:space="preserve"> &amp; e-Infrastructures.</w:t>
      </w:r>
      <w:r w:rsidRPr="001F0C98">
        <w:rPr>
          <w:rFonts w:asciiTheme="minorHAnsi" w:hAnsiTheme="minorHAnsi"/>
          <w:lang w:val="en-GB"/>
        </w:rPr>
        <w:t xml:space="preserve"> 2012</w:t>
      </w:r>
      <w:r>
        <w:rPr>
          <w:rFonts w:asciiTheme="minorHAnsi" w:hAnsiTheme="minorHAnsi"/>
          <w:lang w:val="en-GB"/>
        </w:rPr>
        <w:t xml:space="preserve">. </w:t>
      </w:r>
      <w:hyperlink r:id="rId26" w:history="1">
        <w:r w:rsidRPr="00FF74A8">
          <w:rPr>
            <w:rStyle w:val="Link"/>
            <w:rFonts w:asciiTheme="minorHAnsi" w:hAnsiTheme="minorHAnsi"/>
            <w:i/>
            <w:lang w:val="en-GB"/>
          </w:rPr>
          <w:t>Skills and human resources for e-infrastructures within Horizon 2020</w:t>
        </w:r>
      </w:hyperlink>
      <w:r>
        <w:rPr>
          <w:rFonts w:asciiTheme="minorHAnsi" w:hAnsiTheme="minorHAnsi"/>
          <w:lang w:val="en-GB"/>
        </w:rPr>
        <w:t xml:space="preserve">. </w:t>
      </w:r>
      <w:r w:rsidRPr="001F0C98">
        <w:rPr>
          <w:rFonts w:asciiTheme="minorHAnsi" w:hAnsiTheme="minorHAnsi"/>
          <w:lang w:val="en-GB"/>
        </w:rPr>
        <w:t>(Report on Consultation Workshop)</w:t>
      </w:r>
    </w:p>
    <w:p w14:paraId="227755AA" w14:textId="77777777" w:rsidR="00A56A11" w:rsidRPr="0000118E" w:rsidRDefault="00A56A11" w:rsidP="00A56A11">
      <w:pPr>
        <w:pStyle w:val="KeinLeerraum"/>
        <w:numPr>
          <w:ilvl w:val="0"/>
          <w:numId w:val="2"/>
        </w:numPr>
        <w:ind w:left="284" w:hanging="284"/>
        <w:rPr>
          <w:sz w:val="20"/>
          <w:szCs w:val="20"/>
        </w:rPr>
      </w:pPr>
      <w:r w:rsidRPr="0000118E">
        <w:rPr>
          <w:sz w:val="20"/>
          <w:szCs w:val="20"/>
        </w:rPr>
        <w:t xml:space="preserve">Helmholtz Association of German Research Centres. 2013. </w:t>
      </w:r>
      <w:hyperlink r:id="rId27" w:history="1">
        <w:r w:rsidRPr="0000118E">
          <w:rPr>
            <w:rStyle w:val="Link"/>
            <w:i/>
            <w:sz w:val="20"/>
            <w:szCs w:val="20"/>
          </w:rPr>
          <w:t>The cost of large RIs: comments</w:t>
        </w:r>
      </w:hyperlink>
      <w:r>
        <w:rPr>
          <w:sz w:val="20"/>
          <w:szCs w:val="20"/>
        </w:rPr>
        <w:t>. Brussels.</w:t>
      </w:r>
    </w:p>
    <w:p w14:paraId="571E18CC" w14:textId="77777777" w:rsidR="00A56A11" w:rsidRDefault="00A56A11" w:rsidP="00A56A11">
      <w:pPr>
        <w:pStyle w:val="KeinLeerraum"/>
        <w:numPr>
          <w:ilvl w:val="0"/>
          <w:numId w:val="2"/>
        </w:numPr>
        <w:ind w:left="284" w:hanging="284"/>
        <w:rPr>
          <w:sz w:val="20"/>
          <w:szCs w:val="20"/>
        </w:rPr>
      </w:pPr>
      <w:r w:rsidRPr="001F0C98">
        <w:rPr>
          <w:sz w:val="20"/>
          <w:szCs w:val="20"/>
        </w:rPr>
        <w:t xml:space="preserve">Katz D, Proctor D. 2014. </w:t>
      </w:r>
      <w:hyperlink r:id="rId28" w:history="1">
        <w:r w:rsidRPr="001F0C98">
          <w:rPr>
            <w:rStyle w:val="Link"/>
            <w:sz w:val="20"/>
            <w:szCs w:val="20"/>
          </w:rPr>
          <w:t>A Framework for discussing e-research infrastructure sustainability</w:t>
        </w:r>
      </w:hyperlink>
      <w:r>
        <w:rPr>
          <w:sz w:val="20"/>
          <w:szCs w:val="20"/>
        </w:rPr>
        <w:t xml:space="preserve">, </w:t>
      </w:r>
      <w:r w:rsidRPr="001F0C98">
        <w:rPr>
          <w:i/>
          <w:sz w:val="20"/>
          <w:szCs w:val="20"/>
        </w:rPr>
        <w:t>Journal of Open Research Software</w:t>
      </w:r>
      <w:r w:rsidRPr="001F0C98">
        <w:rPr>
          <w:sz w:val="20"/>
          <w:szCs w:val="20"/>
        </w:rPr>
        <w:t>, 2(1): 1-4</w:t>
      </w:r>
      <w:r>
        <w:rPr>
          <w:sz w:val="20"/>
          <w:szCs w:val="20"/>
        </w:rPr>
        <w:t>.</w:t>
      </w:r>
    </w:p>
    <w:p w14:paraId="38AA333C" w14:textId="77777777" w:rsidR="00A56A11" w:rsidRDefault="00A56A11" w:rsidP="00A56A11">
      <w:pPr>
        <w:pStyle w:val="KeinLeerraum"/>
        <w:numPr>
          <w:ilvl w:val="0"/>
          <w:numId w:val="2"/>
        </w:numPr>
        <w:ind w:left="284" w:hanging="284"/>
        <w:rPr>
          <w:sz w:val="20"/>
          <w:szCs w:val="20"/>
        </w:rPr>
      </w:pPr>
      <w:r>
        <w:rPr>
          <w:sz w:val="20"/>
          <w:szCs w:val="20"/>
        </w:rPr>
        <w:t xml:space="preserve">Lee S, et al. </w:t>
      </w:r>
      <w:r w:rsidRPr="001F0C98">
        <w:rPr>
          <w:sz w:val="20"/>
          <w:szCs w:val="20"/>
        </w:rPr>
        <w:t>2013</w:t>
      </w:r>
      <w:r>
        <w:rPr>
          <w:sz w:val="20"/>
          <w:szCs w:val="20"/>
        </w:rPr>
        <w:t xml:space="preserve">. </w:t>
      </w:r>
      <w:hyperlink r:id="rId29" w:history="1">
        <w:r w:rsidRPr="002A0517">
          <w:rPr>
            <w:rStyle w:val="Link"/>
            <w:i/>
            <w:sz w:val="20"/>
            <w:szCs w:val="20"/>
          </w:rPr>
          <w:t>Financing UK biobanks: rationale for a national biobanking research infrastructure</w:t>
        </w:r>
      </w:hyperlink>
      <w:r>
        <w:rPr>
          <w:sz w:val="20"/>
          <w:szCs w:val="20"/>
        </w:rPr>
        <w:t xml:space="preserve">. </w:t>
      </w:r>
      <w:r w:rsidRPr="001F0C98">
        <w:rPr>
          <w:sz w:val="20"/>
          <w:szCs w:val="20"/>
        </w:rPr>
        <w:t>STR</w:t>
      </w:r>
      <w:r w:rsidRPr="001F0C98">
        <w:rPr>
          <w:sz w:val="20"/>
          <w:szCs w:val="20"/>
        </w:rPr>
        <w:t>A</w:t>
      </w:r>
      <w:r w:rsidRPr="001F0C98">
        <w:rPr>
          <w:sz w:val="20"/>
          <w:szCs w:val="20"/>
        </w:rPr>
        <w:t>TUM, Strategic Tissue Repository Alliances Through Unified Methods</w:t>
      </w:r>
      <w:r>
        <w:rPr>
          <w:sz w:val="20"/>
          <w:szCs w:val="20"/>
        </w:rPr>
        <w:t>,</w:t>
      </w:r>
      <w:r w:rsidRPr="001F0C98">
        <w:rPr>
          <w:sz w:val="20"/>
          <w:szCs w:val="20"/>
        </w:rPr>
        <w:t xml:space="preserve"> UK</w:t>
      </w:r>
      <w:r>
        <w:rPr>
          <w:sz w:val="20"/>
          <w:szCs w:val="20"/>
        </w:rPr>
        <w:t>. (Final Report of Work Package 7 “Cost Model” of STRATUM).</w:t>
      </w:r>
    </w:p>
    <w:p w14:paraId="747C5890" w14:textId="77777777" w:rsidR="00A56A11" w:rsidRPr="009D6E54" w:rsidRDefault="00A56A11" w:rsidP="00A56A11">
      <w:pPr>
        <w:pStyle w:val="StandardWeb"/>
        <w:numPr>
          <w:ilvl w:val="0"/>
          <w:numId w:val="2"/>
        </w:numPr>
        <w:spacing w:before="0" w:beforeAutospacing="0" w:after="0" w:afterAutospacing="0"/>
        <w:ind w:left="284" w:hanging="284"/>
        <w:rPr>
          <w:rFonts w:asciiTheme="minorHAnsi" w:hAnsiTheme="minorHAnsi"/>
          <w:lang w:val="en-GB"/>
        </w:rPr>
      </w:pPr>
      <w:r w:rsidRPr="001F0C98">
        <w:rPr>
          <w:rFonts w:asciiTheme="minorHAnsi" w:hAnsiTheme="minorHAnsi"/>
          <w:lang w:val="en-GB"/>
        </w:rPr>
        <w:t>Norwegian Association of Higher Education Institutions</w:t>
      </w:r>
      <w:r>
        <w:rPr>
          <w:rFonts w:asciiTheme="minorHAnsi" w:hAnsiTheme="minorHAnsi"/>
          <w:lang w:val="en-GB"/>
        </w:rPr>
        <w:t>.</w:t>
      </w:r>
      <w:r w:rsidRPr="001F0C98">
        <w:rPr>
          <w:rFonts w:asciiTheme="minorHAnsi" w:hAnsiTheme="minorHAnsi"/>
          <w:lang w:val="en-GB"/>
        </w:rPr>
        <w:t xml:space="preserve"> 2014</w:t>
      </w:r>
      <w:r>
        <w:rPr>
          <w:rFonts w:asciiTheme="minorHAnsi" w:hAnsiTheme="minorHAnsi"/>
          <w:lang w:val="en-GB"/>
        </w:rPr>
        <w:t xml:space="preserve">. </w:t>
      </w:r>
      <w:hyperlink r:id="rId30" w:history="1">
        <w:r w:rsidRPr="00505706">
          <w:rPr>
            <w:rStyle w:val="Link"/>
            <w:rFonts w:asciiTheme="minorHAnsi" w:hAnsiTheme="minorHAnsi"/>
            <w:i/>
            <w:lang w:val="en-GB"/>
          </w:rPr>
          <w:t>A Norwegian research infrastructure resource model: a methodology for declaring the costs and pricing the use of research infrastructure in externally funded projects at universities and colleges</w:t>
        </w:r>
      </w:hyperlink>
      <w:r>
        <w:rPr>
          <w:rFonts w:asciiTheme="minorHAnsi" w:hAnsiTheme="minorHAnsi"/>
          <w:lang w:val="en-GB"/>
        </w:rPr>
        <w:t xml:space="preserve">. </w:t>
      </w:r>
      <w:r w:rsidRPr="001F0C98">
        <w:rPr>
          <w:rFonts w:asciiTheme="minorHAnsi" w:hAnsiTheme="minorHAnsi"/>
          <w:lang w:val="en-GB"/>
        </w:rPr>
        <w:t>Oslo</w:t>
      </w:r>
      <w:r w:rsidRPr="009D6E54">
        <w:rPr>
          <w:rFonts w:asciiTheme="minorHAnsi" w:hAnsiTheme="minorHAnsi"/>
          <w:lang w:val="en-GB"/>
        </w:rPr>
        <w:t>.</w:t>
      </w:r>
    </w:p>
    <w:p w14:paraId="615E8F5C" w14:textId="77777777" w:rsidR="00A56A11" w:rsidRDefault="00A56A11" w:rsidP="00A56A11">
      <w:pPr>
        <w:pStyle w:val="KeinLeerraum"/>
        <w:numPr>
          <w:ilvl w:val="0"/>
          <w:numId w:val="2"/>
        </w:numPr>
        <w:ind w:left="284" w:hanging="284"/>
        <w:rPr>
          <w:sz w:val="20"/>
          <w:szCs w:val="20"/>
        </w:rPr>
      </w:pPr>
      <w:r w:rsidRPr="001F0C98">
        <w:rPr>
          <w:rFonts w:cs="Arial"/>
          <w:sz w:val="20"/>
          <w:szCs w:val="20"/>
        </w:rPr>
        <w:t>NRIC</w:t>
      </w:r>
      <w:r>
        <w:rPr>
          <w:rFonts w:cs="Arial"/>
          <w:sz w:val="20"/>
          <w:szCs w:val="20"/>
        </w:rPr>
        <w:t>,</w:t>
      </w:r>
      <w:r w:rsidRPr="001F0C98">
        <w:rPr>
          <w:rFonts w:cs="Arial"/>
          <w:sz w:val="20"/>
          <w:szCs w:val="20"/>
        </w:rPr>
        <w:t xml:space="preserve"> National </w:t>
      </w:r>
      <w:r w:rsidRPr="001F0C98">
        <w:rPr>
          <w:rFonts w:cs="Arial"/>
          <w:bCs/>
          <w:sz w:val="20"/>
          <w:szCs w:val="20"/>
        </w:rPr>
        <w:t>Research Infrastructure</w:t>
      </w:r>
      <w:r w:rsidRPr="001F0C98">
        <w:rPr>
          <w:rFonts w:cs="Arial"/>
          <w:sz w:val="20"/>
          <w:szCs w:val="20"/>
        </w:rPr>
        <w:t xml:space="preserve"> Council, </w:t>
      </w:r>
      <w:r w:rsidRPr="001F0C98">
        <w:rPr>
          <w:sz w:val="20"/>
          <w:szCs w:val="20"/>
        </w:rPr>
        <w:t>Government of Australia, 2013</w:t>
      </w:r>
      <w:r>
        <w:rPr>
          <w:sz w:val="20"/>
          <w:szCs w:val="20"/>
        </w:rPr>
        <w:t xml:space="preserve">. </w:t>
      </w:r>
      <w:hyperlink r:id="rId31" w:history="1">
        <w:r w:rsidRPr="0085229B">
          <w:rPr>
            <w:rStyle w:val="Link"/>
            <w:i/>
            <w:sz w:val="20"/>
            <w:szCs w:val="20"/>
          </w:rPr>
          <w:t>Strategic framework for research infrastructure investment</w:t>
        </w:r>
      </w:hyperlink>
      <w:r>
        <w:rPr>
          <w:sz w:val="20"/>
          <w:szCs w:val="20"/>
        </w:rPr>
        <w:t>. Canberra.</w:t>
      </w:r>
    </w:p>
    <w:p w14:paraId="03AEB0CA" w14:textId="77777777" w:rsidR="00A56A11" w:rsidRDefault="00A56A11" w:rsidP="00A56A11">
      <w:pPr>
        <w:pStyle w:val="KeinLeerraum"/>
        <w:numPr>
          <w:ilvl w:val="0"/>
          <w:numId w:val="2"/>
        </w:numPr>
        <w:ind w:left="284" w:hanging="284"/>
        <w:rPr>
          <w:sz w:val="20"/>
          <w:szCs w:val="20"/>
        </w:rPr>
      </w:pPr>
      <w:r w:rsidRPr="00C27C0C">
        <w:rPr>
          <w:sz w:val="20"/>
          <w:szCs w:val="20"/>
        </w:rPr>
        <w:lastRenderedPageBreak/>
        <w:t xml:space="preserve">OSIRIS. 2012. </w:t>
      </w:r>
      <w:hyperlink r:id="rId32" w:history="1">
        <w:r w:rsidRPr="00C27C0C">
          <w:rPr>
            <w:rStyle w:val="Link"/>
            <w:sz w:val="20"/>
            <w:szCs w:val="20"/>
          </w:rPr>
          <w:t>The business models for ICT research infrastructures: model for public authority – research infrastructure interaction</w:t>
        </w:r>
      </w:hyperlink>
      <w:r w:rsidRPr="00C27C0C">
        <w:rPr>
          <w:sz w:val="20"/>
          <w:szCs w:val="20"/>
        </w:rPr>
        <w:t>. Final report of the project “Towards an Open and Sustainable ICT Research Infr</w:t>
      </w:r>
      <w:r w:rsidRPr="00C27C0C">
        <w:rPr>
          <w:sz w:val="20"/>
          <w:szCs w:val="20"/>
        </w:rPr>
        <w:t>a</w:t>
      </w:r>
      <w:r w:rsidRPr="00C27C0C">
        <w:rPr>
          <w:sz w:val="20"/>
          <w:szCs w:val="20"/>
        </w:rPr>
        <w:t>structure S</w:t>
      </w:r>
      <w:r>
        <w:rPr>
          <w:sz w:val="20"/>
          <w:szCs w:val="20"/>
        </w:rPr>
        <w:t>trategy” funded under FP7.</w:t>
      </w:r>
    </w:p>
    <w:p w14:paraId="5FC0EC3B" w14:textId="7775F681" w:rsidR="00A56A11" w:rsidRDefault="00075EC8" w:rsidP="00A56A11">
      <w:pPr>
        <w:pStyle w:val="KeinLeerraum"/>
        <w:numPr>
          <w:ilvl w:val="0"/>
          <w:numId w:val="2"/>
        </w:numPr>
        <w:ind w:left="284" w:hanging="284"/>
        <w:rPr>
          <w:sz w:val="20"/>
          <w:szCs w:val="20"/>
        </w:rPr>
      </w:pPr>
      <w:hyperlink r:id="rId33" w:history="1">
        <w:proofErr w:type="spellStart"/>
        <w:r w:rsidR="00826CE6" w:rsidRPr="00826CE6">
          <w:rPr>
            <w:rStyle w:val="Link"/>
            <w:sz w:val="20"/>
            <w:szCs w:val="20"/>
          </w:rPr>
          <w:t>Ramiri</w:t>
        </w:r>
        <w:proofErr w:type="spellEnd"/>
        <w:r w:rsidR="00826CE6" w:rsidRPr="00826CE6">
          <w:rPr>
            <w:rStyle w:val="Link"/>
            <w:sz w:val="20"/>
            <w:szCs w:val="20"/>
          </w:rPr>
          <w:t xml:space="preserve"> handbook</w:t>
        </w:r>
      </w:hyperlink>
      <w:r w:rsidR="00826CE6" w:rsidRPr="00826CE6">
        <w:rPr>
          <w:sz w:val="20"/>
          <w:szCs w:val="20"/>
        </w:rPr>
        <w:t>: Chapter 4 “</w:t>
      </w:r>
      <w:hyperlink r:id="rId34" w:history="1">
        <w:r w:rsidR="00826CE6" w:rsidRPr="00826CE6">
          <w:rPr>
            <w:rStyle w:val="Link"/>
            <w:sz w:val="20"/>
            <w:szCs w:val="20"/>
          </w:rPr>
          <w:t>Finance</w:t>
        </w:r>
      </w:hyperlink>
      <w:r w:rsidR="00826CE6" w:rsidRPr="00826CE6">
        <w:rPr>
          <w:sz w:val="20"/>
          <w:szCs w:val="20"/>
        </w:rPr>
        <w:t>”. 2013. (</w:t>
      </w:r>
      <w:r w:rsidR="00826CE6">
        <w:rPr>
          <w:sz w:val="20"/>
          <w:szCs w:val="20"/>
        </w:rPr>
        <w:t xml:space="preserve">The </w:t>
      </w:r>
      <w:r w:rsidR="00826CE6" w:rsidRPr="00826CE6">
        <w:rPr>
          <w:sz w:val="20"/>
          <w:szCs w:val="20"/>
        </w:rPr>
        <w:t xml:space="preserve">online tool </w:t>
      </w:r>
      <w:r w:rsidR="00826CE6">
        <w:rPr>
          <w:sz w:val="20"/>
          <w:szCs w:val="20"/>
        </w:rPr>
        <w:t xml:space="preserve">from the project </w:t>
      </w:r>
      <w:proofErr w:type="spellStart"/>
      <w:r w:rsidR="00826CE6" w:rsidRPr="00826CE6">
        <w:rPr>
          <w:sz w:val="20"/>
          <w:szCs w:val="20"/>
        </w:rPr>
        <w:t>Ramiri</w:t>
      </w:r>
      <w:proofErr w:type="spellEnd"/>
      <w:r w:rsidR="00826CE6">
        <w:rPr>
          <w:sz w:val="20"/>
          <w:szCs w:val="20"/>
        </w:rPr>
        <w:t xml:space="preserve"> (</w:t>
      </w:r>
      <w:r w:rsidR="00826CE6" w:rsidRPr="00826CE6">
        <w:rPr>
          <w:rFonts w:cs="Times"/>
          <w:sz w:val="20"/>
          <w:szCs w:val="20"/>
        </w:rPr>
        <w:t>Realising and Ma</w:t>
      </w:r>
      <w:r w:rsidR="00826CE6" w:rsidRPr="00826CE6">
        <w:rPr>
          <w:rFonts w:cs="Times"/>
          <w:sz w:val="20"/>
          <w:szCs w:val="20"/>
        </w:rPr>
        <w:t>n</w:t>
      </w:r>
      <w:r w:rsidR="00826CE6" w:rsidRPr="00826CE6">
        <w:rPr>
          <w:rFonts w:cs="Times"/>
          <w:sz w:val="20"/>
          <w:szCs w:val="20"/>
        </w:rPr>
        <w:t>aging International Research Infrastructures</w:t>
      </w:r>
      <w:r w:rsidR="00826CE6">
        <w:rPr>
          <w:rFonts w:cs="Times"/>
          <w:sz w:val="20"/>
          <w:szCs w:val="20"/>
        </w:rPr>
        <w:t xml:space="preserve">) was </w:t>
      </w:r>
      <w:r w:rsidR="00A56A11" w:rsidRPr="00826CE6">
        <w:rPr>
          <w:sz w:val="20"/>
          <w:szCs w:val="20"/>
        </w:rPr>
        <w:t>funded under a grant agreement of FP7, the 7</w:t>
      </w:r>
      <w:r w:rsidR="00A56A11" w:rsidRPr="00826CE6">
        <w:rPr>
          <w:sz w:val="20"/>
          <w:szCs w:val="20"/>
          <w:vertAlign w:val="superscript"/>
        </w:rPr>
        <w:t>th</w:t>
      </w:r>
      <w:r w:rsidR="00A56A11" w:rsidRPr="00826CE6">
        <w:rPr>
          <w:sz w:val="20"/>
          <w:szCs w:val="20"/>
        </w:rPr>
        <w:t xml:space="preserve"> Fram</w:t>
      </w:r>
      <w:r w:rsidR="00A56A11" w:rsidRPr="00826CE6">
        <w:rPr>
          <w:sz w:val="20"/>
          <w:szCs w:val="20"/>
        </w:rPr>
        <w:t>e</w:t>
      </w:r>
      <w:r w:rsidR="00A56A11" w:rsidRPr="00826CE6">
        <w:rPr>
          <w:sz w:val="20"/>
          <w:szCs w:val="20"/>
        </w:rPr>
        <w:t>work</w:t>
      </w:r>
      <w:r w:rsidR="00A56A11">
        <w:rPr>
          <w:sz w:val="20"/>
          <w:szCs w:val="20"/>
        </w:rPr>
        <w:t xml:space="preserve"> Programme for Research and Technological Developm</w:t>
      </w:r>
      <w:r w:rsidR="00826CE6">
        <w:rPr>
          <w:sz w:val="20"/>
          <w:szCs w:val="20"/>
        </w:rPr>
        <w:t>ent of the European Union)</w:t>
      </w:r>
    </w:p>
    <w:p w14:paraId="07336BC7" w14:textId="77777777" w:rsidR="00A56A11" w:rsidRDefault="00A56A11" w:rsidP="00A56A11">
      <w:pPr>
        <w:pStyle w:val="KeinLeerraum"/>
        <w:numPr>
          <w:ilvl w:val="0"/>
          <w:numId w:val="2"/>
        </w:numPr>
        <w:ind w:left="284" w:hanging="284"/>
        <w:rPr>
          <w:sz w:val="20"/>
          <w:szCs w:val="20"/>
        </w:rPr>
      </w:pPr>
      <w:proofErr w:type="spellStart"/>
      <w:r w:rsidRPr="001F0C98">
        <w:rPr>
          <w:sz w:val="20"/>
          <w:szCs w:val="20"/>
        </w:rPr>
        <w:t>Rannis</w:t>
      </w:r>
      <w:proofErr w:type="spellEnd"/>
      <w:r w:rsidRPr="001F0C98">
        <w:rPr>
          <w:sz w:val="20"/>
          <w:szCs w:val="20"/>
        </w:rPr>
        <w:t>, Icelandic Centre for Research</w:t>
      </w:r>
      <w:r>
        <w:rPr>
          <w:sz w:val="20"/>
          <w:szCs w:val="20"/>
        </w:rPr>
        <w:t xml:space="preserve">. 2015. </w:t>
      </w:r>
      <w:hyperlink r:id="rId35" w:history="1">
        <w:r w:rsidRPr="00CF6A58">
          <w:rPr>
            <w:rStyle w:val="Link"/>
            <w:i/>
            <w:sz w:val="20"/>
            <w:szCs w:val="20"/>
          </w:rPr>
          <w:t>Infrastructure fund: rules for the grant year 2015</w:t>
        </w:r>
      </w:hyperlink>
      <w:r>
        <w:rPr>
          <w:sz w:val="20"/>
          <w:szCs w:val="20"/>
        </w:rPr>
        <w:t xml:space="preserve">. </w:t>
      </w:r>
      <w:r w:rsidRPr="001F0C98">
        <w:rPr>
          <w:sz w:val="20"/>
          <w:szCs w:val="20"/>
        </w:rPr>
        <w:t>Iceland</w:t>
      </w:r>
      <w:r>
        <w:rPr>
          <w:sz w:val="20"/>
          <w:szCs w:val="20"/>
        </w:rPr>
        <w:t>.</w:t>
      </w:r>
    </w:p>
    <w:p w14:paraId="5ABA6AB0" w14:textId="77777777" w:rsidR="00A56A11" w:rsidRDefault="00A56A11" w:rsidP="00A56A11">
      <w:pPr>
        <w:pStyle w:val="KeinLeerraum"/>
        <w:numPr>
          <w:ilvl w:val="0"/>
          <w:numId w:val="2"/>
        </w:numPr>
        <w:ind w:left="284" w:hanging="284"/>
        <w:rPr>
          <w:sz w:val="20"/>
          <w:szCs w:val="20"/>
        </w:rPr>
      </w:pPr>
      <w:r w:rsidRPr="001F0C98">
        <w:rPr>
          <w:sz w:val="20"/>
          <w:szCs w:val="20"/>
        </w:rPr>
        <w:t xml:space="preserve">Vaught J, et al. 2011. </w:t>
      </w:r>
      <w:hyperlink r:id="rId36" w:history="1">
        <w:proofErr w:type="spellStart"/>
        <w:r w:rsidRPr="001F0C98">
          <w:rPr>
            <w:rStyle w:val="Link"/>
            <w:sz w:val="20"/>
            <w:szCs w:val="20"/>
          </w:rPr>
          <w:t>Biobankonomics</w:t>
        </w:r>
        <w:proofErr w:type="spellEnd"/>
        <w:r w:rsidRPr="001F0C98">
          <w:rPr>
            <w:rStyle w:val="Link"/>
            <w:sz w:val="20"/>
            <w:szCs w:val="20"/>
          </w:rPr>
          <w:t>: developing a sustainable business model approach for the formation of a human tissue Biobank</w:t>
        </w:r>
      </w:hyperlink>
      <w:r>
        <w:rPr>
          <w:sz w:val="20"/>
          <w:szCs w:val="20"/>
        </w:rPr>
        <w:t xml:space="preserve">, </w:t>
      </w:r>
      <w:r w:rsidRPr="001F0C98">
        <w:rPr>
          <w:i/>
          <w:sz w:val="20"/>
          <w:szCs w:val="20"/>
        </w:rPr>
        <w:t>Journal of the National Cancer Institute Monographs</w:t>
      </w:r>
      <w:r w:rsidRPr="001F0C98">
        <w:rPr>
          <w:sz w:val="20"/>
          <w:szCs w:val="20"/>
        </w:rPr>
        <w:t>, 42: 24-31</w:t>
      </w:r>
      <w:r>
        <w:rPr>
          <w:sz w:val="20"/>
          <w:szCs w:val="20"/>
        </w:rPr>
        <w:t>. (</w:t>
      </w:r>
      <w:r w:rsidRPr="001F0C98">
        <w:rPr>
          <w:sz w:val="20"/>
          <w:szCs w:val="20"/>
        </w:rPr>
        <w:t>2.4)</w:t>
      </w:r>
    </w:p>
    <w:p w14:paraId="3C9BC106" w14:textId="77777777" w:rsidR="00A56A11" w:rsidRPr="00926D90" w:rsidRDefault="00A56A11" w:rsidP="00A56A11">
      <w:pPr>
        <w:pStyle w:val="Listenabsatz"/>
        <w:widowControl w:val="0"/>
        <w:numPr>
          <w:ilvl w:val="0"/>
          <w:numId w:val="2"/>
        </w:numPr>
        <w:autoSpaceDE w:val="0"/>
        <w:autoSpaceDN w:val="0"/>
        <w:adjustRightInd w:val="0"/>
        <w:spacing w:after="0" w:line="240" w:lineRule="auto"/>
        <w:ind w:left="284" w:hanging="284"/>
        <w:rPr>
          <w:rFonts w:cs="Verdana"/>
          <w:sz w:val="20"/>
          <w:szCs w:val="20"/>
        </w:rPr>
      </w:pPr>
      <w:r w:rsidRPr="00926D90">
        <w:rPr>
          <w:rFonts w:cs="Helvetica"/>
          <w:color w:val="000000"/>
          <w:sz w:val="20"/>
          <w:szCs w:val="20"/>
          <w:lang w:val="de-DE"/>
        </w:rPr>
        <w:t xml:space="preserve">Voss A, et al. 2007. </w:t>
      </w:r>
      <w:hyperlink r:id="rId37" w:history="1">
        <w:r w:rsidRPr="00926D90">
          <w:rPr>
            <w:rStyle w:val="Link"/>
            <w:sz w:val="20"/>
            <w:szCs w:val="20"/>
          </w:rPr>
          <w:t>Sustainability of e-infrastructures (for the Social Sciences)</w:t>
        </w:r>
      </w:hyperlink>
      <w:r w:rsidRPr="00926D90">
        <w:rPr>
          <w:sz w:val="20"/>
          <w:szCs w:val="20"/>
        </w:rPr>
        <w:t xml:space="preserve">, </w:t>
      </w:r>
      <w:r w:rsidRPr="00926D90">
        <w:rPr>
          <w:rFonts w:cs="Verdana"/>
          <w:sz w:val="20"/>
          <w:szCs w:val="20"/>
        </w:rPr>
        <w:t>3</w:t>
      </w:r>
      <w:r w:rsidRPr="00926D90">
        <w:rPr>
          <w:rFonts w:cs="Verdana"/>
          <w:sz w:val="20"/>
          <w:szCs w:val="20"/>
          <w:vertAlign w:val="superscript"/>
        </w:rPr>
        <w:t>rd</w:t>
      </w:r>
      <w:r w:rsidRPr="00926D90">
        <w:rPr>
          <w:rFonts w:cs="Verdana"/>
          <w:sz w:val="20"/>
          <w:szCs w:val="20"/>
        </w:rPr>
        <w:t xml:space="preserve"> International Conference on e-Social Science, Ann Arbour, MI.</w:t>
      </w:r>
    </w:p>
    <w:p w14:paraId="3E48C9EA" w14:textId="77777777" w:rsidR="00A56A11" w:rsidRPr="001F0C98" w:rsidRDefault="00A56A11" w:rsidP="00A56A11">
      <w:pPr>
        <w:pStyle w:val="KeinLeerraum"/>
        <w:numPr>
          <w:ilvl w:val="0"/>
          <w:numId w:val="2"/>
        </w:numPr>
        <w:ind w:left="284" w:hanging="284"/>
        <w:rPr>
          <w:sz w:val="20"/>
          <w:szCs w:val="20"/>
        </w:rPr>
      </w:pPr>
      <w:r w:rsidRPr="001F0C98">
        <w:rPr>
          <w:rFonts w:cs="Arial"/>
          <w:color w:val="262626"/>
          <w:sz w:val="20"/>
          <w:szCs w:val="20"/>
          <w:lang w:val="de-DE"/>
        </w:rPr>
        <w:t>Watson PH</w:t>
      </w:r>
      <w:r w:rsidRPr="001F0C98">
        <w:rPr>
          <w:rFonts w:cs="Arial"/>
          <w:sz w:val="20"/>
          <w:szCs w:val="20"/>
          <w:lang w:val="de-DE"/>
        </w:rPr>
        <w:t xml:space="preserve">, et al. </w:t>
      </w:r>
      <w:r w:rsidRPr="001F0C98">
        <w:rPr>
          <w:rFonts w:cs="Arial"/>
          <w:sz w:val="20"/>
          <w:szCs w:val="20"/>
          <w:u w:color="262626"/>
          <w:lang w:val="de-DE"/>
        </w:rPr>
        <w:t xml:space="preserve">2014. </w:t>
      </w:r>
      <w:hyperlink r:id="rId38" w:history="1">
        <w:r w:rsidRPr="001F0C98">
          <w:rPr>
            <w:rStyle w:val="Link"/>
            <w:sz w:val="20"/>
            <w:szCs w:val="20"/>
          </w:rPr>
          <w:t>A framework for biobank sustainability</w:t>
        </w:r>
      </w:hyperlink>
      <w:r>
        <w:rPr>
          <w:sz w:val="20"/>
          <w:szCs w:val="20"/>
        </w:rPr>
        <w:t xml:space="preserve">, </w:t>
      </w:r>
      <w:proofErr w:type="spellStart"/>
      <w:r w:rsidRPr="007863A3">
        <w:rPr>
          <w:rFonts w:cs="Arial"/>
          <w:i/>
          <w:sz w:val="20"/>
          <w:szCs w:val="20"/>
        </w:rPr>
        <w:t>Biopreservation</w:t>
      </w:r>
      <w:proofErr w:type="spellEnd"/>
      <w:r w:rsidRPr="007863A3">
        <w:rPr>
          <w:rFonts w:cs="Arial"/>
          <w:i/>
          <w:sz w:val="20"/>
          <w:szCs w:val="20"/>
        </w:rPr>
        <w:t xml:space="preserve"> and Biobanking</w:t>
      </w:r>
      <w:r>
        <w:rPr>
          <w:rFonts w:cs="Arial"/>
          <w:sz w:val="20"/>
          <w:szCs w:val="20"/>
          <w:u w:color="262626"/>
        </w:rPr>
        <w:t>, 12(1): 60-8.</w:t>
      </w:r>
    </w:p>
    <w:p w14:paraId="0976DB78" w14:textId="77777777" w:rsidR="00A56A11" w:rsidRDefault="00A56A11" w:rsidP="00A56A11">
      <w:pPr>
        <w:pStyle w:val="KeinLeerraum"/>
        <w:rPr>
          <w:sz w:val="20"/>
          <w:szCs w:val="20"/>
        </w:rPr>
      </w:pPr>
    </w:p>
    <w:p w14:paraId="4EBF493F" w14:textId="43BD967A" w:rsidR="00C82EAB" w:rsidRPr="003C357B" w:rsidRDefault="00C82EAB" w:rsidP="00C82EAB">
      <w:pPr>
        <w:pStyle w:val="KeinLeerraum"/>
        <w:numPr>
          <w:ilvl w:val="0"/>
          <w:numId w:val="37"/>
        </w:numPr>
        <w:ind w:left="567" w:hanging="567"/>
        <w:rPr>
          <w:b/>
          <w:color w:val="FF0000"/>
          <w:sz w:val="20"/>
          <w:szCs w:val="20"/>
        </w:rPr>
      </w:pPr>
      <w:r>
        <w:rPr>
          <w:b/>
          <w:color w:val="FF0000"/>
          <w:sz w:val="20"/>
          <w:szCs w:val="20"/>
        </w:rPr>
        <w:t>L</w:t>
      </w:r>
      <w:r w:rsidRPr="003C357B">
        <w:rPr>
          <w:b/>
          <w:color w:val="FF0000"/>
          <w:sz w:val="20"/>
          <w:szCs w:val="20"/>
        </w:rPr>
        <w:t xml:space="preserve">iterature consulted, but </w:t>
      </w:r>
      <w:r>
        <w:rPr>
          <w:b/>
          <w:color w:val="FF0000"/>
          <w:sz w:val="20"/>
          <w:szCs w:val="20"/>
        </w:rPr>
        <w:t>not cited</w:t>
      </w:r>
    </w:p>
    <w:p w14:paraId="2761F2B6" w14:textId="73A8E803" w:rsidR="00036C39" w:rsidRDefault="00036C39" w:rsidP="00A56A11">
      <w:pPr>
        <w:pStyle w:val="KeinLeerraum"/>
        <w:numPr>
          <w:ilvl w:val="0"/>
          <w:numId w:val="2"/>
        </w:numPr>
        <w:ind w:left="284" w:hanging="284"/>
        <w:rPr>
          <w:sz w:val="20"/>
          <w:szCs w:val="20"/>
        </w:rPr>
      </w:pPr>
      <w:proofErr w:type="spellStart"/>
      <w:r w:rsidRPr="00036C39">
        <w:rPr>
          <w:rFonts w:cs="Arial"/>
          <w:sz w:val="20"/>
          <w:szCs w:val="20"/>
        </w:rPr>
        <w:t>Atakan</w:t>
      </w:r>
      <w:proofErr w:type="spellEnd"/>
      <w:r w:rsidRPr="00036C39">
        <w:rPr>
          <w:rFonts w:cs="Arial"/>
          <w:sz w:val="20"/>
          <w:szCs w:val="20"/>
        </w:rPr>
        <w:t xml:space="preserve"> K, et al. 2015.</w:t>
      </w:r>
      <w:r w:rsidRPr="00CC1F81">
        <w:rPr>
          <w:rFonts w:cs="Arial"/>
          <w:sz w:val="20"/>
          <w:szCs w:val="20"/>
        </w:rPr>
        <w:t xml:space="preserve"> </w:t>
      </w:r>
      <w:hyperlink r:id="rId39" w:history="1">
        <w:r w:rsidRPr="00CC1F81">
          <w:rPr>
            <w:rFonts w:cs="Arial"/>
            <w:bCs/>
            <w:color w:val="0000FF"/>
            <w:sz w:val="20"/>
            <w:szCs w:val="20"/>
            <w:u w:val="single" w:color="094771"/>
          </w:rPr>
          <w:t>The European Plate Observing System and the Arctic</w:t>
        </w:r>
      </w:hyperlink>
      <w:r w:rsidRPr="00CC1F81">
        <w:rPr>
          <w:rFonts w:cs="Arial"/>
          <w:bCs/>
          <w:sz w:val="20"/>
          <w:szCs w:val="20"/>
        </w:rPr>
        <w:t xml:space="preserve">, </w:t>
      </w:r>
      <w:r w:rsidRPr="00CC1F81">
        <w:rPr>
          <w:rFonts w:cs="Arial"/>
          <w:bCs/>
          <w:i/>
          <w:sz w:val="20"/>
          <w:szCs w:val="20"/>
        </w:rPr>
        <w:t>Arctic</w:t>
      </w:r>
      <w:r w:rsidRPr="00CC1F81">
        <w:rPr>
          <w:rFonts w:cs="Arial"/>
          <w:bCs/>
          <w:sz w:val="20"/>
          <w:szCs w:val="20"/>
        </w:rPr>
        <w:t>, 68(1), Supplement 1.</w:t>
      </w:r>
    </w:p>
    <w:p w14:paraId="20AD0606" w14:textId="28CCD5D2" w:rsidR="00FB5082" w:rsidRPr="00FB5082" w:rsidRDefault="00FB5082" w:rsidP="00A56A11">
      <w:pPr>
        <w:pStyle w:val="KeinLeerraum"/>
        <w:numPr>
          <w:ilvl w:val="0"/>
          <w:numId w:val="2"/>
        </w:numPr>
        <w:ind w:left="284" w:hanging="284"/>
        <w:rPr>
          <w:sz w:val="20"/>
          <w:szCs w:val="20"/>
        </w:rPr>
      </w:pPr>
      <w:r w:rsidRPr="009F6AD1">
        <w:rPr>
          <w:sz w:val="20"/>
          <w:szCs w:val="20"/>
        </w:rPr>
        <w:t xml:space="preserve">BBMRI, </w:t>
      </w:r>
      <w:r w:rsidRPr="009F6AD1">
        <w:rPr>
          <w:rFonts w:cs="Helvetica"/>
          <w:sz w:val="20"/>
          <w:szCs w:val="20"/>
        </w:rPr>
        <w:t>European Biobanking and Biomolecular Resources Research Infrastructure</w:t>
      </w:r>
      <w:r w:rsidRPr="009F6AD1">
        <w:rPr>
          <w:sz w:val="20"/>
          <w:szCs w:val="20"/>
        </w:rPr>
        <w:t xml:space="preserve">. </w:t>
      </w:r>
      <w:r>
        <w:rPr>
          <w:sz w:val="20"/>
          <w:szCs w:val="20"/>
        </w:rPr>
        <w:t>2015.</w:t>
      </w:r>
      <w:r w:rsidRPr="001F0C98">
        <w:rPr>
          <w:sz w:val="20"/>
          <w:szCs w:val="20"/>
        </w:rPr>
        <w:t xml:space="preserve"> </w:t>
      </w:r>
      <w:hyperlink r:id="rId40" w:history="1">
        <w:r w:rsidRPr="00EB5EBC">
          <w:rPr>
            <w:rStyle w:val="Link"/>
            <w:i/>
            <w:sz w:val="20"/>
            <w:szCs w:val="20"/>
          </w:rPr>
          <w:t>Biobanking and biomolecular resources research infrastructures BBMRI-ERIC: annual and financial report 2014 on activities and achievements of BBMRI-ERIC</w:t>
        </w:r>
      </w:hyperlink>
      <w:r>
        <w:rPr>
          <w:sz w:val="20"/>
          <w:szCs w:val="20"/>
        </w:rPr>
        <w:t xml:space="preserve">. </w:t>
      </w:r>
      <w:r w:rsidRPr="001F0C98">
        <w:rPr>
          <w:sz w:val="20"/>
          <w:szCs w:val="20"/>
        </w:rPr>
        <w:t>Graz, Austria</w:t>
      </w:r>
      <w:r>
        <w:rPr>
          <w:sz w:val="20"/>
          <w:szCs w:val="20"/>
        </w:rPr>
        <w:t>.</w:t>
      </w:r>
    </w:p>
    <w:p w14:paraId="3D2F4586" w14:textId="598AE8BD" w:rsidR="00AB673F" w:rsidRPr="00AB673F" w:rsidRDefault="00AB673F" w:rsidP="00A56A11">
      <w:pPr>
        <w:pStyle w:val="KeinLeerraum"/>
        <w:numPr>
          <w:ilvl w:val="0"/>
          <w:numId w:val="2"/>
        </w:numPr>
        <w:ind w:left="284" w:hanging="284"/>
        <w:rPr>
          <w:sz w:val="20"/>
          <w:szCs w:val="20"/>
        </w:rPr>
      </w:pPr>
      <w:r w:rsidRPr="00CC1F81">
        <w:rPr>
          <w:rFonts w:cs="Arial"/>
          <w:sz w:val="20"/>
          <w:szCs w:val="20"/>
        </w:rPr>
        <w:t xml:space="preserve">Becker R, </w:t>
      </w:r>
      <w:proofErr w:type="gramStart"/>
      <w:r w:rsidRPr="00CC1F81">
        <w:rPr>
          <w:rFonts w:cs="Arial"/>
          <w:sz w:val="20"/>
          <w:szCs w:val="20"/>
        </w:rPr>
        <w:t>van</w:t>
      </w:r>
      <w:proofErr w:type="gramEnd"/>
      <w:r w:rsidRPr="00CC1F81">
        <w:rPr>
          <w:rFonts w:cs="Arial"/>
          <w:sz w:val="20"/>
          <w:szCs w:val="20"/>
        </w:rPr>
        <w:t xml:space="preserve"> </w:t>
      </w:r>
      <w:proofErr w:type="spellStart"/>
      <w:r w:rsidRPr="00CC1F81">
        <w:rPr>
          <w:rFonts w:cs="Arial"/>
          <w:sz w:val="20"/>
          <w:szCs w:val="20"/>
        </w:rPr>
        <w:t>Dongen</w:t>
      </w:r>
      <w:proofErr w:type="spellEnd"/>
      <w:r w:rsidRPr="00CC1F81">
        <w:rPr>
          <w:rFonts w:cs="Arial"/>
          <w:sz w:val="20"/>
          <w:szCs w:val="20"/>
        </w:rPr>
        <w:t xml:space="preserve"> GAMS. 2011. </w:t>
      </w:r>
      <w:hyperlink r:id="rId41" w:history="1">
        <w:r w:rsidRPr="00CC1F81">
          <w:rPr>
            <w:rFonts w:cs="Arial"/>
            <w:bCs/>
            <w:color w:val="0000FF"/>
            <w:sz w:val="20"/>
            <w:szCs w:val="20"/>
            <w:u w:val="single" w:color="094771"/>
          </w:rPr>
          <w:t>EATRIS, a vision for translational research in Europe</w:t>
        </w:r>
      </w:hyperlink>
      <w:r w:rsidRPr="00CC1F81">
        <w:rPr>
          <w:rFonts w:cs="Times New Roman"/>
          <w:sz w:val="20"/>
          <w:szCs w:val="20"/>
        </w:rPr>
        <w:t xml:space="preserve">, </w:t>
      </w:r>
      <w:r w:rsidRPr="00CC1F81">
        <w:rPr>
          <w:rFonts w:cs="Arial"/>
          <w:i/>
          <w:sz w:val="20"/>
          <w:szCs w:val="20"/>
        </w:rPr>
        <w:t>Journal of Cardi</w:t>
      </w:r>
      <w:r w:rsidRPr="00CC1F81">
        <w:rPr>
          <w:rFonts w:cs="Arial"/>
          <w:i/>
          <w:sz w:val="20"/>
          <w:szCs w:val="20"/>
        </w:rPr>
        <w:t>o</w:t>
      </w:r>
      <w:r w:rsidRPr="00CC1F81">
        <w:rPr>
          <w:rFonts w:cs="Arial"/>
          <w:i/>
          <w:sz w:val="20"/>
          <w:szCs w:val="20"/>
        </w:rPr>
        <w:t>vascular Translational Research</w:t>
      </w:r>
      <w:r>
        <w:rPr>
          <w:rFonts w:cs="Arial"/>
          <w:sz w:val="20"/>
          <w:szCs w:val="20"/>
        </w:rPr>
        <w:t>, 4(3): 231-7.</w:t>
      </w:r>
    </w:p>
    <w:p w14:paraId="1CEDA583" w14:textId="63F35D24" w:rsidR="00022753" w:rsidRPr="00022753" w:rsidRDefault="00022753" w:rsidP="00A56A11">
      <w:pPr>
        <w:pStyle w:val="KeinLeerraum"/>
        <w:numPr>
          <w:ilvl w:val="0"/>
          <w:numId w:val="2"/>
        </w:numPr>
        <w:ind w:left="284" w:hanging="284"/>
        <w:rPr>
          <w:sz w:val="20"/>
          <w:szCs w:val="20"/>
        </w:rPr>
      </w:pPr>
      <w:proofErr w:type="spellStart"/>
      <w:r w:rsidRPr="00BC5801">
        <w:rPr>
          <w:rFonts w:cs="Arial"/>
          <w:sz w:val="20"/>
          <w:szCs w:val="20"/>
        </w:rPr>
        <w:t>Calzolari</w:t>
      </w:r>
      <w:proofErr w:type="spellEnd"/>
      <w:r w:rsidRPr="00BC5801">
        <w:rPr>
          <w:rFonts w:cs="Arial"/>
          <w:sz w:val="20"/>
          <w:szCs w:val="20"/>
        </w:rPr>
        <w:t xml:space="preserve"> A, et al. 2014.</w:t>
      </w:r>
      <w:r w:rsidRPr="00CC1F81">
        <w:rPr>
          <w:rFonts w:cs="Arial"/>
          <w:sz w:val="20"/>
          <w:szCs w:val="20"/>
        </w:rPr>
        <w:t xml:space="preserve"> </w:t>
      </w:r>
      <w:hyperlink r:id="rId42" w:history="1">
        <w:r w:rsidRPr="00CC1F81">
          <w:rPr>
            <w:rFonts w:cs="Arial"/>
            <w:color w:val="0000FF"/>
            <w:sz w:val="20"/>
            <w:szCs w:val="20"/>
            <w:u w:val="single" w:color="50167C"/>
          </w:rPr>
          <w:t xml:space="preserve">The </w:t>
        </w:r>
        <w:r w:rsidRPr="00CC1F81">
          <w:rPr>
            <w:rFonts w:cs="Arial"/>
            <w:bCs/>
            <w:color w:val="0000FF"/>
            <w:sz w:val="20"/>
            <w:szCs w:val="20"/>
            <w:u w:val="single" w:color="50167C"/>
          </w:rPr>
          <w:t>European</w:t>
        </w:r>
        <w:r w:rsidRPr="00CC1F81">
          <w:rPr>
            <w:rFonts w:cs="Arial"/>
            <w:color w:val="0000FF"/>
            <w:sz w:val="20"/>
            <w:szCs w:val="20"/>
            <w:u w:val="single" w:color="50167C"/>
          </w:rPr>
          <w:t xml:space="preserve"> research infrastructures of the ESFRI </w:t>
        </w:r>
        <w:r>
          <w:rPr>
            <w:rFonts w:cs="Arial"/>
            <w:color w:val="0000FF"/>
            <w:sz w:val="20"/>
            <w:szCs w:val="20"/>
            <w:u w:val="single" w:color="50167C"/>
          </w:rPr>
          <w:t>r</w:t>
        </w:r>
        <w:r w:rsidRPr="00CC1F81">
          <w:rPr>
            <w:rFonts w:cs="Arial"/>
            <w:color w:val="0000FF"/>
            <w:sz w:val="20"/>
            <w:szCs w:val="20"/>
            <w:u w:val="single" w:color="50167C"/>
          </w:rPr>
          <w:t xml:space="preserve">oadmap in </w:t>
        </w:r>
        <w:r>
          <w:rPr>
            <w:rFonts w:cs="Arial"/>
            <w:color w:val="0000FF"/>
            <w:sz w:val="20"/>
            <w:szCs w:val="20"/>
            <w:u w:val="single" w:color="50167C"/>
          </w:rPr>
          <w:t>b</w:t>
        </w:r>
        <w:r w:rsidRPr="00CC1F81">
          <w:rPr>
            <w:rFonts w:cs="Arial"/>
            <w:color w:val="0000FF"/>
            <w:sz w:val="20"/>
            <w:szCs w:val="20"/>
            <w:u w:val="single" w:color="50167C"/>
          </w:rPr>
          <w:t xml:space="preserve">iological and </w:t>
        </w:r>
        <w:r>
          <w:rPr>
            <w:rFonts w:cs="Arial"/>
            <w:color w:val="0000FF"/>
            <w:sz w:val="20"/>
            <w:szCs w:val="20"/>
            <w:u w:val="single" w:color="50167C"/>
          </w:rPr>
          <w:t>m</w:t>
        </w:r>
        <w:r w:rsidRPr="00CC1F81">
          <w:rPr>
            <w:rFonts w:cs="Arial"/>
            <w:color w:val="0000FF"/>
            <w:sz w:val="20"/>
            <w:szCs w:val="20"/>
            <w:u w:val="single" w:color="50167C"/>
          </w:rPr>
          <w:t>ed</w:t>
        </w:r>
        <w:r w:rsidRPr="00CC1F81">
          <w:rPr>
            <w:rFonts w:cs="Arial"/>
            <w:color w:val="0000FF"/>
            <w:sz w:val="20"/>
            <w:szCs w:val="20"/>
            <w:u w:val="single" w:color="50167C"/>
          </w:rPr>
          <w:t>i</w:t>
        </w:r>
        <w:r w:rsidRPr="00CC1F81">
          <w:rPr>
            <w:rFonts w:cs="Arial"/>
            <w:color w:val="0000FF"/>
            <w:sz w:val="20"/>
            <w:szCs w:val="20"/>
            <w:u w:val="single" w:color="50167C"/>
          </w:rPr>
          <w:t xml:space="preserve">cal </w:t>
        </w:r>
        <w:r>
          <w:rPr>
            <w:rFonts w:cs="Arial"/>
            <w:color w:val="0000FF"/>
            <w:sz w:val="20"/>
            <w:szCs w:val="20"/>
            <w:u w:val="single" w:color="50167C"/>
          </w:rPr>
          <w:t>s</w:t>
        </w:r>
        <w:r w:rsidRPr="00CC1F81">
          <w:rPr>
            <w:rFonts w:cs="Arial"/>
            <w:color w:val="0000FF"/>
            <w:sz w:val="20"/>
            <w:szCs w:val="20"/>
            <w:u w:val="single" w:color="50167C"/>
          </w:rPr>
          <w:t>ciences: status and perspectives</w:t>
        </w:r>
      </w:hyperlink>
      <w:r w:rsidRPr="00CC1F81">
        <w:rPr>
          <w:rFonts w:cs="Arial"/>
          <w:sz w:val="20"/>
          <w:szCs w:val="20"/>
        </w:rPr>
        <w:t xml:space="preserve">, </w:t>
      </w:r>
      <w:r w:rsidRPr="008A7C0A">
        <w:rPr>
          <w:rFonts w:cs="Arial"/>
          <w:i/>
          <w:sz w:val="20"/>
          <w:szCs w:val="20"/>
          <w:lang w:val="it-IT"/>
        </w:rPr>
        <w:t>Annali dell’Istituto Superiore di Sanità</w:t>
      </w:r>
      <w:r>
        <w:rPr>
          <w:rFonts w:cs="Arial"/>
          <w:sz w:val="20"/>
          <w:szCs w:val="20"/>
        </w:rPr>
        <w:t>, 50(2): 178-85.</w:t>
      </w:r>
    </w:p>
    <w:p w14:paraId="403FA017" w14:textId="63ED5EEE" w:rsidR="00A453E4" w:rsidRPr="00A453E4" w:rsidRDefault="00A453E4" w:rsidP="00A56A11">
      <w:pPr>
        <w:pStyle w:val="KeinLeerraum"/>
        <w:numPr>
          <w:ilvl w:val="0"/>
          <w:numId w:val="2"/>
        </w:numPr>
        <w:ind w:left="284" w:hanging="284"/>
        <w:rPr>
          <w:sz w:val="20"/>
          <w:szCs w:val="20"/>
        </w:rPr>
      </w:pPr>
      <w:r w:rsidRPr="00CC1F81">
        <w:rPr>
          <w:rFonts w:cs="Times New Roman"/>
          <w:bCs/>
          <w:sz w:val="20"/>
          <w:szCs w:val="20"/>
          <w:lang w:eastAsia="de-DE"/>
        </w:rPr>
        <w:t xml:space="preserve">ESF, European Science Foundation. 2013. </w:t>
      </w:r>
      <w:hyperlink r:id="rId43" w:history="1">
        <w:r w:rsidRPr="00CC1F81">
          <w:rPr>
            <w:rStyle w:val="Link"/>
            <w:rFonts w:cs="Times New Roman"/>
            <w:bCs/>
            <w:i/>
            <w:sz w:val="20"/>
            <w:szCs w:val="20"/>
            <w:lang w:eastAsia="de-DE"/>
          </w:rPr>
          <w:t>Research infrastructures in the European Research Area: a report by the ESF Member Organisation Forum on Research Infrastructures</w:t>
        </w:r>
      </w:hyperlink>
      <w:r w:rsidRPr="00CC1F81">
        <w:rPr>
          <w:rFonts w:cs="Times New Roman"/>
          <w:bCs/>
          <w:sz w:val="20"/>
          <w:szCs w:val="20"/>
          <w:lang w:eastAsia="de-DE"/>
        </w:rPr>
        <w:t>. Strasbourg.</w:t>
      </w:r>
    </w:p>
    <w:p w14:paraId="4BA73BB0" w14:textId="77777777" w:rsidR="00A56A11" w:rsidRPr="00541FA7" w:rsidRDefault="00A56A11" w:rsidP="00A56A11">
      <w:pPr>
        <w:pStyle w:val="KeinLeerraum"/>
        <w:numPr>
          <w:ilvl w:val="0"/>
          <w:numId w:val="2"/>
        </w:numPr>
        <w:ind w:left="284" w:hanging="284"/>
        <w:rPr>
          <w:sz w:val="20"/>
          <w:szCs w:val="20"/>
        </w:rPr>
      </w:pPr>
      <w:proofErr w:type="spellStart"/>
      <w:r w:rsidRPr="00541FA7">
        <w:rPr>
          <w:rFonts w:cs="Arial"/>
          <w:bCs/>
          <w:sz w:val="20"/>
          <w:szCs w:val="20"/>
        </w:rPr>
        <w:t>Flyvbjerg</w:t>
      </w:r>
      <w:proofErr w:type="spellEnd"/>
      <w:r w:rsidRPr="00541FA7">
        <w:rPr>
          <w:rFonts w:cs="Arial"/>
          <w:bCs/>
          <w:sz w:val="20"/>
          <w:szCs w:val="20"/>
        </w:rPr>
        <w:t xml:space="preserve"> B, </w:t>
      </w:r>
      <w:proofErr w:type="spellStart"/>
      <w:r w:rsidRPr="00541FA7">
        <w:rPr>
          <w:rFonts w:cs="Arial"/>
          <w:bCs/>
          <w:sz w:val="20"/>
          <w:szCs w:val="20"/>
        </w:rPr>
        <w:t>Garbuio</w:t>
      </w:r>
      <w:proofErr w:type="spellEnd"/>
      <w:r w:rsidRPr="00541FA7">
        <w:rPr>
          <w:rFonts w:cs="Arial"/>
          <w:bCs/>
          <w:sz w:val="20"/>
          <w:szCs w:val="20"/>
        </w:rPr>
        <w:t xml:space="preserve"> M, </w:t>
      </w:r>
      <w:proofErr w:type="spellStart"/>
      <w:r w:rsidRPr="00541FA7">
        <w:rPr>
          <w:rFonts w:cs="Arial"/>
          <w:bCs/>
          <w:sz w:val="20"/>
          <w:szCs w:val="20"/>
        </w:rPr>
        <w:t>Lovallo</w:t>
      </w:r>
      <w:proofErr w:type="spellEnd"/>
      <w:r w:rsidRPr="00541FA7">
        <w:rPr>
          <w:rFonts w:cs="Arial"/>
          <w:bCs/>
          <w:sz w:val="20"/>
          <w:szCs w:val="20"/>
        </w:rPr>
        <w:t xml:space="preserve"> D. 2009. </w:t>
      </w:r>
      <w:hyperlink r:id="rId44" w:history="1">
        <w:r w:rsidRPr="00541FA7">
          <w:rPr>
            <w:rStyle w:val="Link"/>
            <w:sz w:val="20"/>
            <w:szCs w:val="20"/>
          </w:rPr>
          <w:t>Delusion and deception in large infrastructure projects: two m</w:t>
        </w:r>
        <w:r w:rsidRPr="00541FA7">
          <w:rPr>
            <w:rStyle w:val="Link"/>
            <w:rFonts w:cs="Arial"/>
            <w:bCs/>
            <w:sz w:val="20"/>
            <w:szCs w:val="20"/>
          </w:rPr>
          <w:t>odels for explaining and preventing executive disaster</w:t>
        </w:r>
      </w:hyperlink>
      <w:r w:rsidRPr="00541FA7">
        <w:rPr>
          <w:rFonts w:cs="Arial"/>
          <w:bCs/>
          <w:sz w:val="20"/>
          <w:szCs w:val="20"/>
        </w:rPr>
        <w:t xml:space="preserve">, </w:t>
      </w:r>
      <w:r w:rsidRPr="00541FA7">
        <w:rPr>
          <w:rFonts w:cs="Tahoma"/>
          <w:i/>
          <w:sz w:val="20"/>
          <w:szCs w:val="20"/>
        </w:rPr>
        <w:t>California Management Review</w:t>
      </w:r>
      <w:r w:rsidRPr="00541FA7">
        <w:rPr>
          <w:rFonts w:cs="Tahoma"/>
          <w:sz w:val="20"/>
          <w:szCs w:val="20"/>
        </w:rPr>
        <w:t>, 51(2): 170-93.</w:t>
      </w:r>
    </w:p>
    <w:p w14:paraId="264DF0F1" w14:textId="17210620" w:rsidR="001C4169" w:rsidRDefault="001C4169" w:rsidP="00A56A11">
      <w:pPr>
        <w:pStyle w:val="KeinLeerraum"/>
        <w:numPr>
          <w:ilvl w:val="0"/>
          <w:numId w:val="2"/>
        </w:numPr>
        <w:ind w:left="284" w:hanging="284"/>
        <w:rPr>
          <w:sz w:val="20"/>
          <w:szCs w:val="20"/>
        </w:rPr>
      </w:pPr>
      <w:proofErr w:type="spellStart"/>
      <w:r w:rsidRPr="0039398D">
        <w:rPr>
          <w:rFonts w:cs="Arial"/>
          <w:sz w:val="20"/>
          <w:szCs w:val="20"/>
        </w:rPr>
        <w:t>Halban</w:t>
      </w:r>
      <w:proofErr w:type="spellEnd"/>
      <w:r w:rsidRPr="0039398D">
        <w:rPr>
          <w:rFonts w:cs="Arial"/>
          <w:sz w:val="20"/>
          <w:szCs w:val="20"/>
        </w:rPr>
        <w:t xml:space="preserve"> PA, Boulton AJM, Smith U. 2013.</w:t>
      </w:r>
      <w:r w:rsidRPr="00CC1F81">
        <w:rPr>
          <w:rFonts w:cs="Arial"/>
          <w:sz w:val="20"/>
          <w:szCs w:val="20"/>
        </w:rPr>
        <w:t xml:space="preserve"> </w:t>
      </w:r>
      <w:hyperlink r:id="rId45" w:history="1">
        <w:r w:rsidRPr="00CC1F81">
          <w:rPr>
            <w:rFonts w:cs="Arial"/>
            <w:bCs/>
            <w:color w:val="0000FF"/>
            <w:sz w:val="20"/>
            <w:szCs w:val="20"/>
            <w:u w:val="single" w:color="094771"/>
          </w:rPr>
          <w:t>A new paradigm for improved co-ordination and efficacy of Eur</w:t>
        </w:r>
        <w:r w:rsidRPr="00CC1F81">
          <w:rPr>
            <w:rFonts w:cs="Arial"/>
            <w:bCs/>
            <w:color w:val="0000FF"/>
            <w:sz w:val="20"/>
            <w:szCs w:val="20"/>
            <w:u w:val="single" w:color="094771"/>
          </w:rPr>
          <w:t>o</w:t>
        </w:r>
        <w:r w:rsidRPr="00CC1F81">
          <w:rPr>
            <w:rFonts w:cs="Arial"/>
            <w:bCs/>
            <w:color w:val="0000FF"/>
            <w:sz w:val="20"/>
            <w:szCs w:val="20"/>
            <w:u w:val="single" w:color="094771"/>
          </w:rPr>
          <w:t>pean biomedical research: taking diabetes as a model</w:t>
        </w:r>
      </w:hyperlink>
      <w:r w:rsidRPr="00CC1F81">
        <w:rPr>
          <w:rFonts w:cs="Times New Roman"/>
          <w:sz w:val="20"/>
          <w:szCs w:val="20"/>
        </w:rPr>
        <w:t xml:space="preserve">, </w:t>
      </w:r>
      <w:proofErr w:type="spellStart"/>
      <w:r w:rsidRPr="00CC1F81">
        <w:rPr>
          <w:rFonts w:cs="Arial"/>
          <w:i/>
          <w:sz w:val="20"/>
          <w:szCs w:val="20"/>
        </w:rPr>
        <w:t>Diabetologia</w:t>
      </w:r>
      <w:proofErr w:type="spellEnd"/>
      <w:r>
        <w:rPr>
          <w:rFonts w:cs="Arial"/>
          <w:sz w:val="20"/>
          <w:szCs w:val="20"/>
        </w:rPr>
        <w:t>, 56(3): 439-43.</w:t>
      </w:r>
    </w:p>
    <w:p w14:paraId="69A9997D" w14:textId="77777777" w:rsidR="00A56A11" w:rsidRPr="00541FA7" w:rsidRDefault="00A56A11" w:rsidP="00A56A11">
      <w:pPr>
        <w:pStyle w:val="KeinLeerraum"/>
        <w:numPr>
          <w:ilvl w:val="0"/>
          <w:numId w:val="2"/>
        </w:numPr>
        <w:ind w:left="284" w:hanging="284"/>
        <w:rPr>
          <w:sz w:val="20"/>
          <w:szCs w:val="20"/>
        </w:rPr>
      </w:pPr>
      <w:r w:rsidRPr="00541FA7">
        <w:rPr>
          <w:sz w:val="20"/>
          <w:szCs w:val="20"/>
        </w:rPr>
        <w:t xml:space="preserve">NCRIS, National Research Infrastructure for Australia. 2015. </w:t>
      </w:r>
      <w:hyperlink r:id="rId46" w:history="1">
        <w:r w:rsidRPr="00541FA7">
          <w:rPr>
            <w:rStyle w:val="Link"/>
            <w:i/>
            <w:sz w:val="20"/>
            <w:szCs w:val="20"/>
          </w:rPr>
          <w:t>National collaborative research infrastructure strategy: programme guidelines</w:t>
        </w:r>
      </w:hyperlink>
      <w:r w:rsidRPr="00541FA7">
        <w:rPr>
          <w:sz w:val="20"/>
          <w:szCs w:val="20"/>
        </w:rPr>
        <w:t>.</w:t>
      </w:r>
    </w:p>
    <w:p w14:paraId="2A724659" w14:textId="77777777" w:rsidR="00A56A11" w:rsidRDefault="00A56A11" w:rsidP="00A56A11">
      <w:pPr>
        <w:pStyle w:val="KeinLeerraum"/>
        <w:numPr>
          <w:ilvl w:val="0"/>
          <w:numId w:val="2"/>
        </w:numPr>
        <w:ind w:left="284" w:hanging="284"/>
        <w:rPr>
          <w:sz w:val="20"/>
          <w:szCs w:val="20"/>
        </w:rPr>
      </w:pPr>
      <w:r w:rsidRPr="00541FA7">
        <w:rPr>
          <w:sz w:val="20"/>
          <w:szCs w:val="20"/>
        </w:rPr>
        <w:t xml:space="preserve">NRF, National Research Foundation / DST, Department of Science and Technology. 2011. </w:t>
      </w:r>
      <w:hyperlink r:id="rId47" w:history="1">
        <w:r w:rsidRPr="00541FA7">
          <w:rPr>
            <w:rStyle w:val="Link"/>
            <w:i/>
            <w:sz w:val="20"/>
            <w:szCs w:val="20"/>
          </w:rPr>
          <w:t>Research infr</w:t>
        </w:r>
        <w:r w:rsidRPr="00541FA7">
          <w:rPr>
            <w:rStyle w:val="Link"/>
            <w:i/>
            <w:sz w:val="20"/>
            <w:szCs w:val="20"/>
          </w:rPr>
          <w:t>a</w:t>
        </w:r>
        <w:r w:rsidRPr="00541FA7">
          <w:rPr>
            <w:rStyle w:val="Link"/>
            <w:i/>
            <w:sz w:val="20"/>
            <w:szCs w:val="20"/>
          </w:rPr>
          <w:t>structure support programmes (RISP) grants</w:t>
        </w:r>
      </w:hyperlink>
      <w:r w:rsidRPr="00541FA7">
        <w:rPr>
          <w:sz w:val="20"/>
          <w:szCs w:val="20"/>
        </w:rPr>
        <w:t>. Pretoria, South Africa.</w:t>
      </w:r>
    </w:p>
    <w:p w14:paraId="38C44AED" w14:textId="501E0F90" w:rsidR="002856A8" w:rsidRPr="002856A8" w:rsidRDefault="002856A8" w:rsidP="00A56A11">
      <w:pPr>
        <w:pStyle w:val="KeinLeerraum"/>
        <w:numPr>
          <w:ilvl w:val="0"/>
          <w:numId w:val="2"/>
        </w:numPr>
        <w:ind w:left="284" w:hanging="284"/>
        <w:rPr>
          <w:sz w:val="20"/>
          <w:szCs w:val="20"/>
        </w:rPr>
      </w:pPr>
      <w:proofErr w:type="spellStart"/>
      <w:r>
        <w:rPr>
          <w:rFonts w:cs="Arial"/>
          <w:sz w:val="20"/>
          <w:szCs w:val="20"/>
        </w:rPr>
        <w:t>Pé</w:t>
      </w:r>
      <w:r w:rsidRPr="00CC1F81">
        <w:rPr>
          <w:rFonts w:cs="Arial"/>
          <w:sz w:val="20"/>
          <w:szCs w:val="20"/>
        </w:rPr>
        <w:t>ro</w:t>
      </w:r>
      <w:proofErr w:type="spellEnd"/>
      <w:r w:rsidRPr="00CC1F81">
        <w:rPr>
          <w:rFonts w:cs="Arial"/>
          <w:sz w:val="20"/>
          <w:szCs w:val="20"/>
        </w:rPr>
        <w:t xml:space="preserve"> H. 2011. </w:t>
      </w:r>
      <w:hyperlink r:id="rId48" w:history="1">
        <w:r w:rsidRPr="00CC1F81">
          <w:rPr>
            <w:rFonts w:cs="Arial"/>
            <w:bCs/>
            <w:color w:val="0000FF"/>
            <w:sz w:val="20"/>
            <w:szCs w:val="20"/>
            <w:u w:val="single" w:color="094771"/>
          </w:rPr>
          <w:t>Research infrastructures of pan-European interest: the EU and global issues</w:t>
        </w:r>
      </w:hyperlink>
      <w:r w:rsidRPr="00CC1F81">
        <w:rPr>
          <w:rFonts w:cs="Times New Roman"/>
          <w:sz w:val="20"/>
          <w:szCs w:val="20"/>
        </w:rPr>
        <w:t xml:space="preserve">, </w:t>
      </w:r>
      <w:r w:rsidRPr="00CC1F81">
        <w:rPr>
          <w:rFonts w:cs="Times New Roman"/>
          <w:i/>
          <w:sz w:val="20"/>
          <w:szCs w:val="20"/>
        </w:rPr>
        <w:t>Nuclear Instr</w:t>
      </w:r>
      <w:r w:rsidRPr="00CC1F81">
        <w:rPr>
          <w:rFonts w:cs="Times New Roman"/>
          <w:i/>
          <w:sz w:val="20"/>
          <w:szCs w:val="20"/>
        </w:rPr>
        <w:t>u</w:t>
      </w:r>
      <w:r w:rsidRPr="00CC1F81">
        <w:rPr>
          <w:rFonts w:cs="Times New Roman"/>
          <w:i/>
          <w:sz w:val="20"/>
          <w:szCs w:val="20"/>
        </w:rPr>
        <w:t>ments and Methods in Physics Research, Section A</w:t>
      </w:r>
      <w:r w:rsidRPr="00CC1F81">
        <w:rPr>
          <w:rFonts w:cs="Times New Roman"/>
          <w:sz w:val="20"/>
          <w:szCs w:val="20"/>
        </w:rPr>
        <w:t xml:space="preserve">, </w:t>
      </w:r>
      <w:r>
        <w:rPr>
          <w:rFonts w:cs="Arial"/>
          <w:sz w:val="20"/>
          <w:szCs w:val="20"/>
        </w:rPr>
        <w:t>S69-S71.</w:t>
      </w:r>
    </w:p>
    <w:p w14:paraId="39D1161C" w14:textId="2549F87B" w:rsidR="00FA5DB6" w:rsidRPr="00FA5DB6" w:rsidRDefault="00FA5DB6" w:rsidP="00A56A11">
      <w:pPr>
        <w:pStyle w:val="KeinLeerraum"/>
        <w:numPr>
          <w:ilvl w:val="0"/>
          <w:numId w:val="2"/>
        </w:numPr>
        <w:ind w:left="284" w:hanging="284"/>
        <w:rPr>
          <w:sz w:val="20"/>
          <w:szCs w:val="20"/>
        </w:rPr>
      </w:pPr>
      <w:proofErr w:type="spellStart"/>
      <w:r w:rsidRPr="00CC1F81">
        <w:rPr>
          <w:rFonts w:cs="Arial"/>
          <w:sz w:val="20"/>
          <w:szCs w:val="20"/>
        </w:rPr>
        <w:t>Péro</w:t>
      </w:r>
      <w:proofErr w:type="spellEnd"/>
      <w:r w:rsidRPr="00CC1F81">
        <w:rPr>
          <w:rFonts w:cs="Arial"/>
          <w:sz w:val="20"/>
          <w:szCs w:val="20"/>
        </w:rPr>
        <w:t xml:space="preserve"> H, Faure JE. 2007. </w:t>
      </w:r>
      <w:hyperlink r:id="rId49" w:history="1">
        <w:r w:rsidRPr="00CC1F81">
          <w:rPr>
            <w:rFonts w:cs="Arial"/>
            <w:bCs/>
            <w:color w:val="0000FF"/>
            <w:sz w:val="20"/>
            <w:szCs w:val="20"/>
            <w:u w:val="single" w:color="520053"/>
          </w:rPr>
          <w:t xml:space="preserve">European research infrastructures for the development of </w:t>
        </w:r>
        <w:proofErr w:type="spellStart"/>
        <w:r w:rsidRPr="00CC1F81">
          <w:rPr>
            <w:rFonts w:cs="Arial"/>
            <w:bCs/>
            <w:color w:val="0000FF"/>
            <w:sz w:val="20"/>
            <w:szCs w:val="20"/>
            <w:u w:val="single" w:color="520053"/>
          </w:rPr>
          <w:t>nanobiotechnologies</w:t>
        </w:r>
        <w:proofErr w:type="spellEnd"/>
      </w:hyperlink>
      <w:r w:rsidRPr="00CC1F81">
        <w:rPr>
          <w:rFonts w:cs="Arial"/>
          <w:bCs/>
          <w:sz w:val="20"/>
          <w:szCs w:val="20"/>
          <w:u w:val="single" w:color="520053"/>
        </w:rPr>
        <w:t xml:space="preserve">, </w:t>
      </w:r>
      <w:r w:rsidRPr="00CC1F81">
        <w:rPr>
          <w:rFonts w:cs="Arial"/>
          <w:bCs/>
          <w:i/>
          <w:sz w:val="20"/>
          <w:szCs w:val="20"/>
        </w:rPr>
        <w:t>T</w:t>
      </w:r>
      <w:r w:rsidRPr="00CC1F81">
        <w:rPr>
          <w:rFonts w:cs="Arial"/>
          <w:i/>
          <w:sz w:val="20"/>
          <w:szCs w:val="20"/>
        </w:rPr>
        <w:t>rends</w:t>
      </w:r>
      <w:r>
        <w:rPr>
          <w:rFonts w:cs="Arial"/>
          <w:i/>
          <w:sz w:val="20"/>
          <w:szCs w:val="20"/>
        </w:rPr>
        <w:t xml:space="preserve"> in</w:t>
      </w:r>
      <w:r w:rsidRPr="00CC1F81">
        <w:rPr>
          <w:rFonts w:cs="Arial"/>
          <w:i/>
          <w:sz w:val="20"/>
          <w:szCs w:val="20"/>
        </w:rPr>
        <w:t xml:space="preserve"> Biotechnol</w:t>
      </w:r>
      <w:r>
        <w:rPr>
          <w:rFonts w:cs="Arial"/>
          <w:i/>
          <w:sz w:val="20"/>
          <w:szCs w:val="20"/>
        </w:rPr>
        <w:t>ogy</w:t>
      </w:r>
      <w:r>
        <w:rPr>
          <w:rFonts w:cs="Arial"/>
          <w:sz w:val="20"/>
          <w:szCs w:val="20"/>
        </w:rPr>
        <w:t>, 25(5): 191-4.</w:t>
      </w:r>
    </w:p>
    <w:p w14:paraId="1FAE182C" w14:textId="74E20E19" w:rsidR="007B76D6" w:rsidRPr="00196485" w:rsidRDefault="007B76D6" w:rsidP="00A56A11">
      <w:pPr>
        <w:pStyle w:val="KeinLeerraum"/>
        <w:numPr>
          <w:ilvl w:val="0"/>
          <w:numId w:val="2"/>
        </w:numPr>
        <w:ind w:left="284" w:hanging="284"/>
        <w:rPr>
          <w:sz w:val="20"/>
          <w:szCs w:val="20"/>
        </w:rPr>
      </w:pPr>
      <w:proofErr w:type="spellStart"/>
      <w:r w:rsidRPr="00CC1F81">
        <w:rPr>
          <w:rFonts w:cs="Arial"/>
          <w:sz w:val="20"/>
          <w:szCs w:val="20"/>
        </w:rPr>
        <w:t>Reichel</w:t>
      </w:r>
      <w:proofErr w:type="spellEnd"/>
      <w:r w:rsidRPr="00CC1F81">
        <w:rPr>
          <w:rFonts w:cs="Arial"/>
          <w:sz w:val="20"/>
          <w:szCs w:val="20"/>
        </w:rPr>
        <w:t xml:space="preserve"> J., et al. 2014. </w:t>
      </w:r>
      <w:hyperlink r:id="rId50" w:history="1">
        <w:r w:rsidRPr="00841903">
          <w:rPr>
            <w:rFonts w:cs="Arial"/>
            <w:bCs/>
            <w:color w:val="0000FF"/>
            <w:sz w:val="20"/>
            <w:szCs w:val="20"/>
            <w:u w:val="single" w:color="094771"/>
          </w:rPr>
          <w:t>ERIC: a new governance tool for biobanking</w:t>
        </w:r>
      </w:hyperlink>
      <w:r w:rsidRPr="00CC1F81">
        <w:rPr>
          <w:rFonts w:cs="Times New Roman"/>
          <w:sz w:val="20"/>
          <w:szCs w:val="20"/>
        </w:rPr>
        <w:t xml:space="preserve">, </w:t>
      </w:r>
      <w:r w:rsidRPr="00841903">
        <w:rPr>
          <w:rFonts w:cs="Times New Roman"/>
          <w:i/>
          <w:sz w:val="20"/>
          <w:szCs w:val="20"/>
        </w:rPr>
        <w:t>European Journal of Human Genetics</w:t>
      </w:r>
      <w:r w:rsidRPr="00CC1F81">
        <w:rPr>
          <w:rFonts w:cs="Times New Roman"/>
          <w:sz w:val="20"/>
          <w:szCs w:val="20"/>
        </w:rPr>
        <w:t xml:space="preserve">, </w:t>
      </w:r>
      <w:r>
        <w:rPr>
          <w:rFonts w:cs="Arial"/>
          <w:sz w:val="20"/>
          <w:szCs w:val="20"/>
        </w:rPr>
        <w:t>22(9): 1055-7.</w:t>
      </w:r>
    </w:p>
    <w:p w14:paraId="230D8825" w14:textId="592CC077" w:rsidR="00196485" w:rsidRPr="00541FA7" w:rsidRDefault="00196485" w:rsidP="00A56A11">
      <w:pPr>
        <w:pStyle w:val="KeinLeerraum"/>
        <w:numPr>
          <w:ilvl w:val="0"/>
          <w:numId w:val="2"/>
        </w:numPr>
        <w:ind w:left="284" w:hanging="284"/>
        <w:rPr>
          <w:sz w:val="20"/>
          <w:szCs w:val="20"/>
        </w:rPr>
      </w:pPr>
      <w:r w:rsidRPr="00CC1F81">
        <w:rPr>
          <w:rFonts w:cs="Arial"/>
          <w:sz w:val="20"/>
          <w:szCs w:val="20"/>
        </w:rPr>
        <w:t xml:space="preserve">Reiter G, </w:t>
      </w:r>
      <w:proofErr w:type="spellStart"/>
      <w:r w:rsidRPr="00CC1F81">
        <w:rPr>
          <w:rFonts w:cs="Arial"/>
          <w:sz w:val="20"/>
          <w:szCs w:val="20"/>
        </w:rPr>
        <w:t>Hadjichristidis</w:t>
      </w:r>
      <w:proofErr w:type="spellEnd"/>
      <w:r w:rsidRPr="00CC1F81">
        <w:rPr>
          <w:rFonts w:cs="Arial"/>
          <w:sz w:val="20"/>
          <w:szCs w:val="20"/>
        </w:rPr>
        <w:t xml:space="preserve"> N, </w:t>
      </w:r>
      <w:proofErr w:type="spellStart"/>
      <w:r w:rsidRPr="00CC1F81">
        <w:rPr>
          <w:rFonts w:cs="Arial"/>
          <w:sz w:val="20"/>
          <w:szCs w:val="20"/>
        </w:rPr>
        <w:t>M</w:t>
      </w:r>
      <w:r>
        <w:rPr>
          <w:rFonts w:cs="Arial"/>
          <w:sz w:val="20"/>
          <w:szCs w:val="20"/>
        </w:rPr>
        <w:t>ö</w:t>
      </w:r>
      <w:r w:rsidRPr="00CC1F81">
        <w:rPr>
          <w:rFonts w:cs="Arial"/>
          <w:sz w:val="20"/>
          <w:szCs w:val="20"/>
        </w:rPr>
        <w:t>ller</w:t>
      </w:r>
      <w:proofErr w:type="spellEnd"/>
      <w:r w:rsidRPr="00CC1F81">
        <w:rPr>
          <w:rFonts w:cs="Arial"/>
          <w:sz w:val="20"/>
          <w:szCs w:val="20"/>
        </w:rPr>
        <w:t xml:space="preserve"> M. 2003. </w:t>
      </w:r>
      <w:hyperlink r:id="rId51" w:history="1">
        <w:r w:rsidRPr="00CC1F81">
          <w:rPr>
            <w:rFonts w:cs="Arial"/>
            <w:bCs/>
            <w:color w:val="0000FF"/>
            <w:sz w:val="20"/>
            <w:szCs w:val="20"/>
            <w:u w:val="single" w:color="094771"/>
          </w:rPr>
          <w:t>Chances and challenges in Europe</w:t>
        </w:r>
      </w:hyperlink>
      <w:r w:rsidRPr="00CC1F81">
        <w:rPr>
          <w:rFonts w:cs="Arial"/>
          <w:bCs/>
          <w:sz w:val="20"/>
          <w:szCs w:val="20"/>
        </w:rPr>
        <w:t xml:space="preserve">, </w:t>
      </w:r>
      <w:r w:rsidRPr="00CC1F81">
        <w:rPr>
          <w:rFonts w:cs="Arial"/>
          <w:i/>
          <w:sz w:val="20"/>
          <w:szCs w:val="20"/>
        </w:rPr>
        <w:t>Nature Materials</w:t>
      </w:r>
      <w:r>
        <w:rPr>
          <w:rFonts w:cs="Arial"/>
          <w:sz w:val="20"/>
          <w:szCs w:val="20"/>
        </w:rPr>
        <w:t>, 2(2): 67-9.</w:t>
      </w:r>
    </w:p>
    <w:p w14:paraId="7D019A6C" w14:textId="77C74D6B" w:rsidR="00A56A11" w:rsidRPr="00541FA7" w:rsidRDefault="00A56A11" w:rsidP="00A56A11">
      <w:pPr>
        <w:pStyle w:val="KeinLeerraum"/>
        <w:numPr>
          <w:ilvl w:val="0"/>
          <w:numId w:val="2"/>
        </w:numPr>
        <w:ind w:left="284" w:hanging="284"/>
        <w:rPr>
          <w:sz w:val="20"/>
          <w:szCs w:val="20"/>
        </w:rPr>
      </w:pPr>
      <w:r w:rsidRPr="00541FA7">
        <w:rPr>
          <w:sz w:val="20"/>
          <w:szCs w:val="20"/>
        </w:rPr>
        <w:t xml:space="preserve">Shanghai Supercomputer Centre. </w:t>
      </w:r>
      <w:r w:rsidRPr="00541FA7">
        <w:rPr>
          <w:i/>
          <w:sz w:val="20"/>
          <w:szCs w:val="20"/>
        </w:rPr>
        <w:t>Annual Reports, 2010, 2011, 2012, 2013, 2014</w:t>
      </w:r>
      <w:r w:rsidRPr="00541FA7">
        <w:rPr>
          <w:sz w:val="20"/>
          <w:szCs w:val="20"/>
        </w:rPr>
        <w:t>. Shanghai.</w:t>
      </w:r>
      <w:r w:rsidR="00A07FC5">
        <w:rPr>
          <w:sz w:val="20"/>
          <w:szCs w:val="20"/>
        </w:rPr>
        <w:t xml:space="preserve"> (</w:t>
      </w:r>
      <w:proofErr w:type="gramStart"/>
      <w:r w:rsidR="00A07FC5">
        <w:rPr>
          <w:sz w:val="20"/>
          <w:szCs w:val="20"/>
        </w:rPr>
        <w:t>available</w:t>
      </w:r>
      <w:proofErr w:type="gramEnd"/>
      <w:r w:rsidR="00A07FC5">
        <w:rPr>
          <w:sz w:val="20"/>
          <w:szCs w:val="20"/>
        </w:rPr>
        <w:t xml:space="preserve"> only in Chinese)</w:t>
      </w:r>
    </w:p>
    <w:p w14:paraId="105CF14A" w14:textId="58A15C4D" w:rsidR="001F52BE" w:rsidRPr="001F52BE" w:rsidRDefault="001F52BE" w:rsidP="00A56A11">
      <w:pPr>
        <w:pStyle w:val="KeinLeerraum"/>
        <w:numPr>
          <w:ilvl w:val="0"/>
          <w:numId w:val="2"/>
        </w:numPr>
        <w:ind w:left="284" w:hanging="284"/>
        <w:rPr>
          <w:sz w:val="20"/>
          <w:szCs w:val="20"/>
          <w:u w:val="single"/>
        </w:rPr>
      </w:pPr>
      <w:r w:rsidRPr="001F0C98">
        <w:rPr>
          <w:rFonts w:cs="Arial"/>
          <w:sz w:val="20"/>
          <w:szCs w:val="20"/>
        </w:rPr>
        <w:t>SHARE</w:t>
      </w:r>
      <w:r>
        <w:rPr>
          <w:rFonts w:cs="Arial"/>
          <w:sz w:val="20"/>
          <w:szCs w:val="20"/>
        </w:rPr>
        <w:t>,</w:t>
      </w:r>
      <w:r w:rsidRPr="001F0C98">
        <w:rPr>
          <w:rFonts w:cs="Arial"/>
          <w:sz w:val="20"/>
          <w:szCs w:val="20"/>
        </w:rPr>
        <w:t xml:space="preserve"> Survey of Health, Ageing and Retirement in Europe</w:t>
      </w:r>
      <w:r>
        <w:rPr>
          <w:rFonts w:cs="Arial"/>
          <w:sz w:val="20"/>
          <w:szCs w:val="20"/>
        </w:rPr>
        <w:t xml:space="preserve">. </w:t>
      </w:r>
      <w:r w:rsidRPr="009A0428">
        <w:rPr>
          <w:i/>
          <w:sz w:val="20"/>
          <w:szCs w:val="20"/>
        </w:rPr>
        <w:t xml:space="preserve">Annual </w:t>
      </w:r>
      <w:r>
        <w:rPr>
          <w:i/>
          <w:sz w:val="20"/>
          <w:szCs w:val="20"/>
        </w:rPr>
        <w:t>a</w:t>
      </w:r>
      <w:r w:rsidRPr="009A0428">
        <w:rPr>
          <w:i/>
          <w:sz w:val="20"/>
          <w:szCs w:val="20"/>
        </w:rPr>
        <w:t xml:space="preserve">ctivity </w:t>
      </w:r>
      <w:r>
        <w:rPr>
          <w:i/>
          <w:sz w:val="20"/>
          <w:szCs w:val="20"/>
        </w:rPr>
        <w:t>r</w:t>
      </w:r>
      <w:r w:rsidRPr="009A0428">
        <w:rPr>
          <w:i/>
          <w:sz w:val="20"/>
          <w:szCs w:val="20"/>
        </w:rPr>
        <w:t xml:space="preserve">eports, </w:t>
      </w:r>
      <w:hyperlink r:id="rId52" w:history="1">
        <w:r w:rsidRPr="009A0428">
          <w:rPr>
            <w:rStyle w:val="Link"/>
            <w:i/>
            <w:sz w:val="20"/>
            <w:szCs w:val="20"/>
          </w:rPr>
          <w:t>2012</w:t>
        </w:r>
      </w:hyperlink>
      <w:r w:rsidRPr="009A0428">
        <w:rPr>
          <w:i/>
          <w:sz w:val="20"/>
          <w:szCs w:val="20"/>
        </w:rPr>
        <w:t xml:space="preserve">, </w:t>
      </w:r>
      <w:hyperlink r:id="rId53" w:history="1">
        <w:r w:rsidRPr="009A0428">
          <w:rPr>
            <w:rStyle w:val="Link"/>
            <w:i/>
            <w:sz w:val="20"/>
            <w:szCs w:val="20"/>
          </w:rPr>
          <w:t>2013</w:t>
        </w:r>
      </w:hyperlink>
      <w:r w:rsidRPr="009A0428">
        <w:rPr>
          <w:i/>
          <w:sz w:val="20"/>
          <w:szCs w:val="20"/>
        </w:rPr>
        <w:t xml:space="preserve">, </w:t>
      </w:r>
      <w:hyperlink r:id="rId54" w:history="1">
        <w:proofErr w:type="gramStart"/>
        <w:r w:rsidRPr="009A0428">
          <w:rPr>
            <w:rStyle w:val="Link"/>
            <w:i/>
            <w:sz w:val="20"/>
            <w:szCs w:val="20"/>
          </w:rPr>
          <w:t>2014</w:t>
        </w:r>
        <w:proofErr w:type="gramEnd"/>
      </w:hyperlink>
      <w:r>
        <w:rPr>
          <w:sz w:val="20"/>
          <w:szCs w:val="20"/>
        </w:rPr>
        <w:t xml:space="preserve">. </w:t>
      </w:r>
      <w:r w:rsidRPr="001F0C98">
        <w:rPr>
          <w:rFonts w:cs="Arial"/>
          <w:bCs/>
          <w:sz w:val="20"/>
          <w:szCs w:val="20"/>
        </w:rPr>
        <w:t>M</w:t>
      </w:r>
      <w:r w:rsidRPr="001F0C98">
        <w:rPr>
          <w:rFonts w:cs="Arial"/>
          <w:bCs/>
          <w:sz w:val="20"/>
          <w:szCs w:val="20"/>
        </w:rPr>
        <w:t>u</w:t>
      </w:r>
      <w:r w:rsidRPr="001F0C98">
        <w:rPr>
          <w:rFonts w:cs="Arial"/>
          <w:bCs/>
          <w:sz w:val="20"/>
          <w:szCs w:val="20"/>
        </w:rPr>
        <w:t xml:space="preserve">nich </w:t>
      </w:r>
      <w:r w:rsidRPr="001F0C98">
        <w:rPr>
          <w:rFonts w:cs="Arial"/>
          <w:bCs/>
          <w:sz w:val="20"/>
          <w:szCs w:val="20"/>
          <w:lang w:val="en-US"/>
        </w:rPr>
        <w:t>Center</w:t>
      </w:r>
      <w:r w:rsidRPr="001F0C98">
        <w:rPr>
          <w:rFonts w:cs="Arial"/>
          <w:bCs/>
          <w:sz w:val="20"/>
          <w:szCs w:val="20"/>
        </w:rPr>
        <w:t xml:space="preserve"> for the Economics of Aging MEA, Germany</w:t>
      </w:r>
      <w:r>
        <w:rPr>
          <w:rFonts w:cs="Arial"/>
          <w:bCs/>
          <w:sz w:val="20"/>
          <w:szCs w:val="20"/>
        </w:rPr>
        <w:t>.</w:t>
      </w:r>
    </w:p>
    <w:p w14:paraId="418E161F" w14:textId="77777777" w:rsidR="00A56A11" w:rsidRPr="00541FA7" w:rsidRDefault="00A56A11" w:rsidP="00A56A11">
      <w:pPr>
        <w:pStyle w:val="KeinLeerraum"/>
        <w:numPr>
          <w:ilvl w:val="0"/>
          <w:numId w:val="2"/>
        </w:numPr>
        <w:ind w:left="284" w:hanging="284"/>
        <w:rPr>
          <w:sz w:val="20"/>
          <w:szCs w:val="20"/>
          <w:u w:val="single"/>
        </w:rPr>
      </w:pPr>
      <w:r w:rsidRPr="00541FA7">
        <w:rPr>
          <w:rFonts w:cs="Arial"/>
          <w:color w:val="262626"/>
          <w:sz w:val="20"/>
          <w:szCs w:val="20"/>
          <w:lang w:val="de-DE"/>
        </w:rPr>
        <w:t>Wilcox A</w:t>
      </w:r>
      <w:r w:rsidRPr="00541FA7">
        <w:rPr>
          <w:rFonts w:cs="Arial"/>
          <w:sz w:val="20"/>
          <w:szCs w:val="20"/>
          <w:lang w:val="de-DE"/>
        </w:rPr>
        <w:t xml:space="preserve">, et al. </w:t>
      </w:r>
      <w:r w:rsidRPr="00541FA7">
        <w:rPr>
          <w:rFonts w:cs="Arial"/>
          <w:sz w:val="20"/>
          <w:szCs w:val="20"/>
          <w:u w:color="262626"/>
          <w:lang w:val="de-DE"/>
        </w:rPr>
        <w:t xml:space="preserve">2014. </w:t>
      </w:r>
      <w:hyperlink r:id="rId55" w:history="1">
        <w:r w:rsidRPr="00541FA7">
          <w:rPr>
            <w:rStyle w:val="Link"/>
            <w:sz w:val="20"/>
            <w:szCs w:val="20"/>
          </w:rPr>
          <w:t>Sustainability considerations for health research and analytic data infrastructures</w:t>
        </w:r>
      </w:hyperlink>
      <w:r w:rsidRPr="00541FA7">
        <w:rPr>
          <w:rStyle w:val="Link"/>
          <w:sz w:val="20"/>
          <w:szCs w:val="20"/>
          <w:u w:val="none"/>
        </w:rPr>
        <w:t>,</w:t>
      </w:r>
      <w:r w:rsidRPr="00541FA7">
        <w:rPr>
          <w:sz w:val="20"/>
          <w:szCs w:val="20"/>
        </w:rPr>
        <w:t xml:space="preserve"> </w:t>
      </w:r>
      <w:proofErr w:type="spellStart"/>
      <w:r w:rsidRPr="00541FA7">
        <w:rPr>
          <w:rFonts w:cs="Arial"/>
          <w:i/>
          <w:sz w:val="20"/>
          <w:szCs w:val="20"/>
          <w:lang w:val="de-DE"/>
        </w:rPr>
        <w:t>eGEMs</w:t>
      </w:r>
      <w:proofErr w:type="spellEnd"/>
      <w:r w:rsidRPr="00541FA7">
        <w:rPr>
          <w:rFonts w:cs="Arial"/>
          <w:sz w:val="20"/>
          <w:szCs w:val="20"/>
          <w:u w:color="262626"/>
          <w:lang w:val="de-DE"/>
        </w:rPr>
        <w:t>.</w:t>
      </w:r>
    </w:p>
    <w:p w14:paraId="02F38AE4" w14:textId="77777777" w:rsidR="00A56A11" w:rsidRPr="00036C39" w:rsidRDefault="00A56A11" w:rsidP="00A56A11">
      <w:pPr>
        <w:pStyle w:val="KeinLeerraum"/>
        <w:numPr>
          <w:ilvl w:val="0"/>
          <w:numId w:val="2"/>
        </w:numPr>
        <w:ind w:left="284" w:hanging="284"/>
        <w:rPr>
          <w:sz w:val="20"/>
          <w:szCs w:val="20"/>
          <w:u w:val="single"/>
        </w:rPr>
      </w:pPr>
      <w:r w:rsidRPr="00541FA7">
        <w:rPr>
          <w:sz w:val="20"/>
          <w:szCs w:val="20"/>
        </w:rPr>
        <w:t xml:space="preserve">Witt A. 2014. </w:t>
      </w:r>
      <w:hyperlink r:id="rId56" w:history="1">
        <w:r w:rsidRPr="00541FA7">
          <w:rPr>
            <w:rStyle w:val="Link"/>
            <w:sz w:val="20"/>
            <w:szCs w:val="20"/>
          </w:rPr>
          <w:t xml:space="preserve">Sustainability of research infrastructures: some lessons learned from </w:t>
        </w:r>
        <w:proofErr w:type="spellStart"/>
        <w:r w:rsidRPr="00541FA7">
          <w:rPr>
            <w:rStyle w:val="Link"/>
            <w:sz w:val="20"/>
            <w:szCs w:val="20"/>
          </w:rPr>
          <w:t>TextGrid</w:t>
        </w:r>
        <w:proofErr w:type="spellEnd"/>
        <w:r w:rsidRPr="00541FA7">
          <w:rPr>
            <w:rStyle w:val="Link"/>
            <w:sz w:val="20"/>
            <w:szCs w:val="20"/>
          </w:rPr>
          <w:t xml:space="preserve"> and CLARIN-D</w:t>
        </w:r>
      </w:hyperlink>
      <w:r w:rsidRPr="00541FA7">
        <w:rPr>
          <w:sz w:val="20"/>
          <w:szCs w:val="20"/>
        </w:rPr>
        <w:t>, 3</w:t>
      </w:r>
      <w:r w:rsidRPr="00541FA7">
        <w:rPr>
          <w:sz w:val="20"/>
          <w:szCs w:val="20"/>
          <w:vertAlign w:val="superscript"/>
        </w:rPr>
        <w:t>rd</w:t>
      </w:r>
      <w:r w:rsidRPr="00541FA7">
        <w:rPr>
          <w:sz w:val="20"/>
          <w:szCs w:val="20"/>
        </w:rPr>
        <w:t xml:space="preserve"> </w:t>
      </w:r>
      <w:proofErr w:type="spellStart"/>
      <w:r w:rsidRPr="00541FA7">
        <w:rPr>
          <w:sz w:val="20"/>
          <w:szCs w:val="20"/>
        </w:rPr>
        <w:t>inNET</w:t>
      </w:r>
      <w:proofErr w:type="spellEnd"/>
      <w:r w:rsidRPr="00541FA7">
        <w:rPr>
          <w:sz w:val="20"/>
          <w:szCs w:val="20"/>
        </w:rPr>
        <w:t xml:space="preserve"> Conference, Budapest, Hungary, September.</w:t>
      </w:r>
    </w:p>
    <w:p w14:paraId="75205273" w14:textId="74080468" w:rsidR="00036C39" w:rsidRPr="00541FA7" w:rsidRDefault="00036C39" w:rsidP="00A56A11">
      <w:pPr>
        <w:pStyle w:val="KeinLeerraum"/>
        <w:numPr>
          <w:ilvl w:val="0"/>
          <w:numId w:val="2"/>
        </w:numPr>
        <w:ind w:left="284" w:hanging="284"/>
        <w:rPr>
          <w:sz w:val="20"/>
          <w:szCs w:val="20"/>
          <w:u w:val="single"/>
        </w:rPr>
      </w:pPr>
      <w:r w:rsidRPr="001F0C98">
        <w:rPr>
          <w:sz w:val="20"/>
          <w:szCs w:val="20"/>
        </w:rPr>
        <w:t>XFEL</w:t>
      </w:r>
      <w:r>
        <w:rPr>
          <w:sz w:val="20"/>
          <w:szCs w:val="20"/>
        </w:rPr>
        <w:t>,</w:t>
      </w:r>
      <w:r w:rsidRPr="001F0C98">
        <w:rPr>
          <w:sz w:val="20"/>
          <w:szCs w:val="20"/>
        </w:rPr>
        <w:t xml:space="preserve"> European </w:t>
      </w:r>
      <w:r w:rsidRPr="001F0C98">
        <w:rPr>
          <w:rFonts w:cs="Helvetica"/>
          <w:iCs/>
          <w:sz w:val="20"/>
          <w:szCs w:val="20"/>
        </w:rPr>
        <w:t>X-Ray Free-Electron Laser</w:t>
      </w:r>
      <w:r>
        <w:rPr>
          <w:rFonts w:cs="Helvetica"/>
          <w:iCs/>
          <w:sz w:val="20"/>
          <w:szCs w:val="20"/>
        </w:rPr>
        <w:t xml:space="preserve">. </w:t>
      </w:r>
      <w:r w:rsidRPr="009A0428">
        <w:rPr>
          <w:i/>
          <w:sz w:val="20"/>
          <w:szCs w:val="20"/>
        </w:rPr>
        <w:t xml:space="preserve">Annual </w:t>
      </w:r>
      <w:r>
        <w:rPr>
          <w:i/>
          <w:sz w:val="20"/>
          <w:szCs w:val="20"/>
        </w:rPr>
        <w:t>r</w:t>
      </w:r>
      <w:r w:rsidRPr="009A0428">
        <w:rPr>
          <w:i/>
          <w:sz w:val="20"/>
          <w:szCs w:val="20"/>
        </w:rPr>
        <w:t xml:space="preserve">eports, </w:t>
      </w:r>
      <w:hyperlink r:id="rId57" w:history="1">
        <w:r w:rsidRPr="009A0428">
          <w:rPr>
            <w:rStyle w:val="Link"/>
            <w:i/>
            <w:sz w:val="20"/>
            <w:szCs w:val="20"/>
          </w:rPr>
          <w:t>2010</w:t>
        </w:r>
      </w:hyperlink>
      <w:r w:rsidRPr="009A0428">
        <w:rPr>
          <w:i/>
          <w:sz w:val="20"/>
          <w:szCs w:val="20"/>
        </w:rPr>
        <w:t xml:space="preserve">, </w:t>
      </w:r>
      <w:hyperlink r:id="rId58" w:history="1">
        <w:r w:rsidRPr="009A0428">
          <w:rPr>
            <w:rStyle w:val="Link"/>
            <w:i/>
            <w:sz w:val="20"/>
            <w:szCs w:val="20"/>
          </w:rPr>
          <w:t>2011</w:t>
        </w:r>
      </w:hyperlink>
      <w:r w:rsidRPr="009A0428">
        <w:rPr>
          <w:i/>
          <w:sz w:val="20"/>
          <w:szCs w:val="20"/>
        </w:rPr>
        <w:t xml:space="preserve">, </w:t>
      </w:r>
      <w:hyperlink r:id="rId59" w:history="1">
        <w:r w:rsidRPr="009A0428">
          <w:rPr>
            <w:rStyle w:val="Link"/>
            <w:i/>
            <w:sz w:val="20"/>
            <w:szCs w:val="20"/>
          </w:rPr>
          <w:t>2012</w:t>
        </w:r>
      </w:hyperlink>
      <w:r w:rsidRPr="009A0428">
        <w:rPr>
          <w:i/>
          <w:sz w:val="20"/>
          <w:szCs w:val="20"/>
        </w:rPr>
        <w:t xml:space="preserve">, </w:t>
      </w:r>
      <w:hyperlink r:id="rId60" w:history="1">
        <w:r w:rsidRPr="009A0428">
          <w:rPr>
            <w:rStyle w:val="Link"/>
            <w:i/>
            <w:sz w:val="20"/>
            <w:szCs w:val="20"/>
          </w:rPr>
          <w:t>2013</w:t>
        </w:r>
      </w:hyperlink>
      <w:r w:rsidRPr="009A0428">
        <w:rPr>
          <w:i/>
          <w:sz w:val="20"/>
          <w:szCs w:val="20"/>
        </w:rPr>
        <w:t xml:space="preserve">, </w:t>
      </w:r>
      <w:hyperlink r:id="rId61" w:history="1">
        <w:r w:rsidRPr="009A0428">
          <w:rPr>
            <w:rStyle w:val="Link"/>
            <w:i/>
            <w:sz w:val="20"/>
            <w:szCs w:val="20"/>
          </w:rPr>
          <w:t>2014</w:t>
        </w:r>
      </w:hyperlink>
      <w:r>
        <w:rPr>
          <w:sz w:val="20"/>
          <w:szCs w:val="20"/>
        </w:rPr>
        <w:t xml:space="preserve">. </w:t>
      </w:r>
      <w:r w:rsidRPr="001F0C98">
        <w:rPr>
          <w:sz w:val="20"/>
          <w:szCs w:val="20"/>
        </w:rPr>
        <w:t>Hamburg, Germ</w:t>
      </w:r>
      <w:r w:rsidRPr="001F0C98">
        <w:rPr>
          <w:sz w:val="20"/>
          <w:szCs w:val="20"/>
        </w:rPr>
        <w:t>a</w:t>
      </w:r>
      <w:r w:rsidRPr="001F0C98">
        <w:rPr>
          <w:sz w:val="20"/>
          <w:szCs w:val="20"/>
        </w:rPr>
        <w:t>ny</w:t>
      </w:r>
      <w:r>
        <w:rPr>
          <w:sz w:val="20"/>
          <w:szCs w:val="20"/>
        </w:rPr>
        <w:t>.</w:t>
      </w:r>
    </w:p>
    <w:p w14:paraId="0560142D" w14:textId="77777777" w:rsidR="00A56A11" w:rsidRDefault="00A56A11" w:rsidP="00A56A11">
      <w:pPr>
        <w:pStyle w:val="KeinLeerraum"/>
        <w:rPr>
          <w:sz w:val="20"/>
          <w:szCs w:val="20"/>
        </w:rPr>
      </w:pPr>
    </w:p>
    <w:p w14:paraId="2D49ED87" w14:textId="77777777" w:rsidR="0029584A" w:rsidRPr="00231016" w:rsidRDefault="0029584A" w:rsidP="00231016">
      <w:pPr>
        <w:pStyle w:val="KeinLeerraum"/>
        <w:numPr>
          <w:ilvl w:val="0"/>
          <w:numId w:val="19"/>
        </w:numPr>
        <w:ind w:left="567" w:hanging="567"/>
        <w:rPr>
          <w:b/>
          <w:color w:val="FF0000"/>
          <w:sz w:val="24"/>
          <w:szCs w:val="24"/>
        </w:rPr>
      </w:pPr>
      <w:r w:rsidRPr="00231016">
        <w:rPr>
          <w:b/>
          <w:color w:val="FF0000"/>
          <w:sz w:val="24"/>
          <w:szCs w:val="24"/>
        </w:rPr>
        <w:t>Questions emerging from the literature review</w:t>
      </w:r>
    </w:p>
    <w:p w14:paraId="082A0D5E" w14:textId="7F192ABC" w:rsidR="0029584A" w:rsidRDefault="00C05779" w:rsidP="000F29DF">
      <w:pPr>
        <w:pStyle w:val="KeinLeerraum"/>
        <w:numPr>
          <w:ilvl w:val="0"/>
          <w:numId w:val="6"/>
        </w:numPr>
        <w:rPr>
          <w:sz w:val="20"/>
          <w:szCs w:val="20"/>
        </w:rPr>
      </w:pPr>
      <w:r>
        <w:rPr>
          <w:sz w:val="20"/>
          <w:szCs w:val="20"/>
        </w:rPr>
        <w:t>What is understood by</w:t>
      </w:r>
      <w:r w:rsidR="0029584A">
        <w:rPr>
          <w:sz w:val="20"/>
          <w:szCs w:val="20"/>
        </w:rPr>
        <w:t xml:space="preserve"> infrastructure</w:t>
      </w:r>
      <w:r>
        <w:rPr>
          <w:sz w:val="20"/>
          <w:szCs w:val="20"/>
        </w:rPr>
        <w:t>s</w:t>
      </w:r>
      <w:r w:rsidR="0029584A">
        <w:rPr>
          <w:sz w:val="20"/>
          <w:szCs w:val="20"/>
        </w:rPr>
        <w:t xml:space="preserve"> </w:t>
      </w:r>
      <w:r>
        <w:rPr>
          <w:sz w:val="20"/>
          <w:szCs w:val="20"/>
        </w:rPr>
        <w:t>(</w:t>
      </w:r>
      <w:r w:rsidR="0029584A">
        <w:rPr>
          <w:sz w:val="20"/>
          <w:szCs w:val="20"/>
        </w:rPr>
        <w:t>physical equipment, provision/availability of data, etc.</w:t>
      </w:r>
      <w:r>
        <w:rPr>
          <w:sz w:val="20"/>
          <w:szCs w:val="20"/>
        </w:rPr>
        <w:t>)</w:t>
      </w:r>
      <w:r w:rsidR="0029584A">
        <w:rPr>
          <w:sz w:val="20"/>
          <w:szCs w:val="20"/>
        </w:rPr>
        <w:t>?</w:t>
      </w:r>
    </w:p>
    <w:p w14:paraId="504F80E6" w14:textId="77777777" w:rsidR="0029584A" w:rsidRDefault="0029584A" w:rsidP="000F29DF">
      <w:pPr>
        <w:pStyle w:val="KeinLeerraum"/>
        <w:numPr>
          <w:ilvl w:val="0"/>
          <w:numId w:val="6"/>
        </w:numPr>
        <w:rPr>
          <w:sz w:val="20"/>
          <w:szCs w:val="20"/>
        </w:rPr>
      </w:pPr>
      <w:r>
        <w:rPr>
          <w:sz w:val="20"/>
          <w:szCs w:val="20"/>
        </w:rPr>
        <w:t>Definition of sustainability (physical plant, data curation)?</w:t>
      </w:r>
    </w:p>
    <w:p w14:paraId="1510E8C6" w14:textId="77777777" w:rsidR="0029584A" w:rsidRDefault="0029584A" w:rsidP="000F29DF">
      <w:pPr>
        <w:pStyle w:val="KeinLeerraum"/>
        <w:numPr>
          <w:ilvl w:val="0"/>
          <w:numId w:val="6"/>
        </w:numPr>
        <w:rPr>
          <w:sz w:val="20"/>
          <w:szCs w:val="20"/>
        </w:rPr>
      </w:pPr>
      <w:r>
        <w:rPr>
          <w:sz w:val="20"/>
          <w:szCs w:val="20"/>
        </w:rPr>
        <w:t>What makes an infrastructure “international”?</w:t>
      </w:r>
    </w:p>
    <w:p w14:paraId="44BEB903" w14:textId="2BEED0EA" w:rsidR="0029584A" w:rsidRDefault="0029584A" w:rsidP="000F29DF">
      <w:pPr>
        <w:pStyle w:val="KeinLeerraum"/>
        <w:numPr>
          <w:ilvl w:val="0"/>
          <w:numId w:val="6"/>
        </w:numPr>
        <w:rPr>
          <w:sz w:val="20"/>
          <w:szCs w:val="20"/>
        </w:rPr>
      </w:pPr>
      <w:r>
        <w:rPr>
          <w:sz w:val="20"/>
          <w:szCs w:val="20"/>
        </w:rPr>
        <w:t xml:space="preserve">Are biobanks a special case </w:t>
      </w:r>
      <w:r w:rsidR="003F73D1">
        <w:rPr>
          <w:sz w:val="20"/>
          <w:szCs w:val="20"/>
        </w:rPr>
        <w:t>of RIs</w:t>
      </w:r>
      <w:r>
        <w:rPr>
          <w:sz w:val="20"/>
          <w:szCs w:val="20"/>
        </w:rPr>
        <w:t>?</w:t>
      </w:r>
    </w:p>
    <w:p w14:paraId="53338544" w14:textId="20B77305" w:rsidR="00265753" w:rsidRPr="002856A8" w:rsidRDefault="008561D5" w:rsidP="002856A8">
      <w:pPr>
        <w:pStyle w:val="KeinLeerraum"/>
        <w:numPr>
          <w:ilvl w:val="0"/>
          <w:numId w:val="6"/>
        </w:numPr>
        <w:rPr>
          <w:sz w:val="20"/>
          <w:szCs w:val="20"/>
        </w:rPr>
      </w:pPr>
      <w:r>
        <w:rPr>
          <w:sz w:val="20"/>
          <w:szCs w:val="20"/>
        </w:rPr>
        <w:t>D</w:t>
      </w:r>
      <w:r w:rsidR="0029584A">
        <w:rPr>
          <w:sz w:val="20"/>
          <w:szCs w:val="20"/>
        </w:rPr>
        <w:t>istinction between “large” and “small” RIs?</w:t>
      </w:r>
    </w:p>
    <w:sectPr w:rsidR="00265753" w:rsidRPr="002856A8" w:rsidSect="006B7178">
      <w:footerReference w:type="default" r:id="rId62"/>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8A32F" w14:textId="77777777" w:rsidR="002671E0" w:rsidRDefault="002671E0" w:rsidP="002671E0">
      <w:pPr>
        <w:spacing w:after="0" w:line="240" w:lineRule="auto"/>
      </w:pPr>
      <w:r>
        <w:separator/>
      </w:r>
    </w:p>
  </w:endnote>
  <w:endnote w:type="continuationSeparator" w:id="0">
    <w:p w14:paraId="58C81E5E" w14:textId="77777777" w:rsidR="002671E0" w:rsidRDefault="002671E0" w:rsidP="00267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Bold Italic">
    <w:panose1 w:val="020F07020304040A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Myriad Pro Cond">
    <w:panose1 w:val="020B0506030403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00000287" w:usb1="00000000" w:usb2="00000000"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75050" w14:textId="16FBB406" w:rsidR="00171610" w:rsidRPr="00171610" w:rsidRDefault="00171610" w:rsidP="003C648B">
    <w:pPr>
      <w:pStyle w:val="Fuzeile"/>
      <w:rPr>
        <w:sz w:val="18"/>
        <w:szCs w:val="18"/>
        <w:u w:val="single"/>
      </w:rPr>
    </w:pPr>
    <w:r w:rsidRPr="00171610">
      <w:rPr>
        <w:sz w:val="18"/>
        <w:szCs w:val="18"/>
        <w:u w:val="single"/>
      </w:rPr>
      <w:tab/>
    </w:r>
    <w:r w:rsidRPr="00171610">
      <w:rPr>
        <w:sz w:val="18"/>
        <w:szCs w:val="18"/>
        <w:u w:val="single"/>
      </w:rPr>
      <w:tab/>
    </w:r>
  </w:p>
  <w:p w14:paraId="5C5C5CEC" w14:textId="7988119B" w:rsidR="002671E0" w:rsidRPr="00195F2C" w:rsidRDefault="003C648B" w:rsidP="003C648B">
    <w:pPr>
      <w:pStyle w:val="Fuzeile"/>
      <w:rPr>
        <w:sz w:val="18"/>
        <w:szCs w:val="18"/>
      </w:rPr>
    </w:pPr>
    <w:r w:rsidRPr="00195F2C">
      <w:rPr>
        <w:sz w:val="18"/>
        <w:szCs w:val="18"/>
      </w:rPr>
      <w:t xml:space="preserve">Roger Pfister, </w:t>
    </w:r>
    <w:r w:rsidR="003708B6" w:rsidRPr="00195F2C">
      <w:rPr>
        <w:sz w:val="18"/>
        <w:szCs w:val="18"/>
      </w:rPr>
      <w:t>Swiss Academy of Sciences</w:t>
    </w:r>
    <w:r w:rsidRPr="00195F2C">
      <w:rPr>
        <w:sz w:val="18"/>
        <w:szCs w:val="18"/>
      </w:rPr>
      <w:tab/>
    </w:r>
    <w:r w:rsidRPr="00195F2C">
      <w:rPr>
        <w:sz w:val="18"/>
        <w:szCs w:val="18"/>
      </w:rPr>
      <w:fldChar w:fldCharType="begin"/>
    </w:r>
    <w:r w:rsidRPr="00195F2C">
      <w:rPr>
        <w:sz w:val="18"/>
        <w:szCs w:val="18"/>
      </w:rPr>
      <w:instrText xml:space="preserve"> TIME \@ "d MMMM y" </w:instrText>
    </w:r>
    <w:r w:rsidRPr="00195F2C">
      <w:rPr>
        <w:sz w:val="18"/>
        <w:szCs w:val="18"/>
      </w:rPr>
      <w:fldChar w:fldCharType="separate"/>
    </w:r>
    <w:r w:rsidR="00075EC8">
      <w:rPr>
        <w:noProof/>
        <w:sz w:val="18"/>
        <w:szCs w:val="18"/>
      </w:rPr>
      <w:t>27 October 2015</w:t>
    </w:r>
    <w:r w:rsidRPr="00195F2C">
      <w:rPr>
        <w:sz w:val="18"/>
        <w:szCs w:val="18"/>
      </w:rPr>
      <w:fldChar w:fldCharType="end"/>
    </w:r>
    <w:r w:rsidRPr="00195F2C">
      <w:rPr>
        <w:sz w:val="18"/>
        <w:szCs w:val="18"/>
      </w:rPr>
      <w:tab/>
    </w:r>
    <w:r w:rsidR="00195F2C" w:rsidRPr="00195F2C">
      <w:rPr>
        <w:rStyle w:val="Seitenzahl"/>
        <w:sz w:val="18"/>
      </w:rPr>
      <w:fldChar w:fldCharType="begin"/>
    </w:r>
    <w:r w:rsidR="00195F2C" w:rsidRPr="00195F2C">
      <w:rPr>
        <w:rStyle w:val="Seitenzahl"/>
        <w:sz w:val="18"/>
      </w:rPr>
      <w:instrText xml:space="preserve"> PAGE </w:instrText>
    </w:r>
    <w:r w:rsidR="00195F2C" w:rsidRPr="00195F2C">
      <w:rPr>
        <w:rStyle w:val="Seitenzahl"/>
        <w:sz w:val="18"/>
      </w:rPr>
      <w:fldChar w:fldCharType="separate"/>
    </w:r>
    <w:r w:rsidR="00075EC8">
      <w:rPr>
        <w:rStyle w:val="Seitenzahl"/>
        <w:noProof/>
        <w:sz w:val="18"/>
      </w:rPr>
      <w:t>1</w:t>
    </w:r>
    <w:r w:rsidR="00195F2C" w:rsidRPr="00195F2C">
      <w:rPr>
        <w:rStyle w:val="Seitenzahl"/>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6A227" w14:textId="77777777" w:rsidR="002671E0" w:rsidRDefault="002671E0" w:rsidP="002671E0">
      <w:pPr>
        <w:spacing w:after="0" w:line="240" w:lineRule="auto"/>
      </w:pPr>
      <w:r>
        <w:separator/>
      </w:r>
    </w:p>
  </w:footnote>
  <w:footnote w:type="continuationSeparator" w:id="0">
    <w:p w14:paraId="6FC7661C" w14:textId="77777777" w:rsidR="002671E0" w:rsidRDefault="002671E0" w:rsidP="002671E0">
      <w:pPr>
        <w:spacing w:after="0" w:line="240" w:lineRule="auto"/>
      </w:pPr>
      <w:r>
        <w:continuationSeparator/>
      </w:r>
    </w:p>
  </w:footnote>
  <w:footnote w:id="1">
    <w:p w14:paraId="58508EB6" w14:textId="0AF5A6E0" w:rsidR="00C7643D" w:rsidRPr="00C7643D" w:rsidRDefault="00C7643D">
      <w:pPr>
        <w:pStyle w:val="Funotentext"/>
        <w:rPr>
          <w:sz w:val="18"/>
          <w:szCs w:val="18"/>
        </w:rPr>
      </w:pPr>
      <w:r w:rsidRPr="00C7643D">
        <w:rPr>
          <w:rStyle w:val="Funotenzeichen"/>
          <w:sz w:val="18"/>
          <w:szCs w:val="18"/>
        </w:rPr>
        <w:footnoteRef/>
      </w:r>
      <w:r w:rsidRPr="00C7643D">
        <w:rPr>
          <w:sz w:val="18"/>
          <w:szCs w:val="18"/>
        </w:rPr>
        <w:t xml:space="preserve"> </w:t>
      </w:r>
      <w:r>
        <w:rPr>
          <w:rFonts w:cs="Helvetica"/>
          <w:color w:val="1C1C1C"/>
          <w:sz w:val="18"/>
          <w:szCs w:val="18"/>
        </w:rPr>
        <w:t>F</w:t>
      </w:r>
      <w:r w:rsidRPr="00C7643D">
        <w:rPr>
          <w:rFonts w:cs="Helvetica"/>
          <w:color w:val="1C1C1C"/>
          <w:sz w:val="18"/>
          <w:szCs w:val="18"/>
        </w:rPr>
        <w:t xml:space="preserve">ormerly the </w:t>
      </w:r>
      <w:r w:rsidRPr="00C7643D">
        <w:rPr>
          <w:rFonts w:cs="Helvetica"/>
          <w:bCs/>
          <w:color w:val="1C1C1C"/>
          <w:sz w:val="18"/>
          <w:szCs w:val="18"/>
        </w:rPr>
        <w:t>Joint Information Systems Committee</w:t>
      </w:r>
      <w:r>
        <w:rPr>
          <w:rFonts w:cs="Helvetica"/>
          <w:bCs/>
          <w:color w:val="1C1C1C"/>
          <w:sz w:val="18"/>
          <w:szCs w:val="18"/>
        </w:rPr>
        <w:t xml:space="preserve">, JISC </w:t>
      </w:r>
      <w:r w:rsidRPr="00C7643D">
        <w:rPr>
          <w:rFonts w:cs="Helvetica"/>
          <w:color w:val="1C1C1C"/>
          <w:sz w:val="18"/>
          <w:szCs w:val="18"/>
        </w:rPr>
        <w:t xml:space="preserve">is a </w:t>
      </w:r>
      <w:r>
        <w:rPr>
          <w:rFonts w:cs="Helvetica"/>
          <w:color w:val="1C1C1C"/>
          <w:sz w:val="18"/>
          <w:szCs w:val="18"/>
        </w:rPr>
        <w:t xml:space="preserve">UK </w:t>
      </w:r>
      <w:r w:rsidRPr="00C7643D">
        <w:rPr>
          <w:rFonts w:cs="Helvetica"/>
          <w:sz w:val="18"/>
          <w:szCs w:val="18"/>
        </w:rPr>
        <w:t>non-departmental public body whose role is to support post-16 and higher education, and research, by providing relevant and useful advice, digital resources and network and technology services. It is funded by all the UK post-16 and higher education funding councils.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8C8F85C"/>
    <w:lvl w:ilvl="0" w:tplc="203C19F4">
      <w:start w:val="1"/>
      <w:numFmt w:val="decimal"/>
      <w:lvlText w:val="%1"/>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2207FE"/>
    <w:multiLevelType w:val="hybridMultilevel"/>
    <w:tmpl w:val="B2805FD2"/>
    <w:lvl w:ilvl="0" w:tplc="16483CA8">
      <w:start w:val="2"/>
      <w:numFmt w:val="decimal"/>
      <w:lvlText w:val="2.3.%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9E84CE5"/>
    <w:multiLevelType w:val="multilevel"/>
    <w:tmpl w:val="8006D680"/>
    <w:lvl w:ilvl="0">
      <w:start w:val="1"/>
      <w:numFmt w:val="decimal"/>
      <w:lvlText w:val="2.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1353048D"/>
    <w:multiLevelType w:val="multilevel"/>
    <w:tmpl w:val="D0725804"/>
    <w:lvl w:ilvl="0">
      <w:start w:val="1"/>
      <w:numFmt w:val="decimal"/>
      <w:lvlText w:val="2.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1D1145E2"/>
    <w:multiLevelType w:val="multilevel"/>
    <w:tmpl w:val="1EDE6E8A"/>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F6943CC"/>
    <w:multiLevelType w:val="hybridMultilevel"/>
    <w:tmpl w:val="3AC6375E"/>
    <w:lvl w:ilvl="0" w:tplc="44365E52">
      <w:start w:val="1"/>
      <w:numFmt w:val="decimal"/>
      <w:lvlText w:val="3.%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1672B02"/>
    <w:multiLevelType w:val="multilevel"/>
    <w:tmpl w:val="A484DA5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22374189"/>
    <w:multiLevelType w:val="multilevel"/>
    <w:tmpl w:val="1EDE6E8A"/>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247E1D65"/>
    <w:multiLevelType w:val="hybridMultilevel"/>
    <w:tmpl w:val="3FE2305C"/>
    <w:lvl w:ilvl="0" w:tplc="0D8E8274">
      <w:start w:val="1"/>
      <w:numFmt w:val="decimal"/>
      <w:lvlText w:val="2.2.%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5BC664F"/>
    <w:multiLevelType w:val="hybridMultilevel"/>
    <w:tmpl w:val="7C94B21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1">
      <w:start w:val="1"/>
      <w:numFmt w:val="bullet"/>
      <w:lvlText w:val=""/>
      <w:lvlJc w:val="left"/>
      <w:pPr>
        <w:ind w:left="1800" w:hanging="360"/>
      </w:pPr>
      <w:rPr>
        <w:rFonts w:ascii="Symbol" w:hAnsi="Symbol"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27F0497D"/>
    <w:multiLevelType w:val="hybridMultilevel"/>
    <w:tmpl w:val="1B305DBC"/>
    <w:lvl w:ilvl="0" w:tplc="13B0B572">
      <w:start w:val="1"/>
      <w:numFmt w:val="decimal"/>
      <w:lvlText w:val="3.%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98F10AA"/>
    <w:multiLevelType w:val="multilevel"/>
    <w:tmpl w:val="195E89EC"/>
    <w:lvl w:ilvl="0">
      <w:start w:val="1"/>
      <w:numFmt w:val="decimal"/>
      <w:lvlText w:val="2.2.%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AA656D6"/>
    <w:multiLevelType w:val="multilevel"/>
    <w:tmpl w:val="7836483E"/>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306020A1"/>
    <w:multiLevelType w:val="hybridMultilevel"/>
    <w:tmpl w:val="D0725804"/>
    <w:lvl w:ilvl="0" w:tplc="5E4AC986">
      <w:start w:val="1"/>
      <w:numFmt w:val="decimal"/>
      <w:lvlText w:val="2.3.%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309870E8"/>
    <w:multiLevelType w:val="hybridMultilevel"/>
    <w:tmpl w:val="7836483E"/>
    <w:lvl w:ilvl="0" w:tplc="A0EC2050">
      <w:start w:val="1"/>
      <w:numFmt w:val="decimal"/>
      <w:lvlText w:val="2.%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349E3FBB"/>
    <w:multiLevelType w:val="hybridMultilevel"/>
    <w:tmpl w:val="3922162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3A2F5611"/>
    <w:multiLevelType w:val="hybridMultilevel"/>
    <w:tmpl w:val="43BC10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3CAA7A30"/>
    <w:multiLevelType w:val="hybridMultilevel"/>
    <w:tmpl w:val="CAA222D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4008326C"/>
    <w:multiLevelType w:val="hybridMultilevel"/>
    <w:tmpl w:val="0B7A89C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43292C85"/>
    <w:multiLevelType w:val="multilevel"/>
    <w:tmpl w:val="B2805FD2"/>
    <w:lvl w:ilvl="0">
      <w:start w:val="2"/>
      <w:numFmt w:val="decimal"/>
      <w:lvlText w:val="2.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4D14998"/>
    <w:multiLevelType w:val="multilevel"/>
    <w:tmpl w:val="91DAE838"/>
    <w:lvl w:ilvl="0">
      <w:start w:val="1"/>
      <w:numFmt w:val="decimal"/>
      <w:lvlText w:val="2.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455A468D"/>
    <w:multiLevelType w:val="hybridMultilevel"/>
    <w:tmpl w:val="80BC30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47607888"/>
    <w:multiLevelType w:val="hybridMultilevel"/>
    <w:tmpl w:val="91DAE838"/>
    <w:lvl w:ilvl="0" w:tplc="0D8E8274">
      <w:start w:val="1"/>
      <w:numFmt w:val="decimal"/>
      <w:lvlText w:val="2.2.%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nsid w:val="49CA1408"/>
    <w:multiLevelType w:val="hybridMultilevel"/>
    <w:tmpl w:val="58D8B4C4"/>
    <w:lvl w:ilvl="0" w:tplc="10A0140A">
      <w:start w:val="1"/>
      <w:numFmt w:val="decimal"/>
      <w:lvlText w:val="2.4.%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0574F96"/>
    <w:multiLevelType w:val="hybridMultilevel"/>
    <w:tmpl w:val="F1027E8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52E30380"/>
    <w:multiLevelType w:val="hybridMultilevel"/>
    <w:tmpl w:val="EEA28426"/>
    <w:lvl w:ilvl="0" w:tplc="0407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53D844EE"/>
    <w:multiLevelType w:val="hybridMultilevel"/>
    <w:tmpl w:val="5098341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5D0C6E97"/>
    <w:multiLevelType w:val="multilevel"/>
    <w:tmpl w:val="91DAE838"/>
    <w:lvl w:ilvl="0">
      <w:start w:val="1"/>
      <w:numFmt w:val="decimal"/>
      <w:lvlText w:val="2.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nsid w:val="60074930"/>
    <w:multiLevelType w:val="hybridMultilevel"/>
    <w:tmpl w:val="11AE8D4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607124F5"/>
    <w:multiLevelType w:val="multilevel"/>
    <w:tmpl w:val="3AC6375E"/>
    <w:lvl w:ilvl="0">
      <w:start w:val="1"/>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2CD2C7F"/>
    <w:multiLevelType w:val="hybridMultilevel"/>
    <w:tmpl w:val="6C9E669E"/>
    <w:lvl w:ilvl="0" w:tplc="203C19F4">
      <w:start w:val="1"/>
      <w:numFmt w:val="decimal"/>
      <w:lvlText w:val="%1"/>
      <w:lvlJc w:val="left"/>
      <w:pPr>
        <w:ind w:left="720" w:hanging="360"/>
      </w:pPr>
      <w:rPr>
        <w:rFonts w:hint="default"/>
      </w:rPr>
    </w:lvl>
    <w:lvl w:ilvl="1" w:tplc="0407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65897635"/>
    <w:multiLevelType w:val="hybridMultilevel"/>
    <w:tmpl w:val="31866B16"/>
    <w:lvl w:ilvl="0" w:tplc="5E4AC986">
      <w:start w:val="1"/>
      <w:numFmt w:val="decimal"/>
      <w:lvlText w:val="2.3.%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65D02543"/>
    <w:multiLevelType w:val="hybridMultilevel"/>
    <w:tmpl w:val="8006D680"/>
    <w:lvl w:ilvl="0" w:tplc="5E4AC986">
      <w:start w:val="1"/>
      <w:numFmt w:val="decimal"/>
      <w:lvlText w:val="2.3.%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nsid w:val="68BE0041"/>
    <w:multiLevelType w:val="hybridMultilevel"/>
    <w:tmpl w:val="C44C4BB6"/>
    <w:lvl w:ilvl="0" w:tplc="203C19F4">
      <w:start w:val="1"/>
      <w:numFmt w:val="decimal"/>
      <w:lvlText w:val="%1"/>
      <w:lvlJc w:val="left"/>
      <w:pPr>
        <w:ind w:left="720" w:hanging="360"/>
      </w:pPr>
      <w:rPr>
        <w:rFonts w:hint="default"/>
      </w:rPr>
    </w:lvl>
    <w:lvl w:ilvl="1" w:tplc="69824018">
      <w:start w:val="1"/>
      <w:numFmt w:val="lowerLetter"/>
      <w:lvlText w:val="%2"/>
      <w:lvlJc w:val="left"/>
      <w:pPr>
        <w:ind w:left="360" w:hanging="360"/>
      </w:pPr>
      <w:rPr>
        <w:rFonts w:hint="default"/>
      </w:rPr>
    </w:lvl>
    <w:lvl w:ilvl="2" w:tplc="69824018">
      <w:start w:val="1"/>
      <w:numFmt w:val="lowerLetter"/>
      <w:lvlText w:val="%3"/>
      <w:lvlJc w:val="left"/>
      <w:pPr>
        <w:ind w:left="360" w:hanging="360"/>
      </w:pPr>
      <w:rPr>
        <w:rFont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6B6E2F8D"/>
    <w:multiLevelType w:val="hybridMultilevel"/>
    <w:tmpl w:val="2C064BB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nsid w:val="73544166"/>
    <w:multiLevelType w:val="hybridMultilevel"/>
    <w:tmpl w:val="2A2AD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4842F8B"/>
    <w:multiLevelType w:val="multilevel"/>
    <w:tmpl w:val="80BC30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4ED71A7"/>
    <w:multiLevelType w:val="hybridMultilevel"/>
    <w:tmpl w:val="B6E2AEFE"/>
    <w:lvl w:ilvl="0" w:tplc="04070005">
      <w:start w:val="1"/>
      <w:numFmt w:val="bullet"/>
      <w:lvlText w:val=""/>
      <w:lvlJc w:val="left"/>
      <w:pPr>
        <w:ind w:left="36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79E5252D"/>
    <w:multiLevelType w:val="hybridMultilevel"/>
    <w:tmpl w:val="B3DEEF0A"/>
    <w:lvl w:ilvl="0" w:tplc="203C19F4">
      <w:start w:val="1"/>
      <w:numFmt w:val="decimal"/>
      <w:lvlText w:val="%1"/>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7B68236C"/>
    <w:multiLevelType w:val="hybridMultilevel"/>
    <w:tmpl w:val="3F10A3C8"/>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D532163"/>
    <w:multiLevelType w:val="hybridMultilevel"/>
    <w:tmpl w:val="F276606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36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15"/>
  </w:num>
  <w:num w:numId="4">
    <w:abstractNumId w:val="9"/>
  </w:num>
  <w:num w:numId="5">
    <w:abstractNumId w:val="33"/>
  </w:num>
  <w:num w:numId="6">
    <w:abstractNumId w:val="28"/>
  </w:num>
  <w:num w:numId="7">
    <w:abstractNumId w:val="8"/>
  </w:num>
  <w:num w:numId="8">
    <w:abstractNumId w:val="30"/>
  </w:num>
  <w:num w:numId="9">
    <w:abstractNumId w:val="18"/>
  </w:num>
  <w:num w:numId="10">
    <w:abstractNumId w:val="16"/>
  </w:num>
  <w:num w:numId="11">
    <w:abstractNumId w:val="5"/>
  </w:num>
  <w:num w:numId="12">
    <w:abstractNumId w:val="37"/>
  </w:num>
  <w:num w:numId="13">
    <w:abstractNumId w:val="35"/>
  </w:num>
  <w:num w:numId="14">
    <w:abstractNumId w:val="39"/>
  </w:num>
  <w:num w:numId="15">
    <w:abstractNumId w:val="26"/>
  </w:num>
  <w:num w:numId="16">
    <w:abstractNumId w:val="40"/>
  </w:num>
  <w:num w:numId="17">
    <w:abstractNumId w:val="38"/>
  </w:num>
  <w:num w:numId="18">
    <w:abstractNumId w:val="17"/>
  </w:num>
  <w:num w:numId="19">
    <w:abstractNumId w:val="34"/>
  </w:num>
  <w:num w:numId="20">
    <w:abstractNumId w:val="14"/>
  </w:num>
  <w:num w:numId="21">
    <w:abstractNumId w:val="22"/>
  </w:num>
  <w:num w:numId="22">
    <w:abstractNumId w:val="27"/>
  </w:num>
  <w:num w:numId="23">
    <w:abstractNumId w:val="31"/>
  </w:num>
  <w:num w:numId="24">
    <w:abstractNumId w:val="20"/>
  </w:num>
  <w:num w:numId="25">
    <w:abstractNumId w:val="11"/>
  </w:num>
  <w:num w:numId="26">
    <w:abstractNumId w:val="1"/>
  </w:num>
  <w:num w:numId="27">
    <w:abstractNumId w:val="29"/>
  </w:num>
  <w:num w:numId="28">
    <w:abstractNumId w:val="4"/>
  </w:num>
  <w:num w:numId="29">
    <w:abstractNumId w:val="32"/>
  </w:num>
  <w:num w:numId="30">
    <w:abstractNumId w:val="2"/>
  </w:num>
  <w:num w:numId="31">
    <w:abstractNumId w:val="13"/>
  </w:num>
  <w:num w:numId="32">
    <w:abstractNumId w:val="3"/>
  </w:num>
  <w:num w:numId="33">
    <w:abstractNumId w:val="23"/>
  </w:num>
  <w:num w:numId="34">
    <w:abstractNumId w:val="7"/>
  </w:num>
  <w:num w:numId="35">
    <w:abstractNumId w:val="6"/>
  </w:num>
  <w:num w:numId="36">
    <w:abstractNumId w:val="12"/>
  </w:num>
  <w:num w:numId="37">
    <w:abstractNumId w:val="10"/>
  </w:num>
  <w:num w:numId="38">
    <w:abstractNumId w:val="21"/>
  </w:num>
  <w:num w:numId="39">
    <w:abstractNumId w:val="36"/>
  </w:num>
  <w:num w:numId="40">
    <w:abstractNumId w:val="19"/>
  </w:num>
  <w:num w:numId="41">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301"/>
    <w:rsid w:val="0000118E"/>
    <w:rsid w:val="00003000"/>
    <w:rsid w:val="00005188"/>
    <w:rsid w:val="00011963"/>
    <w:rsid w:val="00011DB3"/>
    <w:rsid w:val="000123B3"/>
    <w:rsid w:val="00012711"/>
    <w:rsid w:val="00022753"/>
    <w:rsid w:val="00023E00"/>
    <w:rsid w:val="00023E56"/>
    <w:rsid w:val="00026AFA"/>
    <w:rsid w:val="00027BBE"/>
    <w:rsid w:val="00035B2E"/>
    <w:rsid w:val="00036C39"/>
    <w:rsid w:val="00036F7C"/>
    <w:rsid w:val="00037B63"/>
    <w:rsid w:val="00040B76"/>
    <w:rsid w:val="00040DFB"/>
    <w:rsid w:val="00041F01"/>
    <w:rsid w:val="000568DB"/>
    <w:rsid w:val="00056BA8"/>
    <w:rsid w:val="00057BEB"/>
    <w:rsid w:val="000656B4"/>
    <w:rsid w:val="00066E33"/>
    <w:rsid w:val="00067E13"/>
    <w:rsid w:val="00070110"/>
    <w:rsid w:val="000713D0"/>
    <w:rsid w:val="000723C8"/>
    <w:rsid w:val="000746F0"/>
    <w:rsid w:val="0007483F"/>
    <w:rsid w:val="00074E4C"/>
    <w:rsid w:val="000759FD"/>
    <w:rsid w:val="00075EC8"/>
    <w:rsid w:val="000819D2"/>
    <w:rsid w:val="000821D8"/>
    <w:rsid w:val="00084929"/>
    <w:rsid w:val="00085888"/>
    <w:rsid w:val="00091958"/>
    <w:rsid w:val="0009261A"/>
    <w:rsid w:val="0009517A"/>
    <w:rsid w:val="00095ED9"/>
    <w:rsid w:val="000978A2"/>
    <w:rsid w:val="000A1320"/>
    <w:rsid w:val="000A289A"/>
    <w:rsid w:val="000A3926"/>
    <w:rsid w:val="000A44C7"/>
    <w:rsid w:val="000A5BCC"/>
    <w:rsid w:val="000B05CB"/>
    <w:rsid w:val="000B0734"/>
    <w:rsid w:val="000D14A7"/>
    <w:rsid w:val="000D5DDC"/>
    <w:rsid w:val="000E0301"/>
    <w:rsid w:val="000E20B5"/>
    <w:rsid w:val="000E2266"/>
    <w:rsid w:val="000E26BD"/>
    <w:rsid w:val="000E67B0"/>
    <w:rsid w:val="000E6DA8"/>
    <w:rsid w:val="000E72EE"/>
    <w:rsid w:val="000E7F59"/>
    <w:rsid w:val="000F28C3"/>
    <w:rsid w:val="000F29DF"/>
    <w:rsid w:val="000F2AF3"/>
    <w:rsid w:val="000F4E1D"/>
    <w:rsid w:val="00103B57"/>
    <w:rsid w:val="00104E1C"/>
    <w:rsid w:val="001057E8"/>
    <w:rsid w:val="00105AE6"/>
    <w:rsid w:val="00107084"/>
    <w:rsid w:val="00107379"/>
    <w:rsid w:val="00113DF9"/>
    <w:rsid w:val="00120656"/>
    <w:rsid w:val="00121043"/>
    <w:rsid w:val="00121E1A"/>
    <w:rsid w:val="00125C13"/>
    <w:rsid w:val="001328A1"/>
    <w:rsid w:val="00141536"/>
    <w:rsid w:val="001416B8"/>
    <w:rsid w:val="00147018"/>
    <w:rsid w:val="0015181C"/>
    <w:rsid w:val="001561F9"/>
    <w:rsid w:val="00166101"/>
    <w:rsid w:val="001670FC"/>
    <w:rsid w:val="00167CBC"/>
    <w:rsid w:val="00171610"/>
    <w:rsid w:val="00176278"/>
    <w:rsid w:val="00176D16"/>
    <w:rsid w:val="001779F0"/>
    <w:rsid w:val="00177D46"/>
    <w:rsid w:val="001915CB"/>
    <w:rsid w:val="00195F2C"/>
    <w:rsid w:val="00196060"/>
    <w:rsid w:val="00196485"/>
    <w:rsid w:val="001A1349"/>
    <w:rsid w:val="001A2770"/>
    <w:rsid w:val="001B046A"/>
    <w:rsid w:val="001B04BD"/>
    <w:rsid w:val="001B4B35"/>
    <w:rsid w:val="001B4CB6"/>
    <w:rsid w:val="001C3D9E"/>
    <w:rsid w:val="001C4169"/>
    <w:rsid w:val="001D1566"/>
    <w:rsid w:val="001D2499"/>
    <w:rsid w:val="001E5728"/>
    <w:rsid w:val="001F0C98"/>
    <w:rsid w:val="001F52BE"/>
    <w:rsid w:val="001F544B"/>
    <w:rsid w:val="002022A6"/>
    <w:rsid w:val="002172D9"/>
    <w:rsid w:val="002212D8"/>
    <w:rsid w:val="00221B4C"/>
    <w:rsid w:val="00222266"/>
    <w:rsid w:val="002232B6"/>
    <w:rsid w:val="0022370D"/>
    <w:rsid w:val="002242A0"/>
    <w:rsid w:val="002268D3"/>
    <w:rsid w:val="00226930"/>
    <w:rsid w:val="00231016"/>
    <w:rsid w:val="0023301B"/>
    <w:rsid w:val="00233E59"/>
    <w:rsid w:val="00235BBC"/>
    <w:rsid w:val="002377E1"/>
    <w:rsid w:val="00237B79"/>
    <w:rsid w:val="00242F29"/>
    <w:rsid w:val="00242F31"/>
    <w:rsid w:val="002471DE"/>
    <w:rsid w:val="00251533"/>
    <w:rsid w:val="00252759"/>
    <w:rsid w:val="00253241"/>
    <w:rsid w:val="00261454"/>
    <w:rsid w:val="002616E3"/>
    <w:rsid w:val="00263494"/>
    <w:rsid w:val="00264239"/>
    <w:rsid w:val="00264E24"/>
    <w:rsid w:val="0026560F"/>
    <w:rsid w:val="00265753"/>
    <w:rsid w:val="002657BB"/>
    <w:rsid w:val="002671E0"/>
    <w:rsid w:val="00267C76"/>
    <w:rsid w:val="002707E6"/>
    <w:rsid w:val="00271AFC"/>
    <w:rsid w:val="002720FF"/>
    <w:rsid w:val="002743BD"/>
    <w:rsid w:val="00276D21"/>
    <w:rsid w:val="00277D68"/>
    <w:rsid w:val="00283ADA"/>
    <w:rsid w:val="002856A8"/>
    <w:rsid w:val="00294A92"/>
    <w:rsid w:val="0029584A"/>
    <w:rsid w:val="002A0517"/>
    <w:rsid w:val="002A3ABE"/>
    <w:rsid w:val="002A727E"/>
    <w:rsid w:val="002A7B65"/>
    <w:rsid w:val="002B0020"/>
    <w:rsid w:val="002C4807"/>
    <w:rsid w:val="002D1056"/>
    <w:rsid w:val="002E72A3"/>
    <w:rsid w:val="002F704B"/>
    <w:rsid w:val="00300584"/>
    <w:rsid w:val="00302150"/>
    <w:rsid w:val="003056E2"/>
    <w:rsid w:val="00305E1A"/>
    <w:rsid w:val="00307D4A"/>
    <w:rsid w:val="00310D4B"/>
    <w:rsid w:val="00311030"/>
    <w:rsid w:val="00314B51"/>
    <w:rsid w:val="00323665"/>
    <w:rsid w:val="003269EE"/>
    <w:rsid w:val="00333108"/>
    <w:rsid w:val="003473C0"/>
    <w:rsid w:val="00361DEA"/>
    <w:rsid w:val="003708B6"/>
    <w:rsid w:val="003709B6"/>
    <w:rsid w:val="00374BC6"/>
    <w:rsid w:val="00376263"/>
    <w:rsid w:val="003829F6"/>
    <w:rsid w:val="0038666D"/>
    <w:rsid w:val="0039398D"/>
    <w:rsid w:val="00395156"/>
    <w:rsid w:val="003974BE"/>
    <w:rsid w:val="003A1814"/>
    <w:rsid w:val="003B66FD"/>
    <w:rsid w:val="003B7E74"/>
    <w:rsid w:val="003C2E77"/>
    <w:rsid w:val="003C357B"/>
    <w:rsid w:val="003C463C"/>
    <w:rsid w:val="003C648B"/>
    <w:rsid w:val="003D1B87"/>
    <w:rsid w:val="003E35D7"/>
    <w:rsid w:val="003E74CC"/>
    <w:rsid w:val="003F527E"/>
    <w:rsid w:val="003F5EDE"/>
    <w:rsid w:val="003F73D1"/>
    <w:rsid w:val="003F73D4"/>
    <w:rsid w:val="004117E6"/>
    <w:rsid w:val="00413646"/>
    <w:rsid w:val="004143C3"/>
    <w:rsid w:val="00420BD5"/>
    <w:rsid w:val="00430B15"/>
    <w:rsid w:val="004314B2"/>
    <w:rsid w:val="00443F63"/>
    <w:rsid w:val="00452441"/>
    <w:rsid w:val="004528C6"/>
    <w:rsid w:val="00456A26"/>
    <w:rsid w:val="00456FD5"/>
    <w:rsid w:val="004669B2"/>
    <w:rsid w:val="00476289"/>
    <w:rsid w:val="00484729"/>
    <w:rsid w:val="00485395"/>
    <w:rsid w:val="004877B0"/>
    <w:rsid w:val="00494F41"/>
    <w:rsid w:val="00495C5F"/>
    <w:rsid w:val="004A2089"/>
    <w:rsid w:val="004A3E00"/>
    <w:rsid w:val="004A3E75"/>
    <w:rsid w:val="004A44D2"/>
    <w:rsid w:val="004B1DCE"/>
    <w:rsid w:val="004B7BFD"/>
    <w:rsid w:val="004B7E71"/>
    <w:rsid w:val="004C01A9"/>
    <w:rsid w:val="004C0B0C"/>
    <w:rsid w:val="004C1108"/>
    <w:rsid w:val="004C1B22"/>
    <w:rsid w:val="004C366C"/>
    <w:rsid w:val="004C6777"/>
    <w:rsid w:val="004D6EB0"/>
    <w:rsid w:val="004E0D6F"/>
    <w:rsid w:val="004E16BB"/>
    <w:rsid w:val="004E2CAA"/>
    <w:rsid w:val="004E703A"/>
    <w:rsid w:val="004F02DF"/>
    <w:rsid w:val="004F20AE"/>
    <w:rsid w:val="004F3D3B"/>
    <w:rsid w:val="004F468D"/>
    <w:rsid w:val="004F648A"/>
    <w:rsid w:val="00505706"/>
    <w:rsid w:val="00510CE9"/>
    <w:rsid w:val="00511A54"/>
    <w:rsid w:val="00511B10"/>
    <w:rsid w:val="005126B6"/>
    <w:rsid w:val="00514CDF"/>
    <w:rsid w:val="005170EA"/>
    <w:rsid w:val="005211EE"/>
    <w:rsid w:val="00524378"/>
    <w:rsid w:val="00524A3B"/>
    <w:rsid w:val="00535DF0"/>
    <w:rsid w:val="00541D31"/>
    <w:rsid w:val="00541FA7"/>
    <w:rsid w:val="0054757F"/>
    <w:rsid w:val="00552399"/>
    <w:rsid w:val="00554DD4"/>
    <w:rsid w:val="0056179C"/>
    <w:rsid w:val="0056587F"/>
    <w:rsid w:val="00572B65"/>
    <w:rsid w:val="00587589"/>
    <w:rsid w:val="00592386"/>
    <w:rsid w:val="00595FE6"/>
    <w:rsid w:val="005A57A4"/>
    <w:rsid w:val="005A6AA2"/>
    <w:rsid w:val="005A6D71"/>
    <w:rsid w:val="005B091E"/>
    <w:rsid w:val="005B0C86"/>
    <w:rsid w:val="005B2B5A"/>
    <w:rsid w:val="005B3EDC"/>
    <w:rsid w:val="005B53CA"/>
    <w:rsid w:val="005B5676"/>
    <w:rsid w:val="005C29F0"/>
    <w:rsid w:val="005C59E4"/>
    <w:rsid w:val="005D0841"/>
    <w:rsid w:val="005D2769"/>
    <w:rsid w:val="005E116F"/>
    <w:rsid w:val="005E118A"/>
    <w:rsid w:val="005F0411"/>
    <w:rsid w:val="005F2632"/>
    <w:rsid w:val="00605590"/>
    <w:rsid w:val="00606850"/>
    <w:rsid w:val="00607F6E"/>
    <w:rsid w:val="0061312F"/>
    <w:rsid w:val="006153DC"/>
    <w:rsid w:val="00617F73"/>
    <w:rsid w:val="00620907"/>
    <w:rsid w:val="00624CF4"/>
    <w:rsid w:val="00630B68"/>
    <w:rsid w:val="00637FA3"/>
    <w:rsid w:val="006404F0"/>
    <w:rsid w:val="006421E1"/>
    <w:rsid w:val="00644D4C"/>
    <w:rsid w:val="00645FD5"/>
    <w:rsid w:val="006479F3"/>
    <w:rsid w:val="00654BB9"/>
    <w:rsid w:val="006667C8"/>
    <w:rsid w:val="00670EFB"/>
    <w:rsid w:val="00672361"/>
    <w:rsid w:val="00672E15"/>
    <w:rsid w:val="00673438"/>
    <w:rsid w:val="00674A36"/>
    <w:rsid w:val="00675A4B"/>
    <w:rsid w:val="00687617"/>
    <w:rsid w:val="006A1F4E"/>
    <w:rsid w:val="006A4363"/>
    <w:rsid w:val="006B398D"/>
    <w:rsid w:val="006B49EE"/>
    <w:rsid w:val="006B7178"/>
    <w:rsid w:val="006C2747"/>
    <w:rsid w:val="006C5226"/>
    <w:rsid w:val="006C5931"/>
    <w:rsid w:val="006D045C"/>
    <w:rsid w:val="006D2FED"/>
    <w:rsid w:val="006D557F"/>
    <w:rsid w:val="006E42AD"/>
    <w:rsid w:val="006E7CE7"/>
    <w:rsid w:val="006F3471"/>
    <w:rsid w:val="006F6DFC"/>
    <w:rsid w:val="00700597"/>
    <w:rsid w:val="00702E63"/>
    <w:rsid w:val="0071106A"/>
    <w:rsid w:val="00715A38"/>
    <w:rsid w:val="007251C7"/>
    <w:rsid w:val="00731FD4"/>
    <w:rsid w:val="007348BD"/>
    <w:rsid w:val="0073595E"/>
    <w:rsid w:val="007507FF"/>
    <w:rsid w:val="007513D2"/>
    <w:rsid w:val="00752247"/>
    <w:rsid w:val="00752DBD"/>
    <w:rsid w:val="00757CD0"/>
    <w:rsid w:val="00771ACB"/>
    <w:rsid w:val="00772B9D"/>
    <w:rsid w:val="007863A3"/>
    <w:rsid w:val="00787958"/>
    <w:rsid w:val="00791C16"/>
    <w:rsid w:val="00792108"/>
    <w:rsid w:val="00792539"/>
    <w:rsid w:val="007A03BE"/>
    <w:rsid w:val="007A04F9"/>
    <w:rsid w:val="007A2EBA"/>
    <w:rsid w:val="007A3736"/>
    <w:rsid w:val="007B2278"/>
    <w:rsid w:val="007B76D6"/>
    <w:rsid w:val="007C093D"/>
    <w:rsid w:val="007C5869"/>
    <w:rsid w:val="007C5CA8"/>
    <w:rsid w:val="007D0912"/>
    <w:rsid w:val="007D2124"/>
    <w:rsid w:val="007D5F30"/>
    <w:rsid w:val="007D6078"/>
    <w:rsid w:val="007D664D"/>
    <w:rsid w:val="007D6EAF"/>
    <w:rsid w:val="007D7743"/>
    <w:rsid w:val="007D7D74"/>
    <w:rsid w:val="007E18E0"/>
    <w:rsid w:val="007E3B49"/>
    <w:rsid w:val="007E7D92"/>
    <w:rsid w:val="007F2016"/>
    <w:rsid w:val="007F735B"/>
    <w:rsid w:val="0080110D"/>
    <w:rsid w:val="00801A0D"/>
    <w:rsid w:val="008046B9"/>
    <w:rsid w:val="008076D4"/>
    <w:rsid w:val="00813EDB"/>
    <w:rsid w:val="008172C6"/>
    <w:rsid w:val="00823595"/>
    <w:rsid w:val="008267DD"/>
    <w:rsid w:val="00826CE6"/>
    <w:rsid w:val="00827287"/>
    <w:rsid w:val="00835C43"/>
    <w:rsid w:val="008373BC"/>
    <w:rsid w:val="00841903"/>
    <w:rsid w:val="00842539"/>
    <w:rsid w:val="00842D8B"/>
    <w:rsid w:val="00846A57"/>
    <w:rsid w:val="0085229B"/>
    <w:rsid w:val="00853D40"/>
    <w:rsid w:val="008547D7"/>
    <w:rsid w:val="008561D5"/>
    <w:rsid w:val="00856772"/>
    <w:rsid w:val="00856E26"/>
    <w:rsid w:val="00863F6A"/>
    <w:rsid w:val="0086642D"/>
    <w:rsid w:val="00866527"/>
    <w:rsid w:val="008668D9"/>
    <w:rsid w:val="0087063A"/>
    <w:rsid w:val="0087364F"/>
    <w:rsid w:val="0087656C"/>
    <w:rsid w:val="00877DB6"/>
    <w:rsid w:val="00880066"/>
    <w:rsid w:val="0088043D"/>
    <w:rsid w:val="00881377"/>
    <w:rsid w:val="008872D6"/>
    <w:rsid w:val="00891D1D"/>
    <w:rsid w:val="008A06C7"/>
    <w:rsid w:val="008A1F0A"/>
    <w:rsid w:val="008A3A6C"/>
    <w:rsid w:val="008A7C0A"/>
    <w:rsid w:val="008B32BA"/>
    <w:rsid w:val="008C3D07"/>
    <w:rsid w:val="008C5867"/>
    <w:rsid w:val="008D3FC9"/>
    <w:rsid w:val="008E2EDF"/>
    <w:rsid w:val="008E6FE7"/>
    <w:rsid w:val="008F1B40"/>
    <w:rsid w:val="008F2837"/>
    <w:rsid w:val="008F483B"/>
    <w:rsid w:val="008F74CA"/>
    <w:rsid w:val="00917D79"/>
    <w:rsid w:val="0092677E"/>
    <w:rsid w:val="00926C04"/>
    <w:rsid w:val="00926C59"/>
    <w:rsid w:val="00926D90"/>
    <w:rsid w:val="00936196"/>
    <w:rsid w:val="00940120"/>
    <w:rsid w:val="00944D0E"/>
    <w:rsid w:val="00945CF2"/>
    <w:rsid w:val="00953170"/>
    <w:rsid w:val="00954DA2"/>
    <w:rsid w:val="00956356"/>
    <w:rsid w:val="0096049E"/>
    <w:rsid w:val="00961A38"/>
    <w:rsid w:val="00963C56"/>
    <w:rsid w:val="00964D3B"/>
    <w:rsid w:val="0097195A"/>
    <w:rsid w:val="0097206C"/>
    <w:rsid w:val="009856CE"/>
    <w:rsid w:val="009906DC"/>
    <w:rsid w:val="00990841"/>
    <w:rsid w:val="009946D7"/>
    <w:rsid w:val="009A0428"/>
    <w:rsid w:val="009A625E"/>
    <w:rsid w:val="009B5636"/>
    <w:rsid w:val="009C3916"/>
    <w:rsid w:val="009C4D90"/>
    <w:rsid w:val="009C5734"/>
    <w:rsid w:val="009D1A43"/>
    <w:rsid w:val="009D4F28"/>
    <w:rsid w:val="009D53BA"/>
    <w:rsid w:val="009D6E54"/>
    <w:rsid w:val="009E05DD"/>
    <w:rsid w:val="009E568B"/>
    <w:rsid w:val="009E7039"/>
    <w:rsid w:val="009F0A8B"/>
    <w:rsid w:val="009F0CC5"/>
    <w:rsid w:val="009F4662"/>
    <w:rsid w:val="009F6AD1"/>
    <w:rsid w:val="00A075A7"/>
    <w:rsid w:val="00A07FC5"/>
    <w:rsid w:val="00A123DF"/>
    <w:rsid w:val="00A1412F"/>
    <w:rsid w:val="00A16782"/>
    <w:rsid w:val="00A17236"/>
    <w:rsid w:val="00A2574D"/>
    <w:rsid w:val="00A26FC1"/>
    <w:rsid w:val="00A314ED"/>
    <w:rsid w:val="00A420EB"/>
    <w:rsid w:val="00A453E4"/>
    <w:rsid w:val="00A47EB9"/>
    <w:rsid w:val="00A549D3"/>
    <w:rsid w:val="00A56A11"/>
    <w:rsid w:val="00A63E4C"/>
    <w:rsid w:val="00A7695E"/>
    <w:rsid w:val="00A77040"/>
    <w:rsid w:val="00A91B66"/>
    <w:rsid w:val="00A92624"/>
    <w:rsid w:val="00A958C8"/>
    <w:rsid w:val="00A95E43"/>
    <w:rsid w:val="00AB253E"/>
    <w:rsid w:val="00AB476B"/>
    <w:rsid w:val="00AB5122"/>
    <w:rsid w:val="00AB5B62"/>
    <w:rsid w:val="00AB6360"/>
    <w:rsid w:val="00AB673F"/>
    <w:rsid w:val="00AB6DF2"/>
    <w:rsid w:val="00AC39FE"/>
    <w:rsid w:val="00AC538D"/>
    <w:rsid w:val="00AD1B8F"/>
    <w:rsid w:val="00AD2845"/>
    <w:rsid w:val="00AD2E42"/>
    <w:rsid w:val="00AD76F1"/>
    <w:rsid w:val="00AE12E6"/>
    <w:rsid w:val="00AE25BD"/>
    <w:rsid w:val="00AE6D6E"/>
    <w:rsid w:val="00AE6E78"/>
    <w:rsid w:val="00AF53E2"/>
    <w:rsid w:val="00AF7146"/>
    <w:rsid w:val="00B0102D"/>
    <w:rsid w:val="00B01180"/>
    <w:rsid w:val="00B053FD"/>
    <w:rsid w:val="00B05455"/>
    <w:rsid w:val="00B069C5"/>
    <w:rsid w:val="00B1216B"/>
    <w:rsid w:val="00B12841"/>
    <w:rsid w:val="00B25971"/>
    <w:rsid w:val="00B26C40"/>
    <w:rsid w:val="00B31BF1"/>
    <w:rsid w:val="00B326FE"/>
    <w:rsid w:val="00B33071"/>
    <w:rsid w:val="00B34F98"/>
    <w:rsid w:val="00B370F0"/>
    <w:rsid w:val="00B412DA"/>
    <w:rsid w:val="00B44714"/>
    <w:rsid w:val="00B46972"/>
    <w:rsid w:val="00B50005"/>
    <w:rsid w:val="00B500E6"/>
    <w:rsid w:val="00B52467"/>
    <w:rsid w:val="00B61952"/>
    <w:rsid w:val="00B63EA1"/>
    <w:rsid w:val="00B65F17"/>
    <w:rsid w:val="00B66475"/>
    <w:rsid w:val="00B71266"/>
    <w:rsid w:val="00B83D37"/>
    <w:rsid w:val="00B84301"/>
    <w:rsid w:val="00B872DD"/>
    <w:rsid w:val="00BA0803"/>
    <w:rsid w:val="00BA4AF4"/>
    <w:rsid w:val="00BA74DA"/>
    <w:rsid w:val="00BB29C5"/>
    <w:rsid w:val="00BB4457"/>
    <w:rsid w:val="00BC2963"/>
    <w:rsid w:val="00BC4585"/>
    <w:rsid w:val="00BC462E"/>
    <w:rsid w:val="00BC5801"/>
    <w:rsid w:val="00BD1031"/>
    <w:rsid w:val="00BD29EC"/>
    <w:rsid w:val="00BD7032"/>
    <w:rsid w:val="00BD71C6"/>
    <w:rsid w:val="00BE153D"/>
    <w:rsid w:val="00BE25F7"/>
    <w:rsid w:val="00BE2D8B"/>
    <w:rsid w:val="00BE3FCB"/>
    <w:rsid w:val="00BF4F60"/>
    <w:rsid w:val="00BF6A96"/>
    <w:rsid w:val="00C025E8"/>
    <w:rsid w:val="00C03007"/>
    <w:rsid w:val="00C04FAF"/>
    <w:rsid w:val="00C05779"/>
    <w:rsid w:val="00C125CA"/>
    <w:rsid w:val="00C13034"/>
    <w:rsid w:val="00C174C6"/>
    <w:rsid w:val="00C21AEF"/>
    <w:rsid w:val="00C25731"/>
    <w:rsid w:val="00C27C0C"/>
    <w:rsid w:val="00C3067F"/>
    <w:rsid w:val="00C33448"/>
    <w:rsid w:val="00C36FBF"/>
    <w:rsid w:val="00C3763A"/>
    <w:rsid w:val="00C4199D"/>
    <w:rsid w:val="00C421CB"/>
    <w:rsid w:val="00C430E3"/>
    <w:rsid w:val="00C44BDA"/>
    <w:rsid w:val="00C509D4"/>
    <w:rsid w:val="00C6205F"/>
    <w:rsid w:val="00C64369"/>
    <w:rsid w:val="00C65C8F"/>
    <w:rsid w:val="00C669D0"/>
    <w:rsid w:val="00C74556"/>
    <w:rsid w:val="00C7643D"/>
    <w:rsid w:val="00C768FB"/>
    <w:rsid w:val="00C827CF"/>
    <w:rsid w:val="00C82EAB"/>
    <w:rsid w:val="00C86B46"/>
    <w:rsid w:val="00C919F7"/>
    <w:rsid w:val="00C9726F"/>
    <w:rsid w:val="00C972F0"/>
    <w:rsid w:val="00CA6333"/>
    <w:rsid w:val="00CB140F"/>
    <w:rsid w:val="00CB4D9C"/>
    <w:rsid w:val="00CB5F5D"/>
    <w:rsid w:val="00CB6C29"/>
    <w:rsid w:val="00CC108C"/>
    <w:rsid w:val="00CC1CD9"/>
    <w:rsid w:val="00CC1F81"/>
    <w:rsid w:val="00CC4A95"/>
    <w:rsid w:val="00CC66D2"/>
    <w:rsid w:val="00CE2E70"/>
    <w:rsid w:val="00CE2EF0"/>
    <w:rsid w:val="00CE63F7"/>
    <w:rsid w:val="00CF6A58"/>
    <w:rsid w:val="00CF7199"/>
    <w:rsid w:val="00CF75C7"/>
    <w:rsid w:val="00CF7C1A"/>
    <w:rsid w:val="00D01987"/>
    <w:rsid w:val="00D0324E"/>
    <w:rsid w:val="00D04585"/>
    <w:rsid w:val="00D07E4B"/>
    <w:rsid w:val="00D17386"/>
    <w:rsid w:val="00D21876"/>
    <w:rsid w:val="00D30FEC"/>
    <w:rsid w:val="00D34165"/>
    <w:rsid w:val="00D41586"/>
    <w:rsid w:val="00D43D52"/>
    <w:rsid w:val="00D5641E"/>
    <w:rsid w:val="00D60167"/>
    <w:rsid w:val="00D67B31"/>
    <w:rsid w:val="00D67DE3"/>
    <w:rsid w:val="00D7041F"/>
    <w:rsid w:val="00D73DB5"/>
    <w:rsid w:val="00D75D33"/>
    <w:rsid w:val="00D80E1E"/>
    <w:rsid w:val="00D81545"/>
    <w:rsid w:val="00D87005"/>
    <w:rsid w:val="00D91B3B"/>
    <w:rsid w:val="00DA21E0"/>
    <w:rsid w:val="00DA54C4"/>
    <w:rsid w:val="00DB0CB4"/>
    <w:rsid w:val="00DB1336"/>
    <w:rsid w:val="00DB431D"/>
    <w:rsid w:val="00DB4663"/>
    <w:rsid w:val="00DC5AB0"/>
    <w:rsid w:val="00DE0388"/>
    <w:rsid w:val="00DF6ACA"/>
    <w:rsid w:val="00DF7136"/>
    <w:rsid w:val="00E06CDD"/>
    <w:rsid w:val="00E15066"/>
    <w:rsid w:val="00E16334"/>
    <w:rsid w:val="00E20632"/>
    <w:rsid w:val="00E24029"/>
    <w:rsid w:val="00E32989"/>
    <w:rsid w:val="00E34D16"/>
    <w:rsid w:val="00E35215"/>
    <w:rsid w:val="00E36330"/>
    <w:rsid w:val="00E436D0"/>
    <w:rsid w:val="00E4750B"/>
    <w:rsid w:val="00E50C99"/>
    <w:rsid w:val="00E53F2E"/>
    <w:rsid w:val="00E551D6"/>
    <w:rsid w:val="00E55706"/>
    <w:rsid w:val="00E712CC"/>
    <w:rsid w:val="00E7283B"/>
    <w:rsid w:val="00E72B1C"/>
    <w:rsid w:val="00E80BBB"/>
    <w:rsid w:val="00E80EDC"/>
    <w:rsid w:val="00E825D3"/>
    <w:rsid w:val="00E84264"/>
    <w:rsid w:val="00E97002"/>
    <w:rsid w:val="00E97771"/>
    <w:rsid w:val="00EA064B"/>
    <w:rsid w:val="00EA0C8E"/>
    <w:rsid w:val="00EA5EE3"/>
    <w:rsid w:val="00EB20B4"/>
    <w:rsid w:val="00EB25A0"/>
    <w:rsid w:val="00EB3255"/>
    <w:rsid w:val="00EB5CD9"/>
    <w:rsid w:val="00EB5EBC"/>
    <w:rsid w:val="00EB7B00"/>
    <w:rsid w:val="00ED1645"/>
    <w:rsid w:val="00ED7733"/>
    <w:rsid w:val="00EE45D3"/>
    <w:rsid w:val="00EE5C09"/>
    <w:rsid w:val="00EF09E4"/>
    <w:rsid w:val="00EF0E41"/>
    <w:rsid w:val="00EF2FF1"/>
    <w:rsid w:val="00EF2FF6"/>
    <w:rsid w:val="00EF3AB8"/>
    <w:rsid w:val="00EF5B36"/>
    <w:rsid w:val="00F02B02"/>
    <w:rsid w:val="00F04B05"/>
    <w:rsid w:val="00F06170"/>
    <w:rsid w:val="00F07BE9"/>
    <w:rsid w:val="00F14DCB"/>
    <w:rsid w:val="00F16A22"/>
    <w:rsid w:val="00F208C8"/>
    <w:rsid w:val="00F236E6"/>
    <w:rsid w:val="00F24469"/>
    <w:rsid w:val="00F34D17"/>
    <w:rsid w:val="00F3636C"/>
    <w:rsid w:val="00F51537"/>
    <w:rsid w:val="00F52089"/>
    <w:rsid w:val="00F55096"/>
    <w:rsid w:val="00F551B5"/>
    <w:rsid w:val="00F57F4A"/>
    <w:rsid w:val="00F61960"/>
    <w:rsid w:val="00F61C6B"/>
    <w:rsid w:val="00F64196"/>
    <w:rsid w:val="00F674D0"/>
    <w:rsid w:val="00F71408"/>
    <w:rsid w:val="00F72B9D"/>
    <w:rsid w:val="00F72D9B"/>
    <w:rsid w:val="00F73E27"/>
    <w:rsid w:val="00F8041F"/>
    <w:rsid w:val="00F815A1"/>
    <w:rsid w:val="00F8304F"/>
    <w:rsid w:val="00F833DA"/>
    <w:rsid w:val="00F84ACD"/>
    <w:rsid w:val="00F84B0E"/>
    <w:rsid w:val="00F860F8"/>
    <w:rsid w:val="00F90A2D"/>
    <w:rsid w:val="00F92668"/>
    <w:rsid w:val="00F92E16"/>
    <w:rsid w:val="00F93A35"/>
    <w:rsid w:val="00FA0509"/>
    <w:rsid w:val="00FA43B2"/>
    <w:rsid w:val="00FA481A"/>
    <w:rsid w:val="00FA544E"/>
    <w:rsid w:val="00FA5DB6"/>
    <w:rsid w:val="00FA6BD2"/>
    <w:rsid w:val="00FB5082"/>
    <w:rsid w:val="00FB5616"/>
    <w:rsid w:val="00FB66B9"/>
    <w:rsid w:val="00FC70F2"/>
    <w:rsid w:val="00FD05C9"/>
    <w:rsid w:val="00FD1FD6"/>
    <w:rsid w:val="00FD6B20"/>
    <w:rsid w:val="00FE0651"/>
    <w:rsid w:val="00FE2FFB"/>
    <w:rsid w:val="00FE5A20"/>
    <w:rsid w:val="00FF33E0"/>
    <w:rsid w:val="00FF54D5"/>
    <w:rsid w:val="00FF5B46"/>
    <w:rsid w:val="00FF5CAA"/>
    <w:rsid w:val="00FF74A8"/>
    <w:rsid w:val="00FF76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2C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036F7C"/>
    <w:pPr>
      <w:keepNext/>
      <w:keepLines/>
      <w:spacing w:after="0" w:line="240" w:lineRule="auto"/>
      <w:ind w:left="567"/>
      <w:outlineLvl w:val="0"/>
    </w:pPr>
    <w:rPr>
      <w:rFonts w:eastAsiaTheme="majorEastAsia" w:cstheme="majorBidi"/>
      <w:b/>
      <w:bCs/>
      <w:color w:val="345A8A" w:themeColor="accent1" w:themeShade="B5"/>
      <w:sz w:val="24"/>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0E0301"/>
    <w:pPr>
      <w:spacing w:after="0" w:line="240" w:lineRule="auto"/>
    </w:pPr>
  </w:style>
  <w:style w:type="paragraph" w:styleId="Kopfzeile">
    <w:name w:val="header"/>
    <w:basedOn w:val="Standard"/>
    <w:link w:val="KopfzeileZeichen"/>
    <w:uiPriority w:val="99"/>
    <w:unhideWhenUsed/>
    <w:rsid w:val="002671E0"/>
    <w:pPr>
      <w:tabs>
        <w:tab w:val="center" w:pos="4513"/>
        <w:tab w:val="right" w:pos="9026"/>
      </w:tabs>
      <w:spacing w:after="0" w:line="240" w:lineRule="auto"/>
    </w:pPr>
  </w:style>
  <w:style w:type="character" w:customStyle="1" w:styleId="KopfzeileZeichen">
    <w:name w:val="Kopfzeile Zeichen"/>
    <w:basedOn w:val="Absatzstandardschriftart"/>
    <w:link w:val="Kopfzeile"/>
    <w:uiPriority w:val="99"/>
    <w:rsid w:val="002671E0"/>
  </w:style>
  <w:style w:type="paragraph" w:styleId="Fuzeile">
    <w:name w:val="footer"/>
    <w:basedOn w:val="Standard"/>
    <w:link w:val="FuzeileZeichen"/>
    <w:uiPriority w:val="99"/>
    <w:unhideWhenUsed/>
    <w:rsid w:val="002671E0"/>
    <w:pPr>
      <w:tabs>
        <w:tab w:val="center" w:pos="4513"/>
        <w:tab w:val="right" w:pos="9026"/>
      </w:tabs>
      <w:spacing w:after="0" w:line="240" w:lineRule="auto"/>
    </w:pPr>
  </w:style>
  <w:style w:type="character" w:customStyle="1" w:styleId="FuzeileZeichen">
    <w:name w:val="Fußzeile Zeichen"/>
    <w:basedOn w:val="Absatzstandardschriftart"/>
    <w:link w:val="Fuzeile"/>
    <w:uiPriority w:val="99"/>
    <w:rsid w:val="002671E0"/>
  </w:style>
  <w:style w:type="character" w:styleId="Link">
    <w:name w:val="Hyperlink"/>
    <w:basedOn w:val="Absatzstandardschriftart"/>
    <w:uiPriority w:val="99"/>
    <w:unhideWhenUsed/>
    <w:rsid w:val="009946D7"/>
    <w:rPr>
      <w:color w:val="0000FF" w:themeColor="hyperlink"/>
      <w:u w:val="single"/>
    </w:rPr>
  </w:style>
  <w:style w:type="character" w:styleId="GesichteterLink">
    <w:name w:val="FollowedHyperlink"/>
    <w:basedOn w:val="Absatzstandardschriftart"/>
    <w:uiPriority w:val="99"/>
    <w:semiHidden/>
    <w:unhideWhenUsed/>
    <w:rsid w:val="00624CF4"/>
    <w:rPr>
      <w:color w:val="800080" w:themeColor="followedHyperlink"/>
      <w:u w:val="single"/>
    </w:rPr>
  </w:style>
  <w:style w:type="character" w:styleId="Seitenzahl">
    <w:name w:val="page number"/>
    <w:basedOn w:val="Absatzstandardschriftart"/>
    <w:rsid w:val="00195F2C"/>
  </w:style>
  <w:style w:type="paragraph" w:styleId="StandardWeb">
    <w:name w:val="Normal (Web)"/>
    <w:basedOn w:val="Standard"/>
    <w:uiPriority w:val="99"/>
    <w:unhideWhenUsed/>
    <w:rsid w:val="00877DB6"/>
    <w:pPr>
      <w:spacing w:before="100" w:beforeAutospacing="1" w:after="100" w:afterAutospacing="1" w:line="240" w:lineRule="auto"/>
    </w:pPr>
    <w:rPr>
      <w:rFonts w:ascii="Times" w:hAnsi="Times" w:cs="Times New Roman"/>
      <w:sz w:val="20"/>
      <w:szCs w:val="20"/>
      <w:lang w:val="de-CH" w:eastAsia="de-DE"/>
    </w:rPr>
  </w:style>
  <w:style w:type="paragraph" w:styleId="Sprechblasentext">
    <w:name w:val="Balloon Text"/>
    <w:basedOn w:val="Standard"/>
    <w:link w:val="SprechblasentextZeichen"/>
    <w:uiPriority w:val="99"/>
    <w:semiHidden/>
    <w:unhideWhenUsed/>
    <w:rsid w:val="003B66FD"/>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B66FD"/>
    <w:rPr>
      <w:rFonts w:ascii="Lucida Grande" w:hAnsi="Lucida Grande" w:cs="Lucida Grande"/>
      <w:sz w:val="18"/>
      <w:szCs w:val="18"/>
    </w:rPr>
  </w:style>
  <w:style w:type="paragraph" w:styleId="Listenabsatz">
    <w:name w:val="List Paragraph"/>
    <w:basedOn w:val="Standard"/>
    <w:uiPriority w:val="34"/>
    <w:qFormat/>
    <w:rsid w:val="00FC70F2"/>
    <w:pPr>
      <w:ind w:left="720"/>
      <w:contextualSpacing/>
    </w:pPr>
  </w:style>
  <w:style w:type="paragraph" w:styleId="Funotentext">
    <w:name w:val="footnote text"/>
    <w:basedOn w:val="Standard"/>
    <w:link w:val="FunotentextZeichen"/>
    <w:uiPriority w:val="99"/>
    <w:unhideWhenUsed/>
    <w:rsid w:val="00C7643D"/>
    <w:pPr>
      <w:spacing w:after="0" w:line="240" w:lineRule="auto"/>
    </w:pPr>
    <w:rPr>
      <w:sz w:val="24"/>
      <w:szCs w:val="24"/>
    </w:rPr>
  </w:style>
  <w:style w:type="character" w:customStyle="1" w:styleId="FunotentextZeichen">
    <w:name w:val="Fußnotentext Zeichen"/>
    <w:basedOn w:val="Absatzstandardschriftart"/>
    <w:link w:val="Funotentext"/>
    <w:uiPriority w:val="99"/>
    <w:rsid w:val="00C7643D"/>
    <w:rPr>
      <w:sz w:val="24"/>
      <w:szCs w:val="24"/>
    </w:rPr>
  </w:style>
  <w:style w:type="character" w:styleId="Funotenzeichen">
    <w:name w:val="footnote reference"/>
    <w:basedOn w:val="Absatzstandardschriftart"/>
    <w:uiPriority w:val="99"/>
    <w:unhideWhenUsed/>
    <w:rsid w:val="00C7643D"/>
    <w:rPr>
      <w:vertAlign w:val="superscript"/>
    </w:rPr>
  </w:style>
  <w:style w:type="paragraph" w:styleId="Verzeichnis1">
    <w:name w:val="toc 1"/>
    <w:basedOn w:val="Standard"/>
    <w:next w:val="Standard"/>
    <w:autoRedefine/>
    <w:uiPriority w:val="39"/>
    <w:unhideWhenUsed/>
    <w:rsid w:val="00036F7C"/>
  </w:style>
  <w:style w:type="paragraph" w:styleId="Verzeichnis2">
    <w:name w:val="toc 2"/>
    <w:basedOn w:val="Standard"/>
    <w:next w:val="Standard"/>
    <w:autoRedefine/>
    <w:uiPriority w:val="39"/>
    <w:unhideWhenUsed/>
    <w:rsid w:val="00036F7C"/>
    <w:pPr>
      <w:ind w:left="220"/>
    </w:pPr>
  </w:style>
  <w:style w:type="paragraph" w:styleId="Verzeichnis3">
    <w:name w:val="toc 3"/>
    <w:basedOn w:val="Standard"/>
    <w:next w:val="Standard"/>
    <w:autoRedefine/>
    <w:uiPriority w:val="39"/>
    <w:unhideWhenUsed/>
    <w:rsid w:val="00036F7C"/>
    <w:pPr>
      <w:ind w:left="440"/>
    </w:pPr>
  </w:style>
  <w:style w:type="paragraph" w:styleId="Verzeichnis4">
    <w:name w:val="toc 4"/>
    <w:basedOn w:val="Standard"/>
    <w:next w:val="Standard"/>
    <w:autoRedefine/>
    <w:uiPriority w:val="39"/>
    <w:unhideWhenUsed/>
    <w:rsid w:val="00036F7C"/>
    <w:pPr>
      <w:ind w:left="660"/>
    </w:pPr>
  </w:style>
  <w:style w:type="paragraph" w:styleId="Verzeichnis5">
    <w:name w:val="toc 5"/>
    <w:basedOn w:val="Standard"/>
    <w:next w:val="Standard"/>
    <w:autoRedefine/>
    <w:uiPriority w:val="39"/>
    <w:unhideWhenUsed/>
    <w:rsid w:val="00036F7C"/>
    <w:pPr>
      <w:ind w:left="880"/>
    </w:pPr>
  </w:style>
  <w:style w:type="paragraph" w:styleId="Verzeichnis6">
    <w:name w:val="toc 6"/>
    <w:basedOn w:val="Standard"/>
    <w:next w:val="Standard"/>
    <w:autoRedefine/>
    <w:uiPriority w:val="39"/>
    <w:unhideWhenUsed/>
    <w:rsid w:val="00036F7C"/>
    <w:pPr>
      <w:ind w:left="1100"/>
    </w:pPr>
  </w:style>
  <w:style w:type="paragraph" w:styleId="Verzeichnis7">
    <w:name w:val="toc 7"/>
    <w:basedOn w:val="Standard"/>
    <w:next w:val="Standard"/>
    <w:autoRedefine/>
    <w:uiPriority w:val="39"/>
    <w:unhideWhenUsed/>
    <w:rsid w:val="00036F7C"/>
    <w:pPr>
      <w:ind w:left="1320"/>
    </w:pPr>
  </w:style>
  <w:style w:type="paragraph" w:styleId="Verzeichnis8">
    <w:name w:val="toc 8"/>
    <w:basedOn w:val="Standard"/>
    <w:next w:val="Standard"/>
    <w:autoRedefine/>
    <w:uiPriority w:val="39"/>
    <w:unhideWhenUsed/>
    <w:rsid w:val="00036F7C"/>
    <w:pPr>
      <w:ind w:left="1540"/>
    </w:pPr>
  </w:style>
  <w:style w:type="paragraph" w:styleId="Verzeichnis9">
    <w:name w:val="toc 9"/>
    <w:basedOn w:val="Standard"/>
    <w:next w:val="Standard"/>
    <w:autoRedefine/>
    <w:uiPriority w:val="39"/>
    <w:unhideWhenUsed/>
    <w:rsid w:val="00036F7C"/>
    <w:pPr>
      <w:ind w:left="1760"/>
    </w:pPr>
  </w:style>
  <w:style w:type="character" w:customStyle="1" w:styleId="berschrift1Zeichen">
    <w:name w:val="Überschrift 1 Zeichen"/>
    <w:basedOn w:val="Absatzstandardschriftart"/>
    <w:link w:val="berschrift1"/>
    <w:uiPriority w:val="9"/>
    <w:rsid w:val="00036F7C"/>
    <w:rPr>
      <w:rFonts w:eastAsiaTheme="majorEastAsia" w:cstheme="majorBidi"/>
      <w:b/>
      <w:bCs/>
      <w:color w:val="345A8A" w:themeColor="accent1" w:themeShade="B5"/>
      <w:sz w:val="24"/>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036F7C"/>
    <w:pPr>
      <w:keepNext/>
      <w:keepLines/>
      <w:spacing w:after="0" w:line="240" w:lineRule="auto"/>
      <w:ind w:left="567"/>
      <w:outlineLvl w:val="0"/>
    </w:pPr>
    <w:rPr>
      <w:rFonts w:eastAsiaTheme="majorEastAsia" w:cstheme="majorBidi"/>
      <w:b/>
      <w:bCs/>
      <w:color w:val="345A8A" w:themeColor="accent1" w:themeShade="B5"/>
      <w:sz w:val="24"/>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0E0301"/>
    <w:pPr>
      <w:spacing w:after="0" w:line="240" w:lineRule="auto"/>
    </w:pPr>
  </w:style>
  <w:style w:type="paragraph" w:styleId="Kopfzeile">
    <w:name w:val="header"/>
    <w:basedOn w:val="Standard"/>
    <w:link w:val="KopfzeileZeichen"/>
    <w:uiPriority w:val="99"/>
    <w:unhideWhenUsed/>
    <w:rsid w:val="002671E0"/>
    <w:pPr>
      <w:tabs>
        <w:tab w:val="center" w:pos="4513"/>
        <w:tab w:val="right" w:pos="9026"/>
      </w:tabs>
      <w:spacing w:after="0" w:line="240" w:lineRule="auto"/>
    </w:pPr>
  </w:style>
  <w:style w:type="character" w:customStyle="1" w:styleId="KopfzeileZeichen">
    <w:name w:val="Kopfzeile Zeichen"/>
    <w:basedOn w:val="Absatzstandardschriftart"/>
    <w:link w:val="Kopfzeile"/>
    <w:uiPriority w:val="99"/>
    <w:rsid w:val="002671E0"/>
  </w:style>
  <w:style w:type="paragraph" w:styleId="Fuzeile">
    <w:name w:val="footer"/>
    <w:basedOn w:val="Standard"/>
    <w:link w:val="FuzeileZeichen"/>
    <w:uiPriority w:val="99"/>
    <w:unhideWhenUsed/>
    <w:rsid w:val="002671E0"/>
    <w:pPr>
      <w:tabs>
        <w:tab w:val="center" w:pos="4513"/>
        <w:tab w:val="right" w:pos="9026"/>
      </w:tabs>
      <w:spacing w:after="0" w:line="240" w:lineRule="auto"/>
    </w:pPr>
  </w:style>
  <w:style w:type="character" w:customStyle="1" w:styleId="FuzeileZeichen">
    <w:name w:val="Fußzeile Zeichen"/>
    <w:basedOn w:val="Absatzstandardschriftart"/>
    <w:link w:val="Fuzeile"/>
    <w:uiPriority w:val="99"/>
    <w:rsid w:val="002671E0"/>
  </w:style>
  <w:style w:type="character" w:styleId="Link">
    <w:name w:val="Hyperlink"/>
    <w:basedOn w:val="Absatzstandardschriftart"/>
    <w:uiPriority w:val="99"/>
    <w:unhideWhenUsed/>
    <w:rsid w:val="009946D7"/>
    <w:rPr>
      <w:color w:val="0000FF" w:themeColor="hyperlink"/>
      <w:u w:val="single"/>
    </w:rPr>
  </w:style>
  <w:style w:type="character" w:styleId="GesichteterLink">
    <w:name w:val="FollowedHyperlink"/>
    <w:basedOn w:val="Absatzstandardschriftart"/>
    <w:uiPriority w:val="99"/>
    <w:semiHidden/>
    <w:unhideWhenUsed/>
    <w:rsid w:val="00624CF4"/>
    <w:rPr>
      <w:color w:val="800080" w:themeColor="followedHyperlink"/>
      <w:u w:val="single"/>
    </w:rPr>
  </w:style>
  <w:style w:type="character" w:styleId="Seitenzahl">
    <w:name w:val="page number"/>
    <w:basedOn w:val="Absatzstandardschriftart"/>
    <w:rsid w:val="00195F2C"/>
  </w:style>
  <w:style w:type="paragraph" w:styleId="StandardWeb">
    <w:name w:val="Normal (Web)"/>
    <w:basedOn w:val="Standard"/>
    <w:uiPriority w:val="99"/>
    <w:unhideWhenUsed/>
    <w:rsid w:val="00877DB6"/>
    <w:pPr>
      <w:spacing w:before="100" w:beforeAutospacing="1" w:after="100" w:afterAutospacing="1" w:line="240" w:lineRule="auto"/>
    </w:pPr>
    <w:rPr>
      <w:rFonts w:ascii="Times" w:hAnsi="Times" w:cs="Times New Roman"/>
      <w:sz w:val="20"/>
      <w:szCs w:val="20"/>
      <w:lang w:val="de-CH" w:eastAsia="de-DE"/>
    </w:rPr>
  </w:style>
  <w:style w:type="paragraph" w:styleId="Sprechblasentext">
    <w:name w:val="Balloon Text"/>
    <w:basedOn w:val="Standard"/>
    <w:link w:val="SprechblasentextZeichen"/>
    <w:uiPriority w:val="99"/>
    <w:semiHidden/>
    <w:unhideWhenUsed/>
    <w:rsid w:val="003B66FD"/>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B66FD"/>
    <w:rPr>
      <w:rFonts w:ascii="Lucida Grande" w:hAnsi="Lucida Grande" w:cs="Lucida Grande"/>
      <w:sz w:val="18"/>
      <w:szCs w:val="18"/>
    </w:rPr>
  </w:style>
  <w:style w:type="paragraph" w:styleId="Listenabsatz">
    <w:name w:val="List Paragraph"/>
    <w:basedOn w:val="Standard"/>
    <w:uiPriority w:val="34"/>
    <w:qFormat/>
    <w:rsid w:val="00FC70F2"/>
    <w:pPr>
      <w:ind w:left="720"/>
      <w:contextualSpacing/>
    </w:pPr>
  </w:style>
  <w:style w:type="paragraph" w:styleId="Funotentext">
    <w:name w:val="footnote text"/>
    <w:basedOn w:val="Standard"/>
    <w:link w:val="FunotentextZeichen"/>
    <w:uiPriority w:val="99"/>
    <w:unhideWhenUsed/>
    <w:rsid w:val="00C7643D"/>
    <w:pPr>
      <w:spacing w:after="0" w:line="240" w:lineRule="auto"/>
    </w:pPr>
    <w:rPr>
      <w:sz w:val="24"/>
      <w:szCs w:val="24"/>
    </w:rPr>
  </w:style>
  <w:style w:type="character" w:customStyle="1" w:styleId="FunotentextZeichen">
    <w:name w:val="Fußnotentext Zeichen"/>
    <w:basedOn w:val="Absatzstandardschriftart"/>
    <w:link w:val="Funotentext"/>
    <w:uiPriority w:val="99"/>
    <w:rsid w:val="00C7643D"/>
    <w:rPr>
      <w:sz w:val="24"/>
      <w:szCs w:val="24"/>
    </w:rPr>
  </w:style>
  <w:style w:type="character" w:styleId="Funotenzeichen">
    <w:name w:val="footnote reference"/>
    <w:basedOn w:val="Absatzstandardschriftart"/>
    <w:uiPriority w:val="99"/>
    <w:unhideWhenUsed/>
    <w:rsid w:val="00C7643D"/>
    <w:rPr>
      <w:vertAlign w:val="superscript"/>
    </w:rPr>
  </w:style>
  <w:style w:type="paragraph" w:styleId="Verzeichnis1">
    <w:name w:val="toc 1"/>
    <w:basedOn w:val="Standard"/>
    <w:next w:val="Standard"/>
    <w:autoRedefine/>
    <w:uiPriority w:val="39"/>
    <w:unhideWhenUsed/>
    <w:rsid w:val="00036F7C"/>
  </w:style>
  <w:style w:type="paragraph" w:styleId="Verzeichnis2">
    <w:name w:val="toc 2"/>
    <w:basedOn w:val="Standard"/>
    <w:next w:val="Standard"/>
    <w:autoRedefine/>
    <w:uiPriority w:val="39"/>
    <w:unhideWhenUsed/>
    <w:rsid w:val="00036F7C"/>
    <w:pPr>
      <w:ind w:left="220"/>
    </w:pPr>
  </w:style>
  <w:style w:type="paragraph" w:styleId="Verzeichnis3">
    <w:name w:val="toc 3"/>
    <w:basedOn w:val="Standard"/>
    <w:next w:val="Standard"/>
    <w:autoRedefine/>
    <w:uiPriority w:val="39"/>
    <w:unhideWhenUsed/>
    <w:rsid w:val="00036F7C"/>
    <w:pPr>
      <w:ind w:left="440"/>
    </w:pPr>
  </w:style>
  <w:style w:type="paragraph" w:styleId="Verzeichnis4">
    <w:name w:val="toc 4"/>
    <w:basedOn w:val="Standard"/>
    <w:next w:val="Standard"/>
    <w:autoRedefine/>
    <w:uiPriority w:val="39"/>
    <w:unhideWhenUsed/>
    <w:rsid w:val="00036F7C"/>
    <w:pPr>
      <w:ind w:left="660"/>
    </w:pPr>
  </w:style>
  <w:style w:type="paragraph" w:styleId="Verzeichnis5">
    <w:name w:val="toc 5"/>
    <w:basedOn w:val="Standard"/>
    <w:next w:val="Standard"/>
    <w:autoRedefine/>
    <w:uiPriority w:val="39"/>
    <w:unhideWhenUsed/>
    <w:rsid w:val="00036F7C"/>
    <w:pPr>
      <w:ind w:left="880"/>
    </w:pPr>
  </w:style>
  <w:style w:type="paragraph" w:styleId="Verzeichnis6">
    <w:name w:val="toc 6"/>
    <w:basedOn w:val="Standard"/>
    <w:next w:val="Standard"/>
    <w:autoRedefine/>
    <w:uiPriority w:val="39"/>
    <w:unhideWhenUsed/>
    <w:rsid w:val="00036F7C"/>
    <w:pPr>
      <w:ind w:left="1100"/>
    </w:pPr>
  </w:style>
  <w:style w:type="paragraph" w:styleId="Verzeichnis7">
    <w:name w:val="toc 7"/>
    <w:basedOn w:val="Standard"/>
    <w:next w:val="Standard"/>
    <w:autoRedefine/>
    <w:uiPriority w:val="39"/>
    <w:unhideWhenUsed/>
    <w:rsid w:val="00036F7C"/>
    <w:pPr>
      <w:ind w:left="1320"/>
    </w:pPr>
  </w:style>
  <w:style w:type="paragraph" w:styleId="Verzeichnis8">
    <w:name w:val="toc 8"/>
    <w:basedOn w:val="Standard"/>
    <w:next w:val="Standard"/>
    <w:autoRedefine/>
    <w:uiPriority w:val="39"/>
    <w:unhideWhenUsed/>
    <w:rsid w:val="00036F7C"/>
    <w:pPr>
      <w:ind w:left="1540"/>
    </w:pPr>
  </w:style>
  <w:style w:type="paragraph" w:styleId="Verzeichnis9">
    <w:name w:val="toc 9"/>
    <w:basedOn w:val="Standard"/>
    <w:next w:val="Standard"/>
    <w:autoRedefine/>
    <w:uiPriority w:val="39"/>
    <w:unhideWhenUsed/>
    <w:rsid w:val="00036F7C"/>
    <w:pPr>
      <w:ind w:left="1760"/>
    </w:pPr>
  </w:style>
  <w:style w:type="character" w:customStyle="1" w:styleId="berschrift1Zeichen">
    <w:name w:val="Überschrift 1 Zeichen"/>
    <w:basedOn w:val="Absatzstandardschriftart"/>
    <w:link w:val="berschrift1"/>
    <w:uiPriority w:val="9"/>
    <w:rsid w:val="00036F7C"/>
    <w:rPr>
      <w:rFonts w:eastAsiaTheme="majorEastAsia" w:cstheme="majorBidi"/>
      <w:b/>
      <w:bCs/>
      <w:color w:val="345A8A" w:themeColor="accent1" w:themeShade="B5"/>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7491">
      <w:bodyDiv w:val="1"/>
      <w:marLeft w:val="0"/>
      <w:marRight w:val="0"/>
      <w:marTop w:val="0"/>
      <w:marBottom w:val="0"/>
      <w:divBdr>
        <w:top w:val="none" w:sz="0" w:space="0" w:color="auto"/>
        <w:left w:val="none" w:sz="0" w:space="0" w:color="auto"/>
        <w:bottom w:val="none" w:sz="0" w:space="0" w:color="auto"/>
        <w:right w:val="none" w:sz="0" w:space="0" w:color="auto"/>
      </w:divBdr>
      <w:divsChild>
        <w:div w:id="317460821">
          <w:marLeft w:val="0"/>
          <w:marRight w:val="0"/>
          <w:marTop w:val="0"/>
          <w:marBottom w:val="0"/>
          <w:divBdr>
            <w:top w:val="none" w:sz="0" w:space="0" w:color="auto"/>
            <w:left w:val="none" w:sz="0" w:space="0" w:color="auto"/>
            <w:bottom w:val="none" w:sz="0" w:space="0" w:color="auto"/>
            <w:right w:val="none" w:sz="0" w:space="0" w:color="auto"/>
          </w:divBdr>
          <w:divsChild>
            <w:div w:id="1319845412">
              <w:marLeft w:val="0"/>
              <w:marRight w:val="0"/>
              <w:marTop w:val="0"/>
              <w:marBottom w:val="0"/>
              <w:divBdr>
                <w:top w:val="none" w:sz="0" w:space="0" w:color="auto"/>
                <w:left w:val="none" w:sz="0" w:space="0" w:color="auto"/>
                <w:bottom w:val="none" w:sz="0" w:space="0" w:color="auto"/>
                <w:right w:val="none" w:sz="0" w:space="0" w:color="auto"/>
              </w:divBdr>
              <w:divsChild>
                <w:div w:id="15098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87089">
      <w:bodyDiv w:val="1"/>
      <w:marLeft w:val="0"/>
      <w:marRight w:val="0"/>
      <w:marTop w:val="0"/>
      <w:marBottom w:val="0"/>
      <w:divBdr>
        <w:top w:val="none" w:sz="0" w:space="0" w:color="auto"/>
        <w:left w:val="none" w:sz="0" w:space="0" w:color="auto"/>
        <w:bottom w:val="none" w:sz="0" w:space="0" w:color="auto"/>
        <w:right w:val="none" w:sz="0" w:space="0" w:color="auto"/>
      </w:divBdr>
      <w:divsChild>
        <w:div w:id="1759713428">
          <w:marLeft w:val="0"/>
          <w:marRight w:val="0"/>
          <w:marTop w:val="0"/>
          <w:marBottom w:val="0"/>
          <w:divBdr>
            <w:top w:val="none" w:sz="0" w:space="0" w:color="auto"/>
            <w:left w:val="none" w:sz="0" w:space="0" w:color="auto"/>
            <w:bottom w:val="none" w:sz="0" w:space="0" w:color="auto"/>
            <w:right w:val="none" w:sz="0" w:space="0" w:color="auto"/>
          </w:divBdr>
          <w:divsChild>
            <w:div w:id="1562713967">
              <w:marLeft w:val="0"/>
              <w:marRight w:val="0"/>
              <w:marTop w:val="0"/>
              <w:marBottom w:val="0"/>
              <w:divBdr>
                <w:top w:val="none" w:sz="0" w:space="0" w:color="auto"/>
                <w:left w:val="none" w:sz="0" w:space="0" w:color="auto"/>
                <w:bottom w:val="none" w:sz="0" w:space="0" w:color="auto"/>
                <w:right w:val="none" w:sz="0" w:space="0" w:color="auto"/>
              </w:divBdr>
              <w:divsChild>
                <w:div w:id="116995331">
                  <w:marLeft w:val="0"/>
                  <w:marRight w:val="0"/>
                  <w:marTop w:val="0"/>
                  <w:marBottom w:val="0"/>
                  <w:divBdr>
                    <w:top w:val="none" w:sz="0" w:space="0" w:color="auto"/>
                    <w:left w:val="none" w:sz="0" w:space="0" w:color="auto"/>
                    <w:bottom w:val="none" w:sz="0" w:space="0" w:color="auto"/>
                    <w:right w:val="none" w:sz="0" w:space="0" w:color="auto"/>
                  </w:divBdr>
                  <w:divsChild>
                    <w:div w:id="9867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1989">
      <w:bodyDiv w:val="1"/>
      <w:marLeft w:val="0"/>
      <w:marRight w:val="0"/>
      <w:marTop w:val="0"/>
      <w:marBottom w:val="0"/>
      <w:divBdr>
        <w:top w:val="none" w:sz="0" w:space="0" w:color="auto"/>
        <w:left w:val="none" w:sz="0" w:space="0" w:color="auto"/>
        <w:bottom w:val="none" w:sz="0" w:space="0" w:color="auto"/>
        <w:right w:val="none" w:sz="0" w:space="0" w:color="auto"/>
      </w:divBdr>
      <w:divsChild>
        <w:div w:id="549071625">
          <w:marLeft w:val="0"/>
          <w:marRight w:val="0"/>
          <w:marTop w:val="0"/>
          <w:marBottom w:val="0"/>
          <w:divBdr>
            <w:top w:val="none" w:sz="0" w:space="0" w:color="auto"/>
            <w:left w:val="none" w:sz="0" w:space="0" w:color="auto"/>
            <w:bottom w:val="none" w:sz="0" w:space="0" w:color="auto"/>
            <w:right w:val="none" w:sz="0" w:space="0" w:color="auto"/>
          </w:divBdr>
          <w:divsChild>
            <w:div w:id="761295811">
              <w:marLeft w:val="0"/>
              <w:marRight w:val="0"/>
              <w:marTop w:val="0"/>
              <w:marBottom w:val="0"/>
              <w:divBdr>
                <w:top w:val="none" w:sz="0" w:space="0" w:color="auto"/>
                <w:left w:val="none" w:sz="0" w:space="0" w:color="auto"/>
                <w:bottom w:val="none" w:sz="0" w:space="0" w:color="auto"/>
                <w:right w:val="none" w:sz="0" w:space="0" w:color="auto"/>
              </w:divBdr>
              <w:divsChild>
                <w:div w:id="1418331508">
                  <w:marLeft w:val="0"/>
                  <w:marRight w:val="0"/>
                  <w:marTop w:val="0"/>
                  <w:marBottom w:val="0"/>
                  <w:divBdr>
                    <w:top w:val="none" w:sz="0" w:space="0" w:color="auto"/>
                    <w:left w:val="none" w:sz="0" w:space="0" w:color="auto"/>
                    <w:bottom w:val="none" w:sz="0" w:space="0" w:color="auto"/>
                    <w:right w:val="none" w:sz="0" w:space="0" w:color="auto"/>
                  </w:divBdr>
                  <w:divsChild>
                    <w:div w:id="20027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476595">
      <w:bodyDiv w:val="1"/>
      <w:marLeft w:val="0"/>
      <w:marRight w:val="0"/>
      <w:marTop w:val="0"/>
      <w:marBottom w:val="0"/>
      <w:divBdr>
        <w:top w:val="none" w:sz="0" w:space="0" w:color="auto"/>
        <w:left w:val="none" w:sz="0" w:space="0" w:color="auto"/>
        <w:bottom w:val="none" w:sz="0" w:space="0" w:color="auto"/>
        <w:right w:val="none" w:sz="0" w:space="0" w:color="auto"/>
      </w:divBdr>
      <w:divsChild>
        <w:div w:id="1800294796">
          <w:marLeft w:val="0"/>
          <w:marRight w:val="0"/>
          <w:marTop w:val="0"/>
          <w:marBottom w:val="0"/>
          <w:divBdr>
            <w:top w:val="none" w:sz="0" w:space="0" w:color="auto"/>
            <w:left w:val="none" w:sz="0" w:space="0" w:color="auto"/>
            <w:bottom w:val="none" w:sz="0" w:space="0" w:color="auto"/>
            <w:right w:val="none" w:sz="0" w:space="0" w:color="auto"/>
          </w:divBdr>
          <w:divsChild>
            <w:div w:id="1258516130">
              <w:marLeft w:val="0"/>
              <w:marRight w:val="0"/>
              <w:marTop w:val="0"/>
              <w:marBottom w:val="0"/>
              <w:divBdr>
                <w:top w:val="none" w:sz="0" w:space="0" w:color="auto"/>
                <w:left w:val="none" w:sz="0" w:space="0" w:color="auto"/>
                <w:bottom w:val="none" w:sz="0" w:space="0" w:color="auto"/>
                <w:right w:val="none" w:sz="0" w:space="0" w:color="auto"/>
              </w:divBdr>
              <w:divsChild>
                <w:div w:id="1230111246">
                  <w:marLeft w:val="0"/>
                  <w:marRight w:val="0"/>
                  <w:marTop w:val="0"/>
                  <w:marBottom w:val="0"/>
                  <w:divBdr>
                    <w:top w:val="none" w:sz="0" w:space="0" w:color="auto"/>
                    <w:left w:val="none" w:sz="0" w:space="0" w:color="auto"/>
                    <w:bottom w:val="none" w:sz="0" w:space="0" w:color="auto"/>
                    <w:right w:val="none" w:sz="0" w:space="0" w:color="auto"/>
                  </w:divBdr>
                  <w:divsChild>
                    <w:div w:id="722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21431">
      <w:bodyDiv w:val="1"/>
      <w:marLeft w:val="0"/>
      <w:marRight w:val="0"/>
      <w:marTop w:val="0"/>
      <w:marBottom w:val="0"/>
      <w:divBdr>
        <w:top w:val="none" w:sz="0" w:space="0" w:color="auto"/>
        <w:left w:val="none" w:sz="0" w:space="0" w:color="auto"/>
        <w:bottom w:val="none" w:sz="0" w:space="0" w:color="auto"/>
        <w:right w:val="none" w:sz="0" w:space="0" w:color="auto"/>
      </w:divBdr>
      <w:divsChild>
        <w:div w:id="312030556">
          <w:marLeft w:val="0"/>
          <w:marRight w:val="0"/>
          <w:marTop w:val="0"/>
          <w:marBottom w:val="0"/>
          <w:divBdr>
            <w:top w:val="none" w:sz="0" w:space="0" w:color="auto"/>
            <w:left w:val="none" w:sz="0" w:space="0" w:color="auto"/>
            <w:bottom w:val="none" w:sz="0" w:space="0" w:color="auto"/>
            <w:right w:val="none" w:sz="0" w:space="0" w:color="auto"/>
          </w:divBdr>
          <w:divsChild>
            <w:div w:id="1854606250">
              <w:marLeft w:val="0"/>
              <w:marRight w:val="0"/>
              <w:marTop w:val="0"/>
              <w:marBottom w:val="0"/>
              <w:divBdr>
                <w:top w:val="none" w:sz="0" w:space="0" w:color="auto"/>
                <w:left w:val="none" w:sz="0" w:space="0" w:color="auto"/>
                <w:bottom w:val="none" w:sz="0" w:space="0" w:color="auto"/>
                <w:right w:val="none" w:sz="0" w:space="0" w:color="auto"/>
              </w:divBdr>
              <w:divsChild>
                <w:div w:id="6444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92479">
      <w:bodyDiv w:val="1"/>
      <w:marLeft w:val="0"/>
      <w:marRight w:val="0"/>
      <w:marTop w:val="0"/>
      <w:marBottom w:val="0"/>
      <w:divBdr>
        <w:top w:val="none" w:sz="0" w:space="0" w:color="auto"/>
        <w:left w:val="none" w:sz="0" w:space="0" w:color="auto"/>
        <w:bottom w:val="none" w:sz="0" w:space="0" w:color="auto"/>
        <w:right w:val="none" w:sz="0" w:space="0" w:color="auto"/>
      </w:divBdr>
      <w:divsChild>
        <w:div w:id="713040947">
          <w:marLeft w:val="0"/>
          <w:marRight w:val="0"/>
          <w:marTop w:val="0"/>
          <w:marBottom w:val="0"/>
          <w:divBdr>
            <w:top w:val="none" w:sz="0" w:space="0" w:color="auto"/>
            <w:left w:val="none" w:sz="0" w:space="0" w:color="auto"/>
            <w:bottom w:val="none" w:sz="0" w:space="0" w:color="auto"/>
            <w:right w:val="none" w:sz="0" w:space="0" w:color="auto"/>
          </w:divBdr>
          <w:divsChild>
            <w:div w:id="305281623">
              <w:marLeft w:val="0"/>
              <w:marRight w:val="0"/>
              <w:marTop w:val="0"/>
              <w:marBottom w:val="0"/>
              <w:divBdr>
                <w:top w:val="none" w:sz="0" w:space="0" w:color="auto"/>
                <w:left w:val="none" w:sz="0" w:space="0" w:color="auto"/>
                <w:bottom w:val="none" w:sz="0" w:space="0" w:color="auto"/>
                <w:right w:val="none" w:sz="0" w:space="0" w:color="auto"/>
              </w:divBdr>
              <w:divsChild>
                <w:div w:id="16030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4870">
      <w:bodyDiv w:val="1"/>
      <w:marLeft w:val="0"/>
      <w:marRight w:val="0"/>
      <w:marTop w:val="0"/>
      <w:marBottom w:val="0"/>
      <w:divBdr>
        <w:top w:val="none" w:sz="0" w:space="0" w:color="auto"/>
        <w:left w:val="none" w:sz="0" w:space="0" w:color="auto"/>
        <w:bottom w:val="none" w:sz="0" w:space="0" w:color="auto"/>
        <w:right w:val="none" w:sz="0" w:space="0" w:color="auto"/>
      </w:divBdr>
      <w:divsChild>
        <w:div w:id="376321016">
          <w:marLeft w:val="0"/>
          <w:marRight w:val="0"/>
          <w:marTop w:val="0"/>
          <w:marBottom w:val="0"/>
          <w:divBdr>
            <w:top w:val="none" w:sz="0" w:space="0" w:color="auto"/>
            <w:left w:val="none" w:sz="0" w:space="0" w:color="auto"/>
            <w:bottom w:val="none" w:sz="0" w:space="0" w:color="auto"/>
            <w:right w:val="none" w:sz="0" w:space="0" w:color="auto"/>
          </w:divBdr>
          <w:divsChild>
            <w:div w:id="1950699589">
              <w:marLeft w:val="0"/>
              <w:marRight w:val="0"/>
              <w:marTop w:val="0"/>
              <w:marBottom w:val="0"/>
              <w:divBdr>
                <w:top w:val="none" w:sz="0" w:space="0" w:color="auto"/>
                <w:left w:val="none" w:sz="0" w:space="0" w:color="auto"/>
                <w:bottom w:val="none" w:sz="0" w:space="0" w:color="auto"/>
                <w:right w:val="none" w:sz="0" w:space="0" w:color="auto"/>
              </w:divBdr>
              <w:divsChild>
                <w:div w:id="14500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27837">
      <w:bodyDiv w:val="1"/>
      <w:marLeft w:val="0"/>
      <w:marRight w:val="0"/>
      <w:marTop w:val="0"/>
      <w:marBottom w:val="0"/>
      <w:divBdr>
        <w:top w:val="none" w:sz="0" w:space="0" w:color="auto"/>
        <w:left w:val="none" w:sz="0" w:space="0" w:color="auto"/>
        <w:bottom w:val="none" w:sz="0" w:space="0" w:color="auto"/>
        <w:right w:val="none" w:sz="0" w:space="0" w:color="auto"/>
      </w:divBdr>
      <w:divsChild>
        <w:div w:id="1861312737">
          <w:marLeft w:val="0"/>
          <w:marRight w:val="0"/>
          <w:marTop w:val="0"/>
          <w:marBottom w:val="0"/>
          <w:divBdr>
            <w:top w:val="none" w:sz="0" w:space="0" w:color="auto"/>
            <w:left w:val="none" w:sz="0" w:space="0" w:color="auto"/>
            <w:bottom w:val="none" w:sz="0" w:space="0" w:color="auto"/>
            <w:right w:val="none" w:sz="0" w:space="0" w:color="auto"/>
          </w:divBdr>
          <w:divsChild>
            <w:div w:id="564611360">
              <w:marLeft w:val="0"/>
              <w:marRight w:val="0"/>
              <w:marTop w:val="0"/>
              <w:marBottom w:val="0"/>
              <w:divBdr>
                <w:top w:val="none" w:sz="0" w:space="0" w:color="auto"/>
                <w:left w:val="none" w:sz="0" w:space="0" w:color="auto"/>
                <w:bottom w:val="none" w:sz="0" w:space="0" w:color="auto"/>
                <w:right w:val="none" w:sz="0" w:space="0" w:color="auto"/>
              </w:divBdr>
              <w:divsChild>
                <w:div w:id="1101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70853">
      <w:bodyDiv w:val="1"/>
      <w:marLeft w:val="0"/>
      <w:marRight w:val="0"/>
      <w:marTop w:val="0"/>
      <w:marBottom w:val="0"/>
      <w:divBdr>
        <w:top w:val="none" w:sz="0" w:space="0" w:color="auto"/>
        <w:left w:val="none" w:sz="0" w:space="0" w:color="auto"/>
        <w:bottom w:val="none" w:sz="0" w:space="0" w:color="auto"/>
        <w:right w:val="none" w:sz="0" w:space="0" w:color="auto"/>
      </w:divBdr>
      <w:divsChild>
        <w:div w:id="447747032">
          <w:marLeft w:val="0"/>
          <w:marRight w:val="0"/>
          <w:marTop w:val="0"/>
          <w:marBottom w:val="0"/>
          <w:divBdr>
            <w:top w:val="none" w:sz="0" w:space="0" w:color="auto"/>
            <w:left w:val="none" w:sz="0" w:space="0" w:color="auto"/>
            <w:bottom w:val="none" w:sz="0" w:space="0" w:color="auto"/>
            <w:right w:val="none" w:sz="0" w:space="0" w:color="auto"/>
          </w:divBdr>
          <w:divsChild>
            <w:div w:id="1053120786">
              <w:marLeft w:val="0"/>
              <w:marRight w:val="0"/>
              <w:marTop w:val="0"/>
              <w:marBottom w:val="0"/>
              <w:divBdr>
                <w:top w:val="none" w:sz="0" w:space="0" w:color="auto"/>
                <w:left w:val="none" w:sz="0" w:space="0" w:color="auto"/>
                <w:bottom w:val="none" w:sz="0" w:space="0" w:color="auto"/>
                <w:right w:val="none" w:sz="0" w:space="0" w:color="auto"/>
              </w:divBdr>
              <w:divsChild>
                <w:div w:id="1358655948">
                  <w:marLeft w:val="0"/>
                  <w:marRight w:val="0"/>
                  <w:marTop w:val="0"/>
                  <w:marBottom w:val="0"/>
                  <w:divBdr>
                    <w:top w:val="none" w:sz="0" w:space="0" w:color="auto"/>
                    <w:left w:val="none" w:sz="0" w:space="0" w:color="auto"/>
                    <w:bottom w:val="none" w:sz="0" w:space="0" w:color="auto"/>
                    <w:right w:val="none" w:sz="0" w:space="0" w:color="auto"/>
                  </w:divBdr>
                  <w:divsChild>
                    <w:div w:id="1667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19273">
      <w:bodyDiv w:val="1"/>
      <w:marLeft w:val="0"/>
      <w:marRight w:val="0"/>
      <w:marTop w:val="0"/>
      <w:marBottom w:val="0"/>
      <w:divBdr>
        <w:top w:val="none" w:sz="0" w:space="0" w:color="auto"/>
        <w:left w:val="none" w:sz="0" w:space="0" w:color="auto"/>
        <w:bottom w:val="none" w:sz="0" w:space="0" w:color="auto"/>
        <w:right w:val="none" w:sz="0" w:space="0" w:color="auto"/>
      </w:divBdr>
      <w:divsChild>
        <w:div w:id="990404737">
          <w:marLeft w:val="0"/>
          <w:marRight w:val="0"/>
          <w:marTop w:val="0"/>
          <w:marBottom w:val="0"/>
          <w:divBdr>
            <w:top w:val="none" w:sz="0" w:space="0" w:color="auto"/>
            <w:left w:val="none" w:sz="0" w:space="0" w:color="auto"/>
            <w:bottom w:val="none" w:sz="0" w:space="0" w:color="auto"/>
            <w:right w:val="none" w:sz="0" w:space="0" w:color="auto"/>
          </w:divBdr>
          <w:divsChild>
            <w:div w:id="360938960">
              <w:marLeft w:val="0"/>
              <w:marRight w:val="0"/>
              <w:marTop w:val="0"/>
              <w:marBottom w:val="0"/>
              <w:divBdr>
                <w:top w:val="none" w:sz="0" w:space="0" w:color="auto"/>
                <w:left w:val="none" w:sz="0" w:space="0" w:color="auto"/>
                <w:bottom w:val="none" w:sz="0" w:space="0" w:color="auto"/>
                <w:right w:val="none" w:sz="0" w:space="0" w:color="auto"/>
              </w:divBdr>
              <w:divsChild>
                <w:div w:id="597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84555">
      <w:bodyDiv w:val="1"/>
      <w:marLeft w:val="0"/>
      <w:marRight w:val="0"/>
      <w:marTop w:val="0"/>
      <w:marBottom w:val="0"/>
      <w:divBdr>
        <w:top w:val="none" w:sz="0" w:space="0" w:color="auto"/>
        <w:left w:val="none" w:sz="0" w:space="0" w:color="auto"/>
        <w:bottom w:val="none" w:sz="0" w:space="0" w:color="auto"/>
        <w:right w:val="none" w:sz="0" w:space="0" w:color="auto"/>
      </w:divBdr>
      <w:divsChild>
        <w:div w:id="1266382756">
          <w:marLeft w:val="0"/>
          <w:marRight w:val="0"/>
          <w:marTop w:val="0"/>
          <w:marBottom w:val="0"/>
          <w:divBdr>
            <w:top w:val="none" w:sz="0" w:space="0" w:color="auto"/>
            <w:left w:val="none" w:sz="0" w:space="0" w:color="auto"/>
            <w:bottom w:val="none" w:sz="0" w:space="0" w:color="auto"/>
            <w:right w:val="none" w:sz="0" w:space="0" w:color="auto"/>
          </w:divBdr>
          <w:divsChild>
            <w:div w:id="998079405">
              <w:marLeft w:val="0"/>
              <w:marRight w:val="0"/>
              <w:marTop w:val="0"/>
              <w:marBottom w:val="0"/>
              <w:divBdr>
                <w:top w:val="none" w:sz="0" w:space="0" w:color="auto"/>
                <w:left w:val="none" w:sz="0" w:space="0" w:color="auto"/>
                <w:bottom w:val="none" w:sz="0" w:space="0" w:color="auto"/>
                <w:right w:val="none" w:sz="0" w:space="0" w:color="auto"/>
              </w:divBdr>
              <w:divsChild>
                <w:div w:id="7703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6614">
      <w:bodyDiv w:val="1"/>
      <w:marLeft w:val="0"/>
      <w:marRight w:val="0"/>
      <w:marTop w:val="0"/>
      <w:marBottom w:val="0"/>
      <w:divBdr>
        <w:top w:val="none" w:sz="0" w:space="0" w:color="auto"/>
        <w:left w:val="none" w:sz="0" w:space="0" w:color="auto"/>
        <w:bottom w:val="none" w:sz="0" w:space="0" w:color="auto"/>
        <w:right w:val="none" w:sz="0" w:space="0" w:color="auto"/>
      </w:divBdr>
      <w:divsChild>
        <w:div w:id="140314454">
          <w:marLeft w:val="0"/>
          <w:marRight w:val="0"/>
          <w:marTop w:val="0"/>
          <w:marBottom w:val="0"/>
          <w:divBdr>
            <w:top w:val="none" w:sz="0" w:space="0" w:color="auto"/>
            <w:left w:val="none" w:sz="0" w:space="0" w:color="auto"/>
            <w:bottom w:val="none" w:sz="0" w:space="0" w:color="auto"/>
            <w:right w:val="none" w:sz="0" w:space="0" w:color="auto"/>
          </w:divBdr>
          <w:divsChild>
            <w:div w:id="428353322">
              <w:marLeft w:val="0"/>
              <w:marRight w:val="0"/>
              <w:marTop w:val="0"/>
              <w:marBottom w:val="0"/>
              <w:divBdr>
                <w:top w:val="none" w:sz="0" w:space="0" w:color="auto"/>
                <w:left w:val="none" w:sz="0" w:space="0" w:color="auto"/>
                <w:bottom w:val="none" w:sz="0" w:space="0" w:color="auto"/>
                <w:right w:val="none" w:sz="0" w:space="0" w:color="auto"/>
              </w:divBdr>
              <w:divsChild>
                <w:div w:id="917635930">
                  <w:marLeft w:val="0"/>
                  <w:marRight w:val="0"/>
                  <w:marTop w:val="0"/>
                  <w:marBottom w:val="0"/>
                  <w:divBdr>
                    <w:top w:val="none" w:sz="0" w:space="0" w:color="auto"/>
                    <w:left w:val="none" w:sz="0" w:space="0" w:color="auto"/>
                    <w:bottom w:val="none" w:sz="0" w:space="0" w:color="auto"/>
                    <w:right w:val="none" w:sz="0" w:space="0" w:color="auto"/>
                  </w:divBdr>
                  <w:divsChild>
                    <w:div w:id="2401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s://ideas.repec.org/p/snv/dp2009/201062.html" TargetMode="External"/><Relationship Id="rId16" Type="http://schemas.openxmlformats.org/officeDocument/2006/relationships/hyperlink" Target="http://www.ist-africa.org/conference2009/default.asp?page=secure-doc&amp;docid=3370&amp;paperid=859&amp;paper.refno=45&amp;paper.siteid=5&amp;versionid=1924&amp;number=" TargetMode="External"/><Relationship Id="rId17" Type="http://schemas.openxmlformats.org/officeDocument/2006/relationships/hyperlink" Target="http://ieeexplore.ieee.org/xpl/login.jsp?tp=&amp;arnumber=6850498&amp;url=http%3A%2F%2Fieeexplore.ieee.org%2Fxpls%2Fabs_all.jsp%3Farnumber%3D6850498" TargetMode="External"/><Relationship Id="rId18" Type="http://schemas.openxmlformats.org/officeDocument/2006/relationships/hyperlink" Target="http://bbmri-eric.eu/documents/10181/49443/BBMRI+Business+Plan.pdf/25e8e6e0-c97f-40b2-91fb-ba1b4bf3184b" TargetMode="External"/><Relationship Id="rId19" Type="http://schemas.openxmlformats.org/officeDocument/2006/relationships/hyperlink" Target="http://database.oxfordjournals.org/content/2009/bap017.full.pdf+html" TargetMode="External"/><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hyperlink" Target="http://www.nature.com/ejhg/journal/v22/n9/pdf/ejhg20146a.pdf" TargetMode="External"/><Relationship Id="rId51" Type="http://schemas.openxmlformats.org/officeDocument/2006/relationships/hyperlink" Target="https://apps.webofknowledge.com/full_record.do?product=UA&amp;search_mode=MarkedList&amp;qid=4&amp;SID=N2Q2NdsAkCYtGRCnNJs&amp;page=2&amp;doc=12&amp;colName=CCC" TargetMode="External"/><Relationship Id="rId52" Type="http://schemas.openxmlformats.org/officeDocument/2006/relationships/hyperlink" Target="http://www.share-project.org/fileadmin/pdf_documentation/SHARE-ERIC/ERIC-Committee_Report2012_15Okt2012.pdf" TargetMode="External"/><Relationship Id="rId53" Type="http://schemas.openxmlformats.org/officeDocument/2006/relationships/hyperlink" Target="http://share-dev.mpisoc.mpg.de/fileadmin/pdf_documentation/SHARE-ERIC/share_eric_report.pdf" TargetMode="External"/><Relationship Id="rId54" Type="http://schemas.openxmlformats.org/officeDocument/2006/relationships/hyperlink" Target="http://www.share-project.org/fileadmin/pdf_documentation/SHARE-ERIC/share_eric_report_2014_web.pdf" TargetMode="External"/><Relationship Id="rId55" Type="http://schemas.openxmlformats.org/officeDocument/2006/relationships/hyperlink" Target="http://www.ncbi.nlm.nih.gov/pmc/articles/PMC4371522/pdf/egems1113.pdf" TargetMode="External"/><Relationship Id="rId56" Type="http://schemas.openxmlformats.org/officeDocument/2006/relationships/hyperlink" Target="http://innet-project.eu/sites/default/files/InNet_Sustainability.pdf" TargetMode="External"/><Relationship Id="rId57" Type="http://schemas.openxmlformats.org/officeDocument/2006/relationships/hyperlink" Target="http://www.xfel.eu/sites/site_xfel-gmbh/content/e63617/e123754/e123755/European-XFEL-Annual-Report-2010_eng.pdf" TargetMode="External"/><Relationship Id="rId58" Type="http://schemas.openxmlformats.org/officeDocument/2006/relationships/hyperlink" Target="http://www.xfel.eu/sites/site_xfel-gmbh/content/e63617/e123754/e157927/European-XFEL-Annual-Report-2011_eng.pdf" TargetMode="External"/><Relationship Id="rId59" Type="http://schemas.openxmlformats.org/officeDocument/2006/relationships/hyperlink" Target="http://www.xfel.eu/sites/site_xfel-gmbh/content/e63617/e123754/e212665/European_XFEL_Annual_Report_2012_eng.pdf" TargetMode="External"/><Relationship Id="rId40" Type="http://schemas.openxmlformats.org/officeDocument/2006/relationships/hyperlink" Target="http://bbmri-eric.eu/documents/10181/49443/Annual+and+financial+Report+2014_august_webissn_low_reso.pdf/e19739fc-9fc7-4852-9610-e11c7c5b006d" TargetMode="External"/><Relationship Id="rId41" Type="http://schemas.openxmlformats.org/officeDocument/2006/relationships/hyperlink" Target="http://www.researchgate.net/profile/Alan_Bank/publication/51905961_Right_Ventricular_Pacing_Mechanical_Dyssynchrony_and_Heart_Failure/links/559a802d08ae21086d27264a.pdf" TargetMode="External"/><Relationship Id="rId42" Type="http://schemas.openxmlformats.org/officeDocument/2006/relationships/hyperlink" Target="http://www.scielosp.org/pdf/aiss/v50n2/12.pdf" TargetMode="External"/><Relationship Id="rId43" Type="http://schemas.openxmlformats.org/officeDocument/2006/relationships/hyperlink" Target="http://www.esf.org/fileadmin/Public_documents/Publications/mof_research_infrastructures.pdf" TargetMode="External"/><Relationship Id="rId44" Type="http://schemas.openxmlformats.org/officeDocument/2006/relationships/hyperlink" Target="http://papers.ssrn.com/sol3/papers.cfm?abstract_id=2229781" TargetMode="External"/><Relationship Id="rId45" Type="http://schemas.openxmlformats.org/officeDocument/2006/relationships/hyperlink" Target="http://link.springer.com/content/pdf/10.1007%2Fs00125-012-2790-z.pdf" TargetMode="External"/><Relationship Id="rId46" Type="http://schemas.openxmlformats.org/officeDocument/2006/relationships/hyperlink" Target="http://docs.education.gov.au/system/files/doc/other/national_collaborative_research_infrastructure_strategy_programme_guidelines_2015-16.pdf" TargetMode="External"/><Relationship Id="rId47" Type="http://schemas.openxmlformats.org/officeDocument/2006/relationships/hyperlink" Target="http://www.ul.ac.za/application/downloads/RISP%20Manual%202011-12%20Final.pdf" TargetMode="External"/><Relationship Id="rId48" Type="http://schemas.openxmlformats.org/officeDocument/2006/relationships/hyperlink" Target="https://apps.webofknowledge.com/full_record.do?product=UA&amp;search_mode=MarkedList&amp;qid=4&amp;SID=N2Q2NdsAkCYtGRCnNJs&amp;page=1&amp;doc=10&amp;colName=CCC" TargetMode="External"/><Relationship Id="rId49" Type="http://schemas.openxmlformats.org/officeDocument/2006/relationships/hyperlink" Target="http://www.ncbi.nlm.nih.gov/pubmed/1736884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c.europa.eu/research/infrastructures/pdf/cost_control.pdf" TargetMode="External"/><Relationship Id="rId30" Type="http://schemas.openxmlformats.org/officeDocument/2006/relationships/hyperlink" Target="http://www.uhr.no/documents/A_Norwegian_Research_Infrastructure_Resource_Model_270214.pdf" TargetMode="External"/><Relationship Id="rId31" Type="http://schemas.openxmlformats.org/officeDocument/2006/relationships/hyperlink" Target="http://docs.education.gov.au/node/34417" TargetMode="External"/><Relationship Id="rId32" Type="http://schemas.openxmlformats.org/officeDocument/2006/relationships/hyperlink" Target="http://www.ictresearchinfrastructures.eu/communicraft-cms-system/uploads/Deliverable-4.1-final.pdf" TargetMode="External"/><Relationship Id="rId33" Type="http://schemas.openxmlformats.org/officeDocument/2006/relationships/hyperlink" Target="http://www.ramiri-blog.eu" TargetMode="External"/><Relationship Id="rId34" Type="http://schemas.openxmlformats.org/officeDocument/2006/relationships/hyperlink" Target="http://www.ramiri-blog.eu/index.php?n=Main.Fina" TargetMode="External"/><Relationship Id="rId35" Type="http://schemas.openxmlformats.org/officeDocument/2006/relationships/hyperlink" Target="http://en.rannis.is/media/innvidasjodur/Infrastructure-fund-rules-and-guidelines-2015.pdf" TargetMode="External"/><Relationship Id="rId36" Type="http://schemas.openxmlformats.org/officeDocument/2006/relationships/hyperlink" Target="http://www.ncbi.nlm.nih.gov/pubmed/21672892" TargetMode="External"/><Relationship Id="rId37" Type="http://schemas.openxmlformats.org/officeDocument/2006/relationships/hyperlink" Target="http://citeseerx.ist.psu.edu/viewdoc/download?doi=10.1.1.126.4642&amp;rep=rep1&amp;type=pdf" TargetMode="External"/><Relationship Id="rId38" Type="http://schemas.openxmlformats.org/officeDocument/2006/relationships/hyperlink" Target="http://www.ncbi.nlm.nih.gov/pmc/articles/PMC4150367/pdf/bio.2013.0064.pdf" TargetMode="External"/><Relationship Id="rId39" Type="http://schemas.openxmlformats.org/officeDocument/2006/relationships/hyperlink" Target="http://pubs.aina.ucalgary.ca/arctic/Arctic68-S-1.pdf" TargetMode="External"/><Relationship Id="rId20" Type="http://schemas.openxmlformats.org/officeDocument/2006/relationships/hyperlink" Target="http://e-irg.eu/documents/10920/277005/Best+Practices+for+the+use+of+e-Infrastructures+by+large-scale+research+infrastructures.pdf" TargetMode="External"/><Relationship Id="rId21" Type="http://schemas.openxmlformats.org/officeDocument/2006/relationships/hyperlink" Target="http://www.eiroforum.org/downloads/201111_mobility_proposal.pdf" TargetMode="External"/><Relationship Id="rId22" Type="http://schemas.openxmlformats.org/officeDocument/2006/relationships/hyperlink" Target="http://eiroforum.org/downloads/20150325_discussion-paper-research-infrastructures-sustainability.pdf" TargetMode="External"/><Relationship Id="rId23" Type="http://schemas.openxmlformats.org/officeDocument/2006/relationships/hyperlink" Target="http://www.europeanpolarboard.org/uploads/tx_ameospublication/ericon_del_4-2_01.pdf" TargetMode="External"/><Relationship Id="rId24" Type="http://schemas.openxmlformats.org/officeDocument/2006/relationships/hyperlink" Target="http://www.esa.org/esa/wp-content/uploads/2014/02/Strategies-Sustainability-Biological-Infrastructure-Workshop-Report.pdf" TargetMode="External"/><Relationship Id="rId25" Type="http://schemas.openxmlformats.org/officeDocument/2006/relationships/hyperlink" Target="https://ec.europa.eu/research/infrastructures/pdf/cost_control.pdf" TargetMode="External"/><Relationship Id="rId26" Type="http://schemas.openxmlformats.org/officeDocument/2006/relationships/hyperlink" Target="http://cordis.europa.eu/fp7/ict/e-infrastructure/docs/report_human_skills.pdf" TargetMode="External"/><Relationship Id="rId27" Type="http://schemas.openxmlformats.org/officeDocument/2006/relationships/hyperlink" Target="https://www.helmholtz.de/fileadmin/user_upload/03_ueber_uns/organisation/Internationale_Bueros/Bruessel/stellungnahmen/2013_Helmholtz_Statement_on_Indicrect_Cost_RI.pdf" TargetMode="External"/><Relationship Id="rId28" Type="http://schemas.openxmlformats.org/officeDocument/2006/relationships/hyperlink" Target="http://openresearchsoftware.metajnl.com/articles/10.5334/jors.av/" TargetMode="External"/><Relationship Id="rId29" Type="http://schemas.openxmlformats.org/officeDocument/2006/relationships/hyperlink" Target="http://stratumbiobanking.org/docs/STRATUM%20COST%20MODEL%20FINAL%20REPORT%20MAY%202013.pdf" TargetMode="External"/><Relationship Id="rId60" Type="http://schemas.openxmlformats.org/officeDocument/2006/relationships/hyperlink" Target="http://www.xfel.eu/sites/site_xfel-gmbh/content/e63617/e123754/e234422/European_XFEL_Annual_Report_2013_eng.pdf" TargetMode="External"/><Relationship Id="rId61" Type="http://schemas.openxmlformats.org/officeDocument/2006/relationships/hyperlink" Target="http://www.xfel.eu/sites/site_xfel-gmbh/content/e63617/e123754/e255298/European_XFEL_Annual_Report_14_eng.pdf" TargetMode="External"/><Relationship Id="rId62" Type="http://schemas.openxmlformats.org/officeDocument/2006/relationships/footer" Target="footer1.xml"/><Relationship Id="rId10" Type="http://schemas.openxmlformats.org/officeDocument/2006/relationships/hyperlink" Target="http://www.ramiri-blog.eu" TargetMode="External"/><Relationship Id="rId11" Type="http://schemas.openxmlformats.org/officeDocument/2006/relationships/hyperlink" Target="http://www.ramiri-blog.eu/index.php?n=Main.Fina" TargetMode="External"/><Relationship Id="rId12" Type="http://schemas.openxmlformats.org/officeDocument/2006/relationships/hyperlink" Target="http://www.ramiri-blog.eu/index.php?n=Main.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10443-7F0E-7745-827E-FF7F6B349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7927</Words>
  <Characters>49941</Characters>
  <Application>Microsoft Macintosh Word</Application>
  <DocSecurity>0</DocSecurity>
  <Lines>416</Lines>
  <Paragraphs>115</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57753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 Qian</dc:creator>
  <cp:lastModifiedBy>Roger Pfister</cp:lastModifiedBy>
  <cp:revision>3</cp:revision>
  <cp:lastPrinted>2015-08-18T12:08:00Z</cp:lastPrinted>
  <dcterms:created xsi:type="dcterms:W3CDTF">2015-10-26T19:42:00Z</dcterms:created>
  <dcterms:modified xsi:type="dcterms:W3CDTF">2015-10-27T14:48:00Z</dcterms:modified>
</cp:coreProperties>
</file>