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39835" w14:textId="77777777" w:rsidR="004F2274" w:rsidRPr="0058033D" w:rsidRDefault="004F2274" w:rsidP="00A14D20">
      <w:pPr>
        <w:rPr>
          <w:lang w:val="en-GB"/>
        </w:rPr>
      </w:pPr>
    </w:p>
    <w:p w14:paraId="5BB2FB99" w14:textId="77777777" w:rsidR="004F2274" w:rsidRPr="0058033D" w:rsidRDefault="004F2274" w:rsidP="00D73C59">
      <w:pPr>
        <w:autoSpaceDE w:val="0"/>
        <w:autoSpaceDN w:val="0"/>
        <w:adjustRightInd w:val="0"/>
        <w:rPr>
          <w:rFonts w:cs="Verdana"/>
          <w:lang w:val="en-GB"/>
        </w:rPr>
      </w:pPr>
    </w:p>
    <w:p w14:paraId="7C6B0E52" w14:textId="77777777" w:rsidR="004F2274" w:rsidRPr="0058033D" w:rsidRDefault="004F2274" w:rsidP="00D73C59">
      <w:pPr>
        <w:autoSpaceDE w:val="0"/>
        <w:autoSpaceDN w:val="0"/>
        <w:adjustRightInd w:val="0"/>
        <w:rPr>
          <w:rFonts w:cs="Verdana"/>
          <w:lang w:val="en-GB"/>
        </w:rPr>
      </w:pPr>
    </w:p>
    <w:p w14:paraId="321155A7" w14:textId="77777777" w:rsidR="004F2274" w:rsidRPr="00A47959" w:rsidRDefault="004F2274" w:rsidP="00D73C59">
      <w:pPr>
        <w:autoSpaceDE w:val="0"/>
        <w:autoSpaceDN w:val="0"/>
        <w:adjustRightInd w:val="0"/>
        <w:rPr>
          <w:rFonts w:cs="Verdana"/>
        </w:rPr>
      </w:pPr>
      <w:r w:rsidRPr="00A47959">
        <w:rPr>
          <w:rFonts w:cs="Verdana"/>
        </w:rPr>
        <w:t>Dear Speaker,</w:t>
      </w:r>
    </w:p>
    <w:p w14:paraId="5E0FB6DE" w14:textId="77777777" w:rsidR="004F2274" w:rsidRPr="00A47959" w:rsidRDefault="004F2274" w:rsidP="00D73C59">
      <w:pPr>
        <w:autoSpaceDE w:val="0"/>
        <w:autoSpaceDN w:val="0"/>
        <w:adjustRightInd w:val="0"/>
        <w:rPr>
          <w:rFonts w:cs="Verdana"/>
        </w:rPr>
      </w:pPr>
    </w:p>
    <w:p w14:paraId="1BE73C44" w14:textId="74C7B784" w:rsidR="004F2274" w:rsidRPr="00A47959" w:rsidRDefault="004F2274" w:rsidP="00D73C59">
      <w:pPr>
        <w:autoSpaceDE w:val="0"/>
        <w:autoSpaceDN w:val="0"/>
        <w:adjustRightInd w:val="0"/>
        <w:rPr>
          <w:rFonts w:cs="Verdana"/>
        </w:rPr>
      </w:pPr>
      <w:r w:rsidRPr="00A47959">
        <w:rPr>
          <w:rFonts w:cs="Verdana"/>
        </w:rPr>
        <w:t xml:space="preserve">I </w:t>
      </w:r>
      <w:r w:rsidR="004049CD" w:rsidRPr="00A47959">
        <w:rPr>
          <w:rFonts w:cs="Verdana"/>
        </w:rPr>
        <w:t xml:space="preserve">am writing in response to the </w:t>
      </w:r>
      <w:r w:rsidR="008F1238" w:rsidRPr="00A47959">
        <w:rPr>
          <w:rFonts w:cs="Verdana"/>
        </w:rPr>
        <w:t>report entitled</w:t>
      </w:r>
      <w:r w:rsidR="008F1238" w:rsidRPr="00A47959">
        <w:rPr>
          <w:rFonts w:cs="Verdana"/>
          <w:i/>
        </w:rPr>
        <w:t xml:space="preserve"> </w:t>
      </w:r>
      <w:r w:rsidRPr="00A47959">
        <w:rPr>
          <w:rFonts w:cs="Verdana"/>
          <w:i/>
        </w:rPr>
        <w:t xml:space="preserve">Innoveren </w:t>
      </w:r>
      <w:r w:rsidR="003F022A" w:rsidRPr="00A47959">
        <w:rPr>
          <w:rFonts w:cs="Verdana"/>
          <w:i/>
        </w:rPr>
        <w:t>en</w:t>
      </w:r>
      <w:r w:rsidRPr="00A47959">
        <w:rPr>
          <w:rFonts w:cs="Verdana"/>
          <w:i/>
        </w:rPr>
        <w:t xml:space="preserve"> ondernemen met beleid: analytische achtergrondstudie </w:t>
      </w:r>
      <w:r w:rsidR="003F022A" w:rsidRPr="00A47959">
        <w:rPr>
          <w:rFonts w:cs="Verdana"/>
          <w:i/>
        </w:rPr>
        <w:t>van</w:t>
      </w:r>
      <w:r w:rsidRPr="00A47959">
        <w:rPr>
          <w:rFonts w:cs="Verdana"/>
          <w:i/>
        </w:rPr>
        <w:t xml:space="preserve"> Beleidsdoorlichting artikel 12 (Een sterk innovatievermogen) </w:t>
      </w:r>
      <w:r w:rsidR="003F022A" w:rsidRPr="00A47959">
        <w:rPr>
          <w:rFonts w:cs="Verdana"/>
          <w:i/>
        </w:rPr>
        <w:t>en</w:t>
      </w:r>
      <w:r w:rsidRPr="00A47959">
        <w:rPr>
          <w:rFonts w:cs="Verdana"/>
          <w:i/>
        </w:rPr>
        <w:t xml:space="preserve"> 13 (Een</w:t>
      </w:r>
      <w:r w:rsidR="004049CD" w:rsidRPr="00A47959">
        <w:rPr>
          <w:rFonts w:cs="Verdana"/>
          <w:i/>
        </w:rPr>
        <w:t xml:space="preserve"> excellent ondernemingsklimaat)</w:t>
      </w:r>
      <w:r w:rsidR="004049CD" w:rsidRPr="00A47959">
        <w:rPr>
          <w:rFonts w:cs="Verdana"/>
        </w:rPr>
        <w:t>,</w:t>
      </w:r>
      <w:r w:rsidRPr="00A47959">
        <w:rPr>
          <w:rFonts w:cs="Verdana"/>
        </w:rPr>
        <w:t xml:space="preserve"> attached as </w:t>
      </w:r>
      <w:r w:rsidRPr="00A47959">
        <w:rPr>
          <w:color w:val="000000"/>
        </w:rPr>
        <w:t>annexe 3 to this letter.</w:t>
      </w:r>
    </w:p>
    <w:p w14:paraId="10FFB979" w14:textId="77777777" w:rsidR="004F2274" w:rsidRPr="00A47959" w:rsidRDefault="004F2274" w:rsidP="00D73C59">
      <w:pPr>
        <w:autoSpaceDE w:val="0"/>
        <w:autoSpaceDN w:val="0"/>
        <w:adjustRightInd w:val="0"/>
        <w:rPr>
          <w:rFonts w:cs="Verdana"/>
        </w:rPr>
      </w:pPr>
    </w:p>
    <w:p w14:paraId="3D7B1659" w14:textId="77777777" w:rsidR="004F2274" w:rsidRPr="0058033D" w:rsidRDefault="004F2274" w:rsidP="00D73C59">
      <w:pPr>
        <w:autoSpaceDE w:val="0"/>
        <w:autoSpaceDN w:val="0"/>
        <w:adjustRightInd w:val="0"/>
        <w:rPr>
          <w:rFonts w:cs="Verdana"/>
          <w:b/>
          <w:lang w:val="en-GB"/>
        </w:rPr>
      </w:pPr>
      <w:r w:rsidRPr="0058033D">
        <w:rPr>
          <w:rFonts w:cs="Verdana"/>
          <w:b/>
          <w:lang w:val="en-GB"/>
        </w:rPr>
        <w:t>Introduction</w:t>
      </w:r>
    </w:p>
    <w:p w14:paraId="3615216F" w14:textId="28AC3AAD" w:rsidR="004F2274" w:rsidRPr="0058033D" w:rsidRDefault="004F2274" w:rsidP="00D73C59">
      <w:pPr>
        <w:autoSpaceDE w:val="0"/>
        <w:autoSpaceDN w:val="0"/>
        <w:adjustRightInd w:val="0"/>
        <w:rPr>
          <w:lang w:val="en-GB"/>
        </w:rPr>
      </w:pPr>
      <w:r w:rsidRPr="0058033D">
        <w:rPr>
          <w:rFonts w:cs="Verdana"/>
          <w:lang w:val="en-GB"/>
        </w:rPr>
        <w:t xml:space="preserve">Once every four to seven years, parliament is given information </w:t>
      </w:r>
      <w:r w:rsidR="00F7025F" w:rsidRPr="00F7025F">
        <w:rPr>
          <w:rFonts w:cs="Verdana"/>
          <w:lang w:val="en-GB"/>
        </w:rPr>
        <w:t xml:space="preserve">on the legitimacy, effectiveness and efficiency of the policy incorporated in a given item of the State Budget through </w:t>
      </w:r>
      <w:r w:rsidRPr="00F7025F">
        <w:rPr>
          <w:rFonts w:cs="Verdana"/>
          <w:lang w:val="en-GB"/>
        </w:rPr>
        <w:t>a policy review.</w:t>
      </w:r>
      <w:r w:rsidRPr="0058033D">
        <w:rPr>
          <w:rFonts w:cs="Verdana"/>
          <w:lang w:val="en-GB"/>
        </w:rPr>
        <w:t xml:space="preserve"> This policy review addresses items 12 and 13 of the budget of the Ministry of Economic Affairs (EZ) and</w:t>
      </w:r>
      <w:r w:rsidRPr="0058033D">
        <w:rPr>
          <w:lang w:val="en-GB"/>
        </w:rPr>
        <w:t xml:space="preserve"> covers the period 2009-2013.</w:t>
      </w:r>
      <w:r w:rsidRPr="0058033D">
        <w:rPr>
          <w:rFonts w:cs="Verdana"/>
          <w:lang w:val="en-GB"/>
        </w:rPr>
        <w:t xml:space="preserve"> As the content of the two policy fields</w:t>
      </w:r>
      <w:r w:rsidR="00777135" w:rsidRPr="0058033D">
        <w:rPr>
          <w:rFonts w:cs="Verdana"/>
          <w:lang w:val="en-GB"/>
        </w:rPr>
        <w:t xml:space="preserve"> is strongly related</w:t>
      </w:r>
      <w:r w:rsidRPr="0058033D">
        <w:rPr>
          <w:rFonts w:cs="Verdana"/>
          <w:lang w:val="en-GB"/>
        </w:rPr>
        <w:t xml:space="preserve">, the two items were reviewed in full </w:t>
      </w:r>
      <w:r w:rsidR="001579C6">
        <w:rPr>
          <w:rFonts w:cs="Verdana"/>
          <w:lang w:val="en-GB"/>
        </w:rPr>
        <w:t>and in</w:t>
      </w:r>
      <w:r w:rsidRPr="0058033D">
        <w:rPr>
          <w:rFonts w:cs="Verdana"/>
          <w:lang w:val="en-GB"/>
        </w:rPr>
        <w:t xml:space="preserve"> their mutual relationship.</w:t>
      </w:r>
      <w:r w:rsidRPr="0058033D">
        <w:rPr>
          <w:rStyle w:val="Voetnootmarkering"/>
          <w:rFonts w:cs="Verdana"/>
          <w:lang w:val="en-GB"/>
        </w:rPr>
        <w:footnoteReference w:id="1"/>
      </w:r>
      <w:r w:rsidRPr="0058033D">
        <w:rPr>
          <w:rFonts w:cs="Verdana"/>
          <w:lang w:val="en-GB"/>
        </w:rPr>
        <w:t xml:space="preserve"> To this end, EZ commissioned research firm</w:t>
      </w:r>
      <w:r w:rsidRPr="0058033D">
        <w:rPr>
          <w:lang w:val="en-GB"/>
        </w:rPr>
        <w:t xml:space="preserve"> Dialogic to perform an analytical background study, monitored by an external committee.</w:t>
      </w:r>
      <w:r w:rsidRPr="0058033D">
        <w:rPr>
          <w:rStyle w:val="Voetnootmarkering"/>
          <w:lang w:val="en-GB"/>
        </w:rPr>
        <w:footnoteReference w:id="2"/>
      </w:r>
      <w:r w:rsidRPr="0058033D">
        <w:rPr>
          <w:lang w:val="en-GB"/>
        </w:rPr>
        <w:t xml:space="preserve"> </w:t>
      </w:r>
    </w:p>
    <w:p w14:paraId="63B075A4" w14:textId="77777777" w:rsidR="004F2274" w:rsidRPr="0058033D" w:rsidRDefault="004F2274" w:rsidP="00D73C59">
      <w:pPr>
        <w:rPr>
          <w:rFonts w:cs="Verdana"/>
          <w:lang w:val="en-GB"/>
        </w:rPr>
      </w:pPr>
    </w:p>
    <w:p w14:paraId="039DF803" w14:textId="571E6BC9" w:rsidR="004F2274" w:rsidRPr="0058033D" w:rsidRDefault="004F2274" w:rsidP="00D73C59">
      <w:pPr>
        <w:rPr>
          <w:color w:val="000000"/>
          <w:lang w:val="en-GB"/>
        </w:rPr>
      </w:pPr>
      <w:r w:rsidRPr="0058033D">
        <w:rPr>
          <w:rFonts w:cs="Verdana"/>
          <w:lang w:val="en-GB"/>
        </w:rPr>
        <w:t>The two budget items form the financial backbone of enterprise policy as implemented i</w:t>
      </w:r>
      <w:r w:rsidR="00A3463D">
        <w:rPr>
          <w:rFonts w:cs="Verdana"/>
          <w:lang w:val="en-GB"/>
        </w:rPr>
        <w:t>n its current form since 2010-</w:t>
      </w:r>
      <w:r w:rsidRPr="0058033D">
        <w:rPr>
          <w:rFonts w:cs="Verdana"/>
          <w:lang w:val="en-GB"/>
        </w:rPr>
        <w:t>11. It is</w:t>
      </w:r>
      <w:r w:rsidRPr="0058033D">
        <w:rPr>
          <w:color w:val="000000"/>
          <w:lang w:val="en-GB"/>
        </w:rPr>
        <w:t xml:space="preserve"> a medium-term policy strategy with a comprehensive, interactive policy approach in which the actors involved bear their own responsibility and make their own contribution. The government plays its role in response to market failures and as a network partner. Enterprise policy must be long-term in nature, with a clear </w:t>
      </w:r>
      <w:r w:rsidR="00777135" w:rsidRPr="0058033D">
        <w:rPr>
          <w:color w:val="000000"/>
          <w:lang w:val="en-GB"/>
        </w:rPr>
        <w:t xml:space="preserve">and consistent </w:t>
      </w:r>
      <w:r w:rsidRPr="0058033D">
        <w:rPr>
          <w:color w:val="000000"/>
          <w:lang w:val="en-GB"/>
        </w:rPr>
        <w:t xml:space="preserve">policy framework for the medium term. It also requires a government </w:t>
      </w:r>
      <w:r w:rsidR="00896118" w:rsidRPr="0058033D">
        <w:rPr>
          <w:color w:val="000000"/>
          <w:lang w:val="en-GB"/>
        </w:rPr>
        <w:t xml:space="preserve">willing </w:t>
      </w:r>
      <w:r w:rsidRPr="0058033D">
        <w:rPr>
          <w:color w:val="000000"/>
          <w:lang w:val="en-GB"/>
        </w:rPr>
        <w:t>to learn and experiment and which</w:t>
      </w:r>
      <w:r w:rsidR="00896118" w:rsidRPr="0058033D">
        <w:rPr>
          <w:color w:val="000000"/>
          <w:lang w:val="en-GB"/>
        </w:rPr>
        <w:t>,</w:t>
      </w:r>
      <w:r w:rsidRPr="0058033D">
        <w:rPr>
          <w:color w:val="000000"/>
          <w:lang w:val="en-GB"/>
        </w:rPr>
        <w:t xml:space="preserve"> where necessary</w:t>
      </w:r>
      <w:r w:rsidR="00896118" w:rsidRPr="0058033D">
        <w:rPr>
          <w:color w:val="000000"/>
          <w:lang w:val="en-GB"/>
        </w:rPr>
        <w:t xml:space="preserve"> and according to the facts and </w:t>
      </w:r>
      <w:r w:rsidR="00896118" w:rsidRPr="0058033D">
        <w:rPr>
          <w:color w:val="000000"/>
          <w:lang w:val="en-GB"/>
        </w:rPr>
        <w:lastRenderedPageBreak/>
        <w:t>analyses of progress on the policy</w:t>
      </w:r>
      <w:r w:rsidRPr="0058033D">
        <w:rPr>
          <w:color w:val="000000"/>
          <w:lang w:val="en-GB"/>
        </w:rPr>
        <w:t xml:space="preserve">, </w:t>
      </w:r>
      <w:r w:rsidR="00896118" w:rsidRPr="0058033D">
        <w:rPr>
          <w:color w:val="000000"/>
          <w:lang w:val="en-GB"/>
        </w:rPr>
        <w:t>makes occasional adjustments and perseveres with what has been proven to work</w:t>
      </w:r>
      <w:r w:rsidRPr="0058033D">
        <w:rPr>
          <w:color w:val="000000"/>
          <w:lang w:val="en-GB"/>
        </w:rPr>
        <w:t xml:space="preserve">. This policy review aims to make a contribution to this </w:t>
      </w:r>
      <w:r w:rsidR="00F7025F">
        <w:rPr>
          <w:color w:val="000000"/>
          <w:lang w:val="en-GB"/>
        </w:rPr>
        <w:t>following</w:t>
      </w:r>
      <w:r w:rsidR="00225980" w:rsidRPr="0058033D">
        <w:rPr>
          <w:color w:val="000000"/>
          <w:lang w:val="en-GB"/>
        </w:rPr>
        <w:t xml:space="preserve"> </w:t>
      </w:r>
      <w:r w:rsidRPr="0058033D">
        <w:rPr>
          <w:color w:val="000000"/>
          <w:lang w:val="en-GB"/>
        </w:rPr>
        <w:t xml:space="preserve">critical </w:t>
      </w:r>
      <w:r w:rsidR="00225980" w:rsidRPr="0058033D">
        <w:rPr>
          <w:color w:val="000000"/>
          <w:lang w:val="en-GB"/>
        </w:rPr>
        <w:t xml:space="preserve">consideration </w:t>
      </w:r>
      <w:r w:rsidRPr="0058033D">
        <w:rPr>
          <w:color w:val="000000"/>
          <w:lang w:val="en-GB"/>
        </w:rPr>
        <w:t xml:space="preserve">of the facts on the policy being pursued. </w:t>
      </w:r>
    </w:p>
    <w:p w14:paraId="5E403FFD" w14:textId="77777777" w:rsidR="004F2274" w:rsidRPr="0058033D" w:rsidRDefault="004F2274" w:rsidP="00D73C59">
      <w:pPr>
        <w:autoSpaceDE w:val="0"/>
        <w:autoSpaceDN w:val="0"/>
        <w:adjustRightInd w:val="0"/>
        <w:rPr>
          <w:rFonts w:cs="Verdana"/>
          <w:lang w:val="en-GB"/>
        </w:rPr>
      </w:pPr>
    </w:p>
    <w:p w14:paraId="61E3AFE4" w14:textId="7D08A48F" w:rsidR="004F2274" w:rsidRPr="0058033D" w:rsidRDefault="004F2274" w:rsidP="006B36EA">
      <w:pPr>
        <w:rPr>
          <w:lang w:val="en-GB"/>
        </w:rPr>
      </w:pPr>
      <w:r w:rsidRPr="0058033D">
        <w:rPr>
          <w:lang w:val="en-GB"/>
        </w:rPr>
        <w:t xml:space="preserve">The </w:t>
      </w:r>
      <w:r w:rsidR="008F1238" w:rsidRPr="0058033D">
        <w:rPr>
          <w:lang w:val="en-GB"/>
        </w:rPr>
        <w:t xml:space="preserve">Regulations Derived </w:t>
      </w:r>
      <w:r w:rsidRPr="0058033D">
        <w:rPr>
          <w:lang w:val="en-GB"/>
        </w:rPr>
        <w:t>from the Budget Law (</w:t>
      </w:r>
      <w:r w:rsidRPr="0058033D">
        <w:rPr>
          <w:i/>
          <w:lang w:val="en-GB"/>
        </w:rPr>
        <w:t>Regeling Periodiek Evaluatieonderzoek</w:t>
      </w:r>
      <w:r w:rsidRPr="0058033D">
        <w:rPr>
          <w:lang w:val="en-GB"/>
        </w:rPr>
        <w:t xml:space="preserve"> - RPE) prescribe that the </w:t>
      </w:r>
      <w:r w:rsidR="00225980" w:rsidRPr="0058033D">
        <w:rPr>
          <w:lang w:val="en-GB"/>
        </w:rPr>
        <w:t xml:space="preserve">overall </w:t>
      </w:r>
      <w:r w:rsidRPr="0058033D">
        <w:rPr>
          <w:lang w:val="en-GB"/>
        </w:rPr>
        <w:t>package of measures in a budget item (the policy mix) must be reviewed for legitimacy (what is the r</w:t>
      </w:r>
      <w:r w:rsidR="00A3463D">
        <w:rPr>
          <w:lang w:val="en-GB"/>
        </w:rPr>
        <w:t>easoning behind the policy</w:t>
      </w:r>
      <w:r w:rsidRPr="0058033D">
        <w:rPr>
          <w:lang w:val="en-GB"/>
        </w:rPr>
        <w:t>?), effectiveness (to what extent does the policy achieve its objectives and what is the social gain?) and efficiency (are the social benefits greater than the social cost and/or could the benefits be achieved at lower cost?).</w:t>
      </w:r>
      <w:r w:rsidRPr="0058033D">
        <w:rPr>
          <w:rStyle w:val="Voetnootmarkering"/>
          <w:lang w:val="en-GB"/>
        </w:rPr>
        <w:footnoteReference w:id="3"/>
      </w:r>
      <w:r w:rsidRPr="0058033D">
        <w:rPr>
          <w:lang w:val="en-GB"/>
        </w:rPr>
        <w:t xml:space="preserve"> </w:t>
      </w:r>
    </w:p>
    <w:p w14:paraId="76DF95A4" w14:textId="77777777" w:rsidR="004F2274" w:rsidRPr="0058033D" w:rsidRDefault="004F2274" w:rsidP="006B36EA">
      <w:pPr>
        <w:rPr>
          <w:lang w:val="en-GB"/>
        </w:rPr>
      </w:pPr>
    </w:p>
    <w:p w14:paraId="7A7CB048" w14:textId="48A422B1" w:rsidR="004F2274" w:rsidRPr="00F7025F" w:rsidRDefault="004F2274" w:rsidP="006B36EA">
      <w:pPr>
        <w:rPr>
          <w:lang w:val="en-GB"/>
        </w:rPr>
      </w:pPr>
      <w:r w:rsidRPr="0058033D">
        <w:rPr>
          <w:lang w:val="en-GB"/>
        </w:rPr>
        <w:t xml:space="preserve">Broadly, the background study concludes that </w:t>
      </w:r>
      <w:r w:rsidR="00225980" w:rsidRPr="0058033D">
        <w:rPr>
          <w:lang w:val="en-GB"/>
        </w:rPr>
        <w:t xml:space="preserve">the </w:t>
      </w:r>
      <w:r w:rsidRPr="0058033D">
        <w:rPr>
          <w:lang w:val="en-GB"/>
        </w:rPr>
        <w:t xml:space="preserve">policy has </w:t>
      </w:r>
      <w:r w:rsidR="00225980" w:rsidRPr="0058033D">
        <w:rPr>
          <w:lang w:val="en-GB"/>
        </w:rPr>
        <w:t>proper</w:t>
      </w:r>
      <w:r w:rsidRPr="0058033D">
        <w:rPr>
          <w:lang w:val="en-GB"/>
        </w:rPr>
        <w:t xml:space="preserve"> economic support (legitimate</w:t>
      </w:r>
      <w:r w:rsidRPr="00F7025F">
        <w:rPr>
          <w:lang w:val="en-GB"/>
        </w:rPr>
        <w:t xml:space="preserve">), </w:t>
      </w:r>
      <w:r w:rsidR="008F1238">
        <w:rPr>
          <w:lang w:val="en-GB"/>
        </w:rPr>
        <w:t xml:space="preserve">that </w:t>
      </w:r>
      <w:r w:rsidRPr="00F7025F">
        <w:rPr>
          <w:lang w:val="en-GB"/>
        </w:rPr>
        <w:t xml:space="preserve">most </w:t>
      </w:r>
      <w:r w:rsidR="00F7025F" w:rsidRPr="00F7025F">
        <w:rPr>
          <w:lang w:val="en-GB"/>
        </w:rPr>
        <w:t xml:space="preserve">of its </w:t>
      </w:r>
      <w:r w:rsidRPr="00F7025F">
        <w:rPr>
          <w:lang w:val="en-GB"/>
        </w:rPr>
        <w:t xml:space="preserve">instruments are effective (effectiveness is confirmed) and </w:t>
      </w:r>
      <w:r w:rsidR="008F1238">
        <w:rPr>
          <w:lang w:val="en-GB"/>
        </w:rPr>
        <w:t xml:space="preserve">that </w:t>
      </w:r>
      <w:r w:rsidR="00F7025F" w:rsidRPr="00F7025F">
        <w:rPr>
          <w:lang w:val="en-GB"/>
        </w:rPr>
        <w:t>it</w:t>
      </w:r>
      <w:r w:rsidRPr="00F7025F">
        <w:rPr>
          <w:lang w:val="en-GB"/>
        </w:rPr>
        <w:t xml:space="preserve"> is being implemented efficiently (‘micro-efficiency’). It established that too little information is available to </w:t>
      </w:r>
      <w:r w:rsidR="00225980" w:rsidRPr="00F7025F">
        <w:rPr>
          <w:lang w:val="en-GB"/>
        </w:rPr>
        <w:t>support</w:t>
      </w:r>
      <w:r w:rsidRPr="00F7025F">
        <w:rPr>
          <w:lang w:val="en-GB"/>
        </w:rPr>
        <w:t xml:space="preserve"> comment</w:t>
      </w:r>
      <w:r w:rsidR="00225980" w:rsidRPr="00F7025F">
        <w:rPr>
          <w:lang w:val="en-GB"/>
        </w:rPr>
        <w:t>s</w:t>
      </w:r>
      <w:r w:rsidRPr="00F7025F">
        <w:rPr>
          <w:lang w:val="en-GB"/>
        </w:rPr>
        <w:t xml:space="preserve"> on ‘macro-efficiency’ (weighing the total costs of the policy against the total benefits, or could the objectives be reached more cheaply?). This is mainly because of methodological limitations and the state of economic research in this area.</w:t>
      </w:r>
    </w:p>
    <w:p w14:paraId="1C83B62A" w14:textId="77777777" w:rsidR="004F2274" w:rsidRPr="00F7025F" w:rsidRDefault="004F2274" w:rsidP="00D73C59">
      <w:pPr>
        <w:autoSpaceDE w:val="0"/>
        <w:autoSpaceDN w:val="0"/>
        <w:adjustRightInd w:val="0"/>
        <w:rPr>
          <w:rFonts w:cs="Verdana"/>
          <w:lang w:val="en-GB"/>
        </w:rPr>
      </w:pPr>
    </w:p>
    <w:p w14:paraId="03F0346A" w14:textId="1E9A7EBB" w:rsidR="004F2274" w:rsidRPr="0058033D" w:rsidRDefault="004F2274" w:rsidP="00D73C59">
      <w:pPr>
        <w:autoSpaceDE w:val="0"/>
        <w:autoSpaceDN w:val="0"/>
        <w:adjustRightInd w:val="0"/>
        <w:rPr>
          <w:color w:val="000000"/>
          <w:lang w:val="en-GB"/>
        </w:rPr>
      </w:pPr>
      <w:r w:rsidRPr="00F7025F">
        <w:rPr>
          <w:color w:val="000000"/>
          <w:lang w:val="en-GB"/>
        </w:rPr>
        <w:t xml:space="preserve">The background study makes a number of observations </w:t>
      </w:r>
      <w:r w:rsidR="00225980" w:rsidRPr="00F7025F">
        <w:rPr>
          <w:color w:val="000000"/>
          <w:lang w:val="en-GB"/>
        </w:rPr>
        <w:t>on</w:t>
      </w:r>
      <w:r w:rsidRPr="00F7025F">
        <w:rPr>
          <w:color w:val="000000"/>
          <w:lang w:val="en-GB"/>
        </w:rPr>
        <w:t xml:space="preserve"> possible reorientation </w:t>
      </w:r>
      <w:r w:rsidR="00225980" w:rsidRPr="00F7025F">
        <w:rPr>
          <w:color w:val="000000"/>
          <w:lang w:val="en-GB"/>
        </w:rPr>
        <w:t>of</w:t>
      </w:r>
      <w:r w:rsidRPr="00F7025F">
        <w:rPr>
          <w:color w:val="000000"/>
          <w:lang w:val="en-GB"/>
        </w:rPr>
        <w:t xml:space="preserve"> the balance and composition of the policy mix. Such improvements in the policy mix could potentially lead to a reduction in the cost of policy and/or to an improvement in the social gains from </w:t>
      </w:r>
      <w:r w:rsidR="00F7025F" w:rsidRPr="00F7025F">
        <w:rPr>
          <w:color w:val="000000"/>
          <w:lang w:val="en-GB"/>
        </w:rPr>
        <w:t>it</w:t>
      </w:r>
      <w:r w:rsidRPr="00F7025F">
        <w:rPr>
          <w:color w:val="000000"/>
          <w:lang w:val="en-GB"/>
        </w:rPr>
        <w:t>.</w:t>
      </w:r>
      <w:r w:rsidRPr="0058033D">
        <w:rPr>
          <w:color w:val="000000"/>
          <w:lang w:val="en-GB"/>
        </w:rPr>
        <w:t xml:space="preserve"> It also makes a number of suggestions on improving the quality of policy, communications and the policy cycle. Table 1 summarizes the recommendations of the background study and gives the </w:t>
      </w:r>
      <w:r w:rsidR="00567DBF" w:rsidRPr="0058033D">
        <w:rPr>
          <w:color w:val="000000"/>
          <w:lang w:val="en-GB"/>
        </w:rPr>
        <w:t>government</w:t>
      </w:r>
      <w:r w:rsidRPr="0058033D">
        <w:rPr>
          <w:color w:val="000000"/>
          <w:lang w:val="en-GB"/>
        </w:rPr>
        <w:t xml:space="preserve">’s brief responses, which are </w:t>
      </w:r>
      <w:r w:rsidR="00225980" w:rsidRPr="0058033D">
        <w:rPr>
          <w:color w:val="000000"/>
          <w:lang w:val="en-GB"/>
        </w:rPr>
        <w:t>explained</w:t>
      </w:r>
      <w:r w:rsidRPr="0058033D">
        <w:rPr>
          <w:color w:val="000000"/>
          <w:lang w:val="en-GB"/>
        </w:rPr>
        <w:t xml:space="preserve"> below in the ‘</w:t>
      </w:r>
      <w:r w:rsidR="0059538F" w:rsidRPr="0058033D">
        <w:rPr>
          <w:color w:val="000000"/>
          <w:lang w:val="en-GB"/>
        </w:rPr>
        <w:t xml:space="preserve">A </w:t>
      </w:r>
      <w:r w:rsidRPr="0058033D">
        <w:rPr>
          <w:color w:val="000000"/>
          <w:lang w:val="en-GB"/>
        </w:rPr>
        <w:t>view to the future’</w:t>
      </w:r>
      <w:r w:rsidR="00225980" w:rsidRPr="0058033D">
        <w:rPr>
          <w:color w:val="000000"/>
          <w:lang w:val="en-GB"/>
        </w:rPr>
        <w:t xml:space="preserve"> section of this letter</w:t>
      </w:r>
      <w:r w:rsidR="00A3463D">
        <w:rPr>
          <w:color w:val="000000"/>
          <w:lang w:val="en-GB"/>
        </w:rPr>
        <w:t>.</w:t>
      </w:r>
    </w:p>
    <w:p w14:paraId="3117811A" w14:textId="77777777" w:rsidR="004F2274" w:rsidRPr="0058033D" w:rsidRDefault="004F2274">
      <w:pPr>
        <w:spacing w:line="240" w:lineRule="auto"/>
        <w:rPr>
          <w:color w:val="000000"/>
          <w:lang w:val="en-GB"/>
        </w:rPr>
      </w:pPr>
    </w:p>
    <w:p w14:paraId="6DC09DEE" w14:textId="27483994" w:rsidR="004F2274" w:rsidRDefault="00D702F3" w:rsidP="00D73C59">
      <w:pPr>
        <w:rPr>
          <w:i/>
          <w:color w:val="000000"/>
          <w:lang w:val="en-GB"/>
        </w:rPr>
      </w:pPr>
      <w:r w:rsidRPr="0058033D">
        <w:rPr>
          <w:i/>
          <w:color w:val="000000"/>
          <w:lang w:val="en-GB"/>
        </w:rPr>
        <w:br w:type="page"/>
      </w:r>
      <w:r w:rsidR="004F2274" w:rsidRPr="0058033D">
        <w:rPr>
          <w:i/>
          <w:color w:val="000000"/>
          <w:lang w:val="en-GB"/>
        </w:rPr>
        <w:lastRenderedPageBreak/>
        <w:t xml:space="preserve">Table 1: </w:t>
      </w:r>
      <w:r w:rsidR="00567DBF" w:rsidRPr="0058033D">
        <w:rPr>
          <w:i/>
          <w:color w:val="000000"/>
          <w:lang w:val="en-GB"/>
        </w:rPr>
        <w:t>Government</w:t>
      </w:r>
      <w:r w:rsidR="004F2274" w:rsidRPr="0058033D">
        <w:rPr>
          <w:i/>
          <w:color w:val="000000"/>
          <w:lang w:val="en-GB"/>
        </w:rPr>
        <w:t xml:space="preserve"> response to the recommendations</w:t>
      </w:r>
    </w:p>
    <w:p w14:paraId="4212948A" w14:textId="77777777" w:rsidR="001021EB" w:rsidRPr="0058033D" w:rsidRDefault="001021EB" w:rsidP="00D73C59">
      <w:pPr>
        <w:rPr>
          <w:i/>
          <w:color w:val="000000"/>
          <w:lang w:val="en-GB"/>
        </w:rPr>
      </w:pPr>
    </w:p>
    <w:tbl>
      <w:tblPr>
        <w:tblW w:w="0" w:type="auto"/>
        <w:tblCellMar>
          <w:left w:w="0" w:type="dxa"/>
          <w:right w:w="0" w:type="dxa"/>
        </w:tblCellMar>
        <w:tblLook w:val="00A0" w:firstRow="1" w:lastRow="0" w:firstColumn="1" w:lastColumn="0" w:noHBand="0" w:noVBand="0"/>
      </w:tblPr>
      <w:tblGrid>
        <w:gridCol w:w="3261"/>
        <w:gridCol w:w="4484"/>
      </w:tblGrid>
      <w:tr w:rsidR="004F2274" w:rsidRPr="0058033D" w14:paraId="79C3357C" w14:textId="77777777">
        <w:trPr>
          <w:cantSplit/>
          <w:trHeight w:val="302"/>
          <w:tblHeader/>
        </w:trPr>
        <w:tc>
          <w:tcPr>
            <w:tcW w:w="3261" w:type="dxa"/>
            <w:tcBorders>
              <w:top w:val="single" w:sz="8" w:space="0" w:color="4F81BD"/>
              <w:left w:val="single" w:sz="8" w:space="0" w:color="4F81BD"/>
              <w:bottom w:val="nil"/>
              <w:right w:val="nil"/>
            </w:tcBorders>
            <w:shd w:val="clear" w:color="auto" w:fill="4F81BD"/>
            <w:tcMar>
              <w:top w:w="0" w:type="dxa"/>
              <w:left w:w="108" w:type="dxa"/>
              <w:bottom w:w="0" w:type="dxa"/>
              <w:right w:w="108" w:type="dxa"/>
            </w:tcMar>
          </w:tcPr>
          <w:p w14:paraId="1177AB59" w14:textId="77777777" w:rsidR="004F2274" w:rsidRPr="0058033D" w:rsidRDefault="004F2274" w:rsidP="00273432">
            <w:pPr>
              <w:rPr>
                <w:lang w:val="en-GB" w:eastAsia="en-US"/>
              </w:rPr>
            </w:pPr>
            <w:r w:rsidRPr="0058033D">
              <w:rPr>
                <w:b/>
                <w:bCs/>
                <w:color w:val="FFFFFF"/>
                <w:sz w:val="16"/>
                <w:lang w:val="en-GB"/>
              </w:rPr>
              <w:t>Recommendation in the background study</w:t>
            </w:r>
          </w:p>
        </w:tc>
        <w:tc>
          <w:tcPr>
            <w:tcW w:w="4484" w:type="dxa"/>
            <w:tcBorders>
              <w:top w:val="single" w:sz="8" w:space="0" w:color="4F81BD"/>
              <w:left w:val="nil"/>
              <w:bottom w:val="nil"/>
              <w:right w:val="single" w:sz="8" w:space="0" w:color="4F81BD"/>
            </w:tcBorders>
            <w:shd w:val="clear" w:color="auto" w:fill="4F81BD"/>
            <w:tcMar>
              <w:top w:w="0" w:type="dxa"/>
              <w:left w:w="108" w:type="dxa"/>
              <w:bottom w:w="0" w:type="dxa"/>
              <w:right w:w="108" w:type="dxa"/>
            </w:tcMar>
          </w:tcPr>
          <w:p w14:paraId="36F540C9" w14:textId="5A2A3E0F" w:rsidR="004F2274" w:rsidRPr="0058033D" w:rsidRDefault="00567DBF" w:rsidP="00273432">
            <w:pPr>
              <w:rPr>
                <w:lang w:val="en-GB" w:eastAsia="en-US"/>
              </w:rPr>
            </w:pPr>
            <w:r w:rsidRPr="0058033D">
              <w:rPr>
                <w:b/>
                <w:bCs/>
                <w:color w:val="FFFFFF"/>
                <w:sz w:val="16"/>
                <w:lang w:val="en-GB"/>
              </w:rPr>
              <w:t>Government</w:t>
            </w:r>
            <w:r w:rsidR="004F2274" w:rsidRPr="0058033D">
              <w:rPr>
                <w:b/>
                <w:bCs/>
                <w:color w:val="FFFFFF"/>
                <w:sz w:val="16"/>
                <w:lang w:val="en-GB"/>
              </w:rPr>
              <w:t xml:space="preserve"> response</w:t>
            </w:r>
          </w:p>
        </w:tc>
      </w:tr>
      <w:tr w:rsidR="004F2274" w:rsidRPr="001B564F" w14:paraId="0216CC99" w14:textId="77777777">
        <w:trPr>
          <w:cantSplit/>
          <w:trHeight w:val="206"/>
        </w:trPr>
        <w:tc>
          <w:tcPr>
            <w:tcW w:w="7745" w:type="dxa"/>
            <w:gridSpan w:val="2"/>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0E7C76A" w14:textId="77777777" w:rsidR="004F2274" w:rsidRPr="0058033D" w:rsidRDefault="004F2274" w:rsidP="00993646">
            <w:pPr>
              <w:rPr>
                <w:lang w:val="en-GB" w:eastAsia="en-US"/>
              </w:rPr>
            </w:pPr>
            <w:r w:rsidRPr="0058033D">
              <w:rPr>
                <w:b/>
                <w:bCs/>
                <w:sz w:val="16"/>
                <w:lang w:val="en-GB"/>
              </w:rPr>
              <w:t> </w:t>
            </w:r>
          </w:p>
          <w:p w14:paraId="66DA009A" w14:textId="77777777" w:rsidR="004F2274" w:rsidRPr="0058033D" w:rsidRDefault="004F2274" w:rsidP="00273432">
            <w:pPr>
              <w:jc w:val="center"/>
              <w:rPr>
                <w:lang w:val="en-GB"/>
              </w:rPr>
            </w:pPr>
            <w:r w:rsidRPr="0058033D">
              <w:rPr>
                <w:b/>
                <w:bCs/>
                <w:i/>
                <w:iCs/>
                <w:lang w:val="en-GB"/>
              </w:rPr>
              <w:t>Lower costs and/or higher gains and better return</w:t>
            </w:r>
          </w:p>
          <w:p w14:paraId="5455FEA4" w14:textId="77777777" w:rsidR="004F2274" w:rsidRPr="0058033D" w:rsidRDefault="004F2274" w:rsidP="00993646">
            <w:pPr>
              <w:rPr>
                <w:lang w:val="en-GB" w:eastAsia="en-US"/>
              </w:rPr>
            </w:pPr>
            <w:r w:rsidRPr="0058033D">
              <w:rPr>
                <w:b/>
                <w:bCs/>
                <w:i/>
                <w:iCs/>
                <w:lang w:val="en-GB"/>
              </w:rPr>
              <w:t> </w:t>
            </w:r>
          </w:p>
        </w:tc>
      </w:tr>
      <w:tr w:rsidR="004F2274" w:rsidRPr="001B564F" w14:paraId="5624AFD2" w14:textId="77777777">
        <w:trPr>
          <w:cantSplit/>
          <w:trHeight w:val="603"/>
        </w:trPr>
        <w:tc>
          <w:tcPr>
            <w:tcW w:w="3261" w:type="dxa"/>
            <w:tcBorders>
              <w:top w:val="nil"/>
              <w:left w:val="single" w:sz="8" w:space="0" w:color="4F81BD"/>
              <w:bottom w:val="nil"/>
              <w:right w:val="nil"/>
            </w:tcBorders>
            <w:tcMar>
              <w:top w:w="0" w:type="dxa"/>
              <w:left w:w="108" w:type="dxa"/>
              <w:bottom w:w="0" w:type="dxa"/>
              <w:right w:w="108" w:type="dxa"/>
            </w:tcMar>
          </w:tcPr>
          <w:p w14:paraId="3FB3B617" w14:textId="77777777" w:rsidR="004F2274" w:rsidRPr="0058033D" w:rsidRDefault="004F2274" w:rsidP="00A660C9">
            <w:pPr>
              <w:numPr>
                <w:ilvl w:val="0"/>
                <w:numId w:val="25"/>
              </w:numPr>
              <w:ind w:left="142" w:hanging="153"/>
              <w:contextualSpacing/>
              <w:rPr>
                <w:lang w:val="en-GB" w:eastAsia="en-US"/>
              </w:rPr>
            </w:pPr>
            <w:r w:rsidRPr="0058033D">
              <w:rPr>
                <w:b/>
                <w:bCs/>
                <w:sz w:val="16"/>
                <w:lang w:val="en-GB"/>
              </w:rPr>
              <w:t>Reconsider tax incentives to enterprises.</w:t>
            </w:r>
          </w:p>
        </w:tc>
        <w:tc>
          <w:tcPr>
            <w:tcW w:w="4484" w:type="dxa"/>
            <w:tcBorders>
              <w:top w:val="nil"/>
              <w:left w:val="nil"/>
              <w:bottom w:val="nil"/>
              <w:right w:val="single" w:sz="8" w:space="0" w:color="4F81BD"/>
            </w:tcBorders>
            <w:tcMar>
              <w:top w:w="0" w:type="dxa"/>
              <w:left w:w="108" w:type="dxa"/>
              <w:bottom w:w="0" w:type="dxa"/>
              <w:right w:w="108" w:type="dxa"/>
            </w:tcMar>
          </w:tcPr>
          <w:p w14:paraId="6C5D6626" w14:textId="6A714918" w:rsidR="004F2274" w:rsidRPr="0058033D" w:rsidRDefault="004F2274" w:rsidP="00296D42">
            <w:pPr>
              <w:numPr>
                <w:ilvl w:val="0"/>
                <w:numId w:val="26"/>
              </w:numPr>
              <w:ind w:left="75" w:hanging="153"/>
              <w:contextualSpacing/>
              <w:rPr>
                <w:lang w:val="en-GB" w:eastAsia="en-US"/>
              </w:rPr>
            </w:pPr>
            <w:r w:rsidRPr="0058033D">
              <w:rPr>
                <w:sz w:val="16"/>
                <w:lang w:val="en-GB"/>
              </w:rPr>
              <w:t xml:space="preserve">The </w:t>
            </w:r>
            <w:r w:rsidR="00567DBF" w:rsidRPr="0058033D">
              <w:rPr>
                <w:sz w:val="16"/>
                <w:lang w:val="en-GB"/>
              </w:rPr>
              <w:t>government</w:t>
            </w:r>
            <w:r w:rsidRPr="0058033D">
              <w:rPr>
                <w:sz w:val="16"/>
                <w:lang w:val="en-GB"/>
              </w:rPr>
              <w:t xml:space="preserve"> addresses the </w:t>
            </w:r>
            <w:r w:rsidR="0059538F" w:rsidRPr="0058033D">
              <w:rPr>
                <w:sz w:val="16"/>
                <w:lang w:val="en-GB"/>
              </w:rPr>
              <w:t xml:space="preserve">tax incentives to </w:t>
            </w:r>
            <w:r w:rsidRPr="0058033D">
              <w:rPr>
                <w:sz w:val="16"/>
                <w:lang w:val="en-GB"/>
              </w:rPr>
              <w:t>enterprises in its response to the IBO-ZZP and</w:t>
            </w:r>
            <w:r w:rsidR="0059538F" w:rsidRPr="0058033D">
              <w:rPr>
                <w:sz w:val="16"/>
                <w:lang w:val="en-GB"/>
              </w:rPr>
              <w:t xml:space="preserve"> in the context of the revision</w:t>
            </w:r>
            <w:r w:rsidRPr="0058033D">
              <w:rPr>
                <w:sz w:val="16"/>
                <w:lang w:val="en-GB"/>
              </w:rPr>
              <w:t xml:space="preserve"> of the tax system.</w:t>
            </w:r>
          </w:p>
        </w:tc>
      </w:tr>
      <w:tr w:rsidR="004F2274" w:rsidRPr="001B564F" w14:paraId="0E179270" w14:textId="77777777">
        <w:trPr>
          <w:cantSplit/>
          <w:trHeight w:val="756"/>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5879FA68" w14:textId="0546BF1F" w:rsidR="004F2274" w:rsidRPr="0058033D" w:rsidRDefault="004F2274" w:rsidP="0059538F">
            <w:pPr>
              <w:numPr>
                <w:ilvl w:val="0"/>
                <w:numId w:val="25"/>
              </w:numPr>
              <w:ind w:left="142" w:hanging="153"/>
              <w:contextualSpacing/>
              <w:rPr>
                <w:lang w:val="en-GB" w:eastAsia="en-US"/>
              </w:rPr>
            </w:pPr>
            <w:r w:rsidRPr="0058033D">
              <w:rPr>
                <w:b/>
                <w:bCs/>
                <w:sz w:val="16"/>
                <w:lang w:val="en-GB"/>
              </w:rPr>
              <w:t xml:space="preserve">Reorientation </w:t>
            </w:r>
            <w:r w:rsidR="0059538F" w:rsidRPr="0058033D">
              <w:rPr>
                <w:b/>
                <w:bCs/>
                <w:sz w:val="16"/>
                <w:lang w:val="en-GB"/>
              </w:rPr>
              <w:t>from</w:t>
            </w:r>
            <w:r w:rsidRPr="0058033D">
              <w:rPr>
                <w:b/>
                <w:bCs/>
                <w:sz w:val="16"/>
                <w:lang w:val="en-GB"/>
              </w:rPr>
              <w:t xml:space="preserve"> relatively heavy use by SME target group and </w:t>
            </w:r>
            <w:r w:rsidR="0059538F" w:rsidRPr="0058033D">
              <w:rPr>
                <w:b/>
                <w:bCs/>
                <w:sz w:val="16"/>
                <w:lang w:val="en-GB"/>
              </w:rPr>
              <w:t xml:space="preserve">place </w:t>
            </w:r>
            <w:r w:rsidRPr="0058033D">
              <w:rPr>
                <w:b/>
                <w:bCs/>
                <w:sz w:val="16"/>
                <w:lang w:val="en-GB"/>
              </w:rPr>
              <w:t>focus on incentives to enterprises.</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5A884FEE" w14:textId="77777777" w:rsidR="004F2274" w:rsidRPr="0058033D" w:rsidRDefault="004F2274" w:rsidP="00273432">
            <w:pPr>
              <w:numPr>
                <w:ilvl w:val="0"/>
                <w:numId w:val="26"/>
              </w:numPr>
              <w:ind w:left="75" w:hanging="153"/>
              <w:contextualSpacing/>
              <w:rPr>
                <w:sz w:val="16"/>
                <w:lang w:val="en-GB"/>
              </w:rPr>
            </w:pPr>
            <w:r w:rsidRPr="0058033D">
              <w:rPr>
                <w:sz w:val="16"/>
                <w:lang w:val="en-GB"/>
              </w:rPr>
              <w:t xml:space="preserve">The use by SMEs has a relatively large budgetary effect because of tax incentives to enterprises (see above). </w:t>
            </w:r>
          </w:p>
          <w:p w14:paraId="3A6F49BC" w14:textId="314BBBBC" w:rsidR="004F2274" w:rsidRPr="0058033D" w:rsidRDefault="004F2274" w:rsidP="00273432">
            <w:pPr>
              <w:numPr>
                <w:ilvl w:val="0"/>
                <w:numId w:val="26"/>
              </w:numPr>
              <w:ind w:left="75" w:hanging="153"/>
              <w:contextualSpacing/>
              <w:rPr>
                <w:lang w:val="en-GB"/>
              </w:rPr>
            </w:pPr>
            <w:r w:rsidRPr="0058033D">
              <w:rPr>
                <w:sz w:val="16"/>
                <w:lang w:val="en-GB"/>
              </w:rPr>
              <w:t xml:space="preserve">SMEs are a large, widely varied target group that </w:t>
            </w:r>
            <w:r w:rsidR="0059538F" w:rsidRPr="0058033D">
              <w:rPr>
                <w:sz w:val="16"/>
                <w:lang w:val="en-GB"/>
              </w:rPr>
              <w:t>warrants</w:t>
            </w:r>
            <w:r w:rsidRPr="0058033D">
              <w:rPr>
                <w:sz w:val="16"/>
                <w:lang w:val="en-GB"/>
              </w:rPr>
              <w:t xml:space="preserve"> customization. The ambitious enterprise programme was started in 2014 partly as a result of this and to promote growth of enterprises. A ‘special start-ups envoy’ </w:t>
            </w:r>
            <w:r w:rsidR="0059538F" w:rsidRPr="0058033D">
              <w:rPr>
                <w:sz w:val="16"/>
                <w:lang w:val="en-GB"/>
              </w:rPr>
              <w:t>has been</w:t>
            </w:r>
            <w:r w:rsidRPr="0058033D">
              <w:rPr>
                <w:sz w:val="16"/>
                <w:lang w:val="en-GB"/>
              </w:rPr>
              <w:t xml:space="preserve"> appointed and the Take-off-STW programme was s</w:t>
            </w:r>
            <w:r w:rsidR="0059538F" w:rsidRPr="0058033D">
              <w:rPr>
                <w:sz w:val="16"/>
                <w:lang w:val="en-GB"/>
              </w:rPr>
              <w:t>e</w:t>
            </w:r>
            <w:r w:rsidRPr="0058033D">
              <w:rPr>
                <w:sz w:val="16"/>
                <w:lang w:val="en-GB"/>
              </w:rPr>
              <w:t>t</w:t>
            </w:r>
            <w:r w:rsidR="0059538F" w:rsidRPr="0058033D">
              <w:rPr>
                <w:sz w:val="16"/>
                <w:lang w:val="en-GB"/>
              </w:rPr>
              <w:t xml:space="preserve"> up for start-ups</w:t>
            </w:r>
            <w:r w:rsidRPr="0058033D">
              <w:rPr>
                <w:sz w:val="16"/>
                <w:lang w:val="en-GB"/>
              </w:rPr>
              <w:t xml:space="preserve">. The </w:t>
            </w:r>
            <w:r w:rsidR="00567DBF" w:rsidRPr="0058033D">
              <w:rPr>
                <w:sz w:val="16"/>
                <w:lang w:val="en-GB"/>
              </w:rPr>
              <w:t>government</w:t>
            </w:r>
            <w:r w:rsidRPr="0058033D">
              <w:rPr>
                <w:sz w:val="16"/>
                <w:lang w:val="en-GB"/>
              </w:rPr>
              <w:t xml:space="preserve"> has paid attention to challengers in the innovation-based procurement programme (incl. via SBIR). The </w:t>
            </w:r>
            <w:r w:rsidR="00567DBF" w:rsidRPr="0058033D">
              <w:rPr>
                <w:sz w:val="16"/>
                <w:lang w:val="en-GB"/>
              </w:rPr>
              <w:t>government</w:t>
            </w:r>
            <w:r w:rsidRPr="0058033D">
              <w:rPr>
                <w:sz w:val="16"/>
                <w:lang w:val="en-GB"/>
              </w:rPr>
              <w:t xml:space="preserve"> has also co-financed and recently expanded the DVI.</w:t>
            </w:r>
          </w:p>
          <w:p w14:paraId="5A6C76D4" w14:textId="36A228E2" w:rsidR="004F2274" w:rsidRPr="0058033D" w:rsidRDefault="004F2274" w:rsidP="00296D42">
            <w:pPr>
              <w:numPr>
                <w:ilvl w:val="0"/>
                <w:numId w:val="26"/>
              </w:numPr>
              <w:ind w:left="75" w:hanging="153"/>
              <w:contextualSpacing/>
              <w:rPr>
                <w:lang w:val="en-GB" w:eastAsia="en-US"/>
              </w:rPr>
            </w:pPr>
            <w:r w:rsidRPr="0058033D">
              <w:rPr>
                <w:sz w:val="16"/>
                <w:lang w:val="en-GB"/>
              </w:rPr>
              <w:t xml:space="preserve">The </w:t>
            </w:r>
            <w:r w:rsidR="00567DBF" w:rsidRPr="0058033D">
              <w:rPr>
                <w:sz w:val="16"/>
                <w:lang w:val="en-GB"/>
              </w:rPr>
              <w:t>government</w:t>
            </w:r>
            <w:r w:rsidRPr="0058033D">
              <w:rPr>
                <w:sz w:val="16"/>
                <w:lang w:val="en-GB"/>
              </w:rPr>
              <w:t xml:space="preserve"> is also working on improved data on SMEs and entrepreneurship, w</w:t>
            </w:r>
            <w:r w:rsidR="00F7025F">
              <w:rPr>
                <w:sz w:val="16"/>
                <w:lang w:val="en-GB"/>
              </w:rPr>
              <w:t xml:space="preserve">hich will be the basis </w:t>
            </w:r>
            <w:r w:rsidR="00F7025F" w:rsidRPr="003F022A">
              <w:rPr>
                <w:sz w:val="16"/>
                <w:lang w:val="en-GB"/>
              </w:rPr>
              <w:t xml:space="preserve">for the </w:t>
            </w:r>
            <w:r w:rsidR="003F022A" w:rsidRPr="003F022A">
              <w:rPr>
                <w:i/>
                <w:sz w:val="16"/>
                <w:lang w:val="en-GB"/>
              </w:rPr>
              <w:t>De</w:t>
            </w:r>
            <w:r w:rsidRPr="003F022A">
              <w:rPr>
                <w:i/>
                <w:sz w:val="16"/>
                <w:lang w:val="en-GB"/>
              </w:rPr>
              <w:t xml:space="preserve"> Staat </w:t>
            </w:r>
            <w:r w:rsidR="003F022A" w:rsidRPr="003F022A">
              <w:rPr>
                <w:i/>
                <w:sz w:val="16"/>
                <w:lang w:val="en-GB"/>
              </w:rPr>
              <w:t>van</w:t>
            </w:r>
            <w:r w:rsidR="00F7025F" w:rsidRPr="003F022A">
              <w:rPr>
                <w:i/>
                <w:sz w:val="16"/>
                <w:lang w:val="en-GB"/>
              </w:rPr>
              <w:t xml:space="preserve"> het</w:t>
            </w:r>
            <w:r w:rsidR="00F7025F" w:rsidRPr="00F7025F">
              <w:rPr>
                <w:i/>
                <w:sz w:val="16"/>
                <w:lang w:val="en-GB"/>
              </w:rPr>
              <w:t xml:space="preserve"> Mkb</w:t>
            </w:r>
            <w:r w:rsidRPr="0058033D">
              <w:rPr>
                <w:sz w:val="16"/>
                <w:lang w:val="en-GB"/>
              </w:rPr>
              <w:t xml:space="preserve"> monitor to be published this year. </w:t>
            </w:r>
            <w:r w:rsidRPr="0058033D">
              <w:rPr>
                <w:color w:val="222222"/>
                <w:sz w:val="16"/>
                <w:shd w:val="clear" w:color="auto" w:fill="FFFFFF"/>
                <w:lang w:val="en-GB"/>
              </w:rPr>
              <w:t xml:space="preserve">The </w:t>
            </w:r>
            <w:r w:rsidR="00A47959">
              <w:rPr>
                <w:color w:val="222222"/>
                <w:sz w:val="16"/>
                <w:shd w:val="clear" w:color="auto" w:fill="FFFFFF"/>
                <w:lang w:val="en-GB"/>
              </w:rPr>
              <w:t xml:space="preserve">Dutch </w:t>
            </w:r>
            <w:r w:rsidRPr="0058033D">
              <w:rPr>
                <w:color w:val="222222"/>
                <w:sz w:val="16"/>
                <w:shd w:val="clear" w:color="auto" w:fill="FFFFFF"/>
                <w:lang w:val="en-GB"/>
              </w:rPr>
              <w:t xml:space="preserve">Committee for Enterprise and Finance </w:t>
            </w:r>
            <w:r w:rsidRPr="0058033D">
              <w:rPr>
                <w:sz w:val="16"/>
                <w:lang w:val="en-GB"/>
              </w:rPr>
              <w:t xml:space="preserve">has been involved in this. </w:t>
            </w:r>
          </w:p>
        </w:tc>
      </w:tr>
      <w:tr w:rsidR="004F2274" w:rsidRPr="001B564F" w14:paraId="13B0A4CF" w14:textId="77777777">
        <w:trPr>
          <w:cantSplit/>
          <w:trHeight w:val="1006"/>
        </w:trPr>
        <w:tc>
          <w:tcPr>
            <w:tcW w:w="3261" w:type="dxa"/>
            <w:tcBorders>
              <w:top w:val="nil"/>
              <w:left w:val="single" w:sz="8" w:space="0" w:color="4F81BD"/>
              <w:bottom w:val="nil"/>
              <w:right w:val="nil"/>
            </w:tcBorders>
            <w:tcMar>
              <w:top w:w="0" w:type="dxa"/>
              <w:left w:w="108" w:type="dxa"/>
              <w:bottom w:w="0" w:type="dxa"/>
              <w:right w:w="108" w:type="dxa"/>
            </w:tcMar>
          </w:tcPr>
          <w:p w14:paraId="395989FC" w14:textId="77777777" w:rsidR="004F2274" w:rsidRPr="0058033D" w:rsidRDefault="004F2274" w:rsidP="001B292D">
            <w:pPr>
              <w:numPr>
                <w:ilvl w:val="0"/>
                <w:numId w:val="25"/>
              </w:numPr>
              <w:ind w:left="142" w:hanging="153"/>
              <w:contextualSpacing/>
              <w:rPr>
                <w:lang w:val="en-GB" w:eastAsia="en-US"/>
              </w:rPr>
            </w:pPr>
            <w:r w:rsidRPr="0058033D">
              <w:rPr>
                <w:b/>
                <w:bCs/>
                <w:sz w:val="16"/>
                <w:lang w:val="en-GB"/>
              </w:rPr>
              <w:t>Less accumulation of instruments and clearer analysis of bottlenecks in instruments aimed at the same issue, particularly in the set of financing instruments.</w:t>
            </w:r>
          </w:p>
        </w:tc>
        <w:tc>
          <w:tcPr>
            <w:tcW w:w="4484" w:type="dxa"/>
            <w:tcBorders>
              <w:top w:val="nil"/>
              <w:left w:val="nil"/>
              <w:bottom w:val="nil"/>
              <w:right w:val="single" w:sz="8" w:space="0" w:color="4F81BD"/>
            </w:tcBorders>
            <w:tcMar>
              <w:top w:w="0" w:type="dxa"/>
              <w:left w:w="108" w:type="dxa"/>
              <w:bottom w:w="0" w:type="dxa"/>
              <w:right w:w="108" w:type="dxa"/>
            </w:tcMar>
          </w:tcPr>
          <w:p w14:paraId="3B0F6456" w14:textId="70AD38D7" w:rsidR="004F2274" w:rsidRPr="0058033D" w:rsidRDefault="004F2274" w:rsidP="00273432">
            <w:pPr>
              <w:numPr>
                <w:ilvl w:val="0"/>
                <w:numId w:val="26"/>
              </w:numPr>
              <w:ind w:left="75" w:hanging="153"/>
              <w:contextualSpacing/>
              <w:rPr>
                <w:sz w:val="16"/>
                <w:lang w:val="en-GB" w:eastAsia="en-US"/>
              </w:rPr>
            </w:pPr>
            <w:r w:rsidRPr="0058033D">
              <w:rPr>
                <w:sz w:val="16"/>
                <w:lang w:val="en-GB"/>
              </w:rPr>
              <w:t xml:space="preserve">Both the financing issues and the solutions are varied and require customization. The </w:t>
            </w:r>
            <w:r w:rsidR="00567DBF" w:rsidRPr="0058033D">
              <w:rPr>
                <w:sz w:val="16"/>
                <w:lang w:val="en-GB"/>
              </w:rPr>
              <w:t>government</w:t>
            </w:r>
            <w:r w:rsidRPr="0058033D">
              <w:rPr>
                <w:sz w:val="16"/>
                <w:lang w:val="en-GB"/>
              </w:rPr>
              <w:t xml:space="preserve"> attaches importance to an effective and robust set of financing instruments.</w:t>
            </w:r>
          </w:p>
          <w:p w14:paraId="5888FE46" w14:textId="06074138" w:rsidR="004F2274" w:rsidRPr="0058033D" w:rsidRDefault="004F2274" w:rsidP="00273432">
            <w:pPr>
              <w:numPr>
                <w:ilvl w:val="0"/>
                <w:numId w:val="26"/>
              </w:numPr>
              <w:ind w:left="75" w:hanging="153"/>
              <w:contextualSpacing/>
              <w:rPr>
                <w:lang w:val="en-GB"/>
              </w:rPr>
            </w:pPr>
            <w:r w:rsidRPr="0058033D">
              <w:rPr>
                <w:sz w:val="16"/>
                <w:lang w:val="en-GB"/>
              </w:rPr>
              <w:t xml:space="preserve">The </w:t>
            </w:r>
            <w:r w:rsidR="00567DBF" w:rsidRPr="0058033D">
              <w:rPr>
                <w:sz w:val="16"/>
                <w:lang w:val="en-GB"/>
              </w:rPr>
              <w:t>government</w:t>
            </w:r>
            <w:r w:rsidRPr="0058033D">
              <w:rPr>
                <w:sz w:val="16"/>
                <w:lang w:val="en-GB"/>
              </w:rPr>
              <w:t xml:space="preserve"> w</w:t>
            </w:r>
            <w:r w:rsidR="002239DA">
              <w:rPr>
                <w:sz w:val="16"/>
                <w:lang w:val="en-GB"/>
              </w:rPr>
              <w:t>ill in the near future increase</w:t>
            </w:r>
            <w:r w:rsidRPr="0058033D">
              <w:rPr>
                <w:sz w:val="16"/>
                <w:lang w:val="en-GB"/>
              </w:rPr>
              <w:t xml:space="preserve"> clarity and </w:t>
            </w:r>
            <w:r w:rsidR="00292262" w:rsidRPr="0058033D">
              <w:rPr>
                <w:sz w:val="16"/>
                <w:lang w:val="en-GB"/>
              </w:rPr>
              <w:t>awareness</w:t>
            </w:r>
            <w:r w:rsidRPr="0058033D">
              <w:rPr>
                <w:sz w:val="16"/>
                <w:lang w:val="en-GB"/>
              </w:rPr>
              <w:t xml:space="preserve"> of the instruments, based on an analysis </w:t>
            </w:r>
            <w:r w:rsidR="00292262" w:rsidRPr="0058033D">
              <w:rPr>
                <w:sz w:val="16"/>
                <w:lang w:val="en-GB"/>
              </w:rPr>
              <w:t>by</w:t>
            </w:r>
            <w:r w:rsidRPr="0058033D">
              <w:rPr>
                <w:sz w:val="16"/>
                <w:lang w:val="en-GB"/>
              </w:rPr>
              <w:t xml:space="preserve"> the 2014 </w:t>
            </w:r>
            <w:r w:rsidR="008F1238" w:rsidRPr="0058033D">
              <w:rPr>
                <w:sz w:val="16"/>
                <w:lang w:val="en-GB"/>
              </w:rPr>
              <w:t xml:space="preserve">SME financing </w:t>
            </w:r>
            <w:r w:rsidRPr="0058033D">
              <w:rPr>
                <w:sz w:val="16"/>
                <w:lang w:val="en-GB"/>
              </w:rPr>
              <w:t>working group</w:t>
            </w:r>
            <w:r w:rsidR="008F1238">
              <w:rPr>
                <w:sz w:val="16"/>
                <w:lang w:val="en-GB"/>
              </w:rPr>
              <w:t>,</w:t>
            </w:r>
            <w:r w:rsidRPr="0058033D">
              <w:rPr>
                <w:sz w:val="16"/>
                <w:lang w:val="en-GB"/>
              </w:rPr>
              <w:t xml:space="preserve"> in consultation with</w:t>
            </w:r>
            <w:r w:rsidR="00A47959">
              <w:rPr>
                <w:sz w:val="16"/>
                <w:lang w:val="en-GB"/>
              </w:rPr>
              <w:t>, inter alia,</w:t>
            </w:r>
            <w:r w:rsidRPr="0058033D">
              <w:rPr>
                <w:sz w:val="16"/>
                <w:lang w:val="en-GB"/>
              </w:rPr>
              <w:t xml:space="preserve"> NVB and </w:t>
            </w:r>
            <w:r w:rsidR="00292262" w:rsidRPr="0058033D">
              <w:rPr>
                <w:sz w:val="16"/>
                <w:lang w:val="en-GB"/>
              </w:rPr>
              <w:t>MKB</w:t>
            </w:r>
            <w:r w:rsidRPr="0058033D">
              <w:rPr>
                <w:sz w:val="16"/>
                <w:lang w:val="en-GB"/>
              </w:rPr>
              <w:t>-NL.</w:t>
            </w:r>
          </w:p>
          <w:p w14:paraId="1A8FA4C4" w14:textId="099896E6" w:rsidR="004F2274" w:rsidRPr="0058033D" w:rsidRDefault="004F2274" w:rsidP="00072E8C">
            <w:pPr>
              <w:numPr>
                <w:ilvl w:val="0"/>
                <w:numId w:val="26"/>
              </w:numPr>
              <w:ind w:left="75" w:hanging="153"/>
              <w:contextualSpacing/>
              <w:rPr>
                <w:lang w:val="en-GB" w:eastAsia="en-US"/>
              </w:rPr>
            </w:pPr>
            <w:r w:rsidRPr="0058033D">
              <w:rPr>
                <w:color w:val="000000"/>
                <w:sz w:val="16"/>
                <w:lang w:val="en-GB"/>
              </w:rPr>
              <w:t>The</w:t>
            </w:r>
            <w:r w:rsidRPr="0058033D">
              <w:rPr>
                <w:sz w:val="16"/>
                <w:lang w:val="en-GB"/>
              </w:rPr>
              <w:t xml:space="preserve"> </w:t>
            </w:r>
            <w:r w:rsidR="00567DBF" w:rsidRPr="0058033D">
              <w:rPr>
                <w:sz w:val="16"/>
                <w:lang w:val="en-GB"/>
              </w:rPr>
              <w:t>government</w:t>
            </w:r>
            <w:r w:rsidRPr="0058033D">
              <w:rPr>
                <w:sz w:val="16"/>
                <w:lang w:val="en-GB"/>
              </w:rPr>
              <w:t xml:space="preserve"> intensively </w:t>
            </w:r>
            <w:r w:rsidRPr="0058033D">
              <w:rPr>
                <w:color w:val="000000"/>
                <w:sz w:val="16"/>
                <w:lang w:val="en-GB"/>
              </w:rPr>
              <w:t xml:space="preserve">evaluates </w:t>
            </w:r>
            <w:r w:rsidRPr="0058033D">
              <w:rPr>
                <w:sz w:val="16"/>
                <w:lang w:val="en-GB"/>
              </w:rPr>
              <w:t>and monitors the set of financing instruments</w:t>
            </w:r>
            <w:r w:rsidRPr="0058033D">
              <w:rPr>
                <w:sz w:val="14"/>
                <w:lang w:val="en-GB"/>
              </w:rPr>
              <w:t>.</w:t>
            </w:r>
            <w:r w:rsidRPr="0058033D">
              <w:rPr>
                <w:sz w:val="16"/>
                <w:lang w:val="en-GB"/>
              </w:rPr>
              <w:t xml:space="preserve"> In due course, this will also provide more insight into bottlenecks and possible accumulation of instruments.</w:t>
            </w:r>
          </w:p>
        </w:tc>
      </w:tr>
      <w:tr w:rsidR="004F2274" w:rsidRPr="001B564F" w14:paraId="71CE97ED" w14:textId="77777777">
        <w:trPr>
          <w:cantSplit/>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7AAF561D" w14:textId="77777777" w:rsidR="004F2274" w:rsidRPr="0058033D" w:rsidRDefault="004F2274" w:rsidP="00273432">
            <w:pPr>
              <w:numPr>
                <w:ilvl w:val="0"/>
                <w:numId w:val="27"/>
              </w:numPr>
              <w:ind w:left="142" w:hanging="153"/>
              <w:contextualSpacing/>
              <w:rPr>
                <w:lang w:val="en-GB" w:eastAsia="en-US"/>
              </w:rPr>
            </w:pPr>
            <w:r w:rsidRPr="0058033D">
              <w:rPr>
                <w:b/>
                <w:bCs/>
                <w:sz w:val="16"/>
                <w:lang w:val="en-GB"/>
              </w:rPr>
              <w:t>Integrate WBSO and RDA and evaluate Innovation Box.</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33878A3A" w14:textId="140D55DE" w:rsidR="004F2274" w:rsidRPr="0058033D" w:rsidRDefault="004F2274" w:rsidP="001B292D">
            <w:pPr>
              <w:numPr>
                <w:ilvl w:val="0"/>
                <w:numId w:val="26"/>
              </w:numPr>
              <w:ind w:left="75" w:hanging="153"/>
              <w:contextualSpacing/>
              <w:rPr>
                <w:lang w:val="en-GB" w:eastAsia="en-US"/>
              </w:rPr>
            </w:pPr>
            <w:r w:rsidRPr="0058033D">
              <w:rPr>
                <w:sz w:val="16"/>
                <w:lang w:val="en-GB"/>
              </w:rPr>
              <w:t xml:space="preserve">As stated in the EZ budget 2015, the </w:t>
            </w:r>
            <w:r w:rsidR="00567DBF" w:rsidRPr="0058033D">
              <w:rPr>
                <w:sz w:val="16"/>
                <w:lang w:val="en-GB"/>
              </w:rPr>
              <w:t>government</w:t>
            </w:r>
            <w:r w:rsidRPr="0058033D">
              <w:rPr>
                <w:sz w:val="16"/>
                <w:lang w:val="en-GB"/>
              </w:rPr>
              <w:t xml:space="preserve"> is considering integrating the WBSO and RDA. The Ministr</w:t>
            </w:r>
            <w:r w:rsidR="00072E8C" w:rsidRPr="0058033D">
              <w:rPr>
                <w:sz w:val="16"/>
                <w:lang w:val="en-GB"/>
              </w:rPr>
              <w:t>y of Finance will commission an</w:t>
            </w:r>
            <w:r w:rsidRPr="0058033D">
              <w:rPr>
                <w:sz w:val="16"/>
                <w:lang w:val="en-GB"/>
              </w:rPr>
              <w:t xml:space="preserve"> evaluation of the Innovation Box in 2015.</w:t>
            </w:r>
          </w:p>
        </w:tc>
      </w:tr>
      <w:tr w:rsidR="004F2274" w:rsidRPr="001B564F" w14:paraId="5AE5AB1E" w14:textId="77777777">
        <w:trPr>
          <w:cantSplit/>
          <w:trHeight w:val="611"/>
        </w:trPr>
        <w:tc>
          <w:tcPr>
            <w:tcW w:w="3261" w:type="dxa"/>
            <w:tcBorders>
              <w:top w:val="nil"/>
              <w:left w:val="single" w:sz="8" w:space="0" w:color="4F81BD"/>
              <w:bottom w:val="nil"/>
              <w:right w:val="nil"/>
            </w:tcBorders>
            <w:tcMar>
              <w:top w:w="0" w:type="dxa"/>
              <w:left w:w="108" w:type="dxa"/>
              <w:bottom w:w="0" w:type="dxa"/>
              <w:right w:w="108" w:type="dxa"/>
            </w:tcMar>
          </w:tcPr>
          <w:p w14:paraId="1DA75C88" w14:textId="77777777" w:rsidR="004F2274" w:rsidRPr="0058033D" w:rsidRDefault="004F2274" w:rsidP="001B292D">
            <w:pPr>
              <w:numPr>
                <w:ilvl w:val="0"/>
                <w:numId w:val="27"/>
              </w:numPr>
              <w:ind w:left="142" w:hanging="153"/>
              <w:contextualSpacing/>
              <w:rPr>
                <w:lang w:val="en-GB" w:eastAsia="en-US"/>
              </w:rPr>
            </w:pPr>
            <w:r w:rsidRPr="0058033D">
              <w:rPr>
                <w:b/>
                <w:bCs/>
                <w:sz w:val="16"/>
                <w:lang w:val="en-GB"/>
              </w:rPr>
              <w:t xml:space="preserve">Reconsider </w:t>
            </w:r>
            <w:r w:rsidRPr="00D04E5D">
              <w:rPr>
                <w:b/>
                <w:bCs/>
                <w:i/>
                <w:sz w:val="16"/>
                <w:lang w:val="en-GB"/>
              </w:rPr>
              <w:t>Subsidieregeling Innovatieve (Zee-) Scheepsbouw</w:t>
            </w:r>
            <w:r w:rsidRPr="0058033D">
              <w:rPr>
                <w:b/>
                <w:bCs/>
                <w:sz w:val="16"/>
                <w:lang w:val="en-GB"/>
              </w:rPr>
              <w:t xml:space="preserve"> (SIZ/SIS) (shipbuilding subsidies).</w:t>
            </w:r>
          </w:p>
        </w:tc>
        <w:tc>
          <w:tcPr>
            <w:tcW w:w="4484" w:type="dxa"/>
            <w:tcBorders>
              <w:top w:val="nil"/>
              <w:left w:val="nil"/>
              <w:bottom w:val="nil"/>
              <w:right w:val="single" w:sz="8" w:space="0" w:color="4F81BD"/>
            </w:tcBorders>
            <w:tcMar>
              <w:top w:w="0" w:type="dxa"/>
              <w:left w:w="108" w:type="dxa"/>
              <w:bottom w:w="0" w:type="dxa"/>
              <w:right w:w="108" w:type="dxa"/>
            </w:tcMar>
          </w:tcPr>
          <w:p w14:paraId="38958395" w14:textId="77777777" w:rsidR="004F2274" w:rsidRPr="0058033D" w:rsidRDefault="004F2274" w:rsidP="00273432">
            <w:pPr>
              <w:numPr>
                <w:ilvl w:val="0"/>
                <w:numId w:val="26"/>
              </w:numPr>
              <w:ind w:left="75" w:hanging="153"/>
              <w:contextualSpacing/>
              <w:rPr>
                <w:lang w:val="en-GB" w:eastAsia="en-US"/>
              </w:rPr>
            </w:pPr>
            <w:r w:rsidRPr="0058033D">
              <w:rPr>
                <w:sz w:val="16"/>
                <w:lang w:val="en-GB"/>
              </w:rPr>
              <w:t>This instrument was ended in 2014, partly on the basis of the results of an evaluation.</w:t>
            </w:r>
          </w:p>
        </w:tc>
      </w:tr>
      <w:tr w:rsidR="004F2274" w:rsidRPr="001B564F" w14:paraId="077943E1" w14:textId="77777777">
        <w:trPr>
          <w:cantSplit/>
          <w:trHeight w:val="1212"/>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37E27C62" w14:textId="4A3516D6" w:rsidR="004F2274" w:rsidRPr="0058033D" w:rsidRDefault="002239DA" w:rsidP="00273432">
            <w:pPr>
              <w:numPr>
                <w:ilvl w:val="0"/>
                <w:numId w:val="25"/>
              </w:numPr>
              <w:ind w:left="142" w:hanging="153"/>
              <w:contextualSpacing/>
              <w:rPr>
                <w:lang w:val="en-GB" w:eastAsia="en-US"/>
              </w:rPr>
            </w:pPr>
            <w:r>
              <w:rPr>
                <w:b/>
                <w:bCs/>
                <w:sz w:val="16"/>
                <w:lang w:val="en-GB"/>
              </w:rPr>
              <w:t xml:space="preserve">Link </w:t>
            </w:r>
            <w:r w:rsidR="004F2274" w:rsidRPr="0058033D">
              <w:rPr>
                <w:b/>
                <w:bCs/>
                <w:sz w:val="16"/>
                <w:lang w:val="en-GB"/>
              </w:rPr>
              <w:t xml:space="preserve">policy focused on ICT applications even more </w:t>
            </w:r>
            <w:r w:rsidR="00072E8C" w:rsidRPr="0058033D">
              <w:rPr>
                <w:b/>
                <w:bCs/>
                <w:sz w:val="16"/>
                <w:lang w:val="en-GB"/>
              </w:rPr>
              <w:t>with</w:t>
            </w:r>
            <w:r w:rsidR="004F2274" w:rsidRPr="0058033D">
              <w:rPr>
                <w:b/>
                <w:bCs/>
                <w:sz w:val="16"/>
                <w:lang w:val="en-GB"/>
              </w:rPr>
              <w:t xml:space="preserve"> standard innovation policy.</w:t>
            </w:r>
          </w:p>
          <w:p w14:paraId="06CA9751" w14:textId="77777777" w:rsidR="004F2274" w:rsidRPr="0058033D" w:rsidRDefault="004F2274" w:rsidP="00273432">
            <w:pPr>
              <w:numPr>
                <w:ilvl w:val="0"/>
                <w:numId w:val="25"/>
              </w:numPr>
              <w:ind w:left="142" w:hanging="153"/>
              <w:contextualSpacing/>
              <w:rPr>
                <w:lang w:val="en-GB" w:eastAsia="en-US"/>
              </w:rPr>
            </w:pPr>
            <w:r w:rsidRPr="0058033D">
              <w:rPr>
                <w:b/>
                <w:bCs/>
                <w:sz w:val="16"/>
                <w:lang w:val="en-GB"/>
              </w:rPr>
              <w:t>Greater attention to non-technological aspects of innovation.</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251BBE7E" w14:textId="71CB1D03" w:rsidR="004F2274" w:rsidRPr="0058033D" w:rsidRDefault="004F2274" w:rsidP="00273432">
            <w:pPr>
              <w:numPr>
                <w:ilvl w:val="0"/>
                <w:numId w:val="26"/>
              </w:numPr>
              <w:ind w:left="75" w:hanging="153"/>
              <w:contextualSpacing/>
              <w:rPr>
                <w:lang w:val="en-GB" w:eastAsia="en-US"/>
              </w:rPr>
            </w:pPr>
            <w:r w:rsidRPr="0058033D">
              <w:rPr>
                <w:sz w:val="16"/>
                <w:lang w:val="en-GB"/>
              </w:rPr>
              <w:t xml:space="preserve">ICT policy will form an integral part of the </w:t>
            </w:r>
            <w:r w:rsidR="00D702F3" w:rsidRPr="0058033D">
              <w:rPr>
                <w:sz w:val="16"/>
                <w:lang w:val="en-GB"/>
              </w:rPr>
              <w:t>top-sector approach</w:t>
            </w:r>
            <w:r w:rsidRPr="0058033D">
              <w:rPr>
                <w:sz w:val="16"/>
                <w:lang w:val="en-GB"/>
              </w:rPr>
              <w:t>, for example by setting up the National ICT team and the ‘Smart Industry’ action agenda.</w:t>
            </w:r>
          </w:p>
          <w:p w14:paraId="3467A6DD" w14:textId="6CE47D4C" w:rsidR="004F2274" w:rsidRPr="0058033D" w:rsidRDefault="004F2274" w:rsidP="001B292D">
            <w:pPr>
              <w:numPr>
                <w:ilvl w:val="0"/>
                <w:numId w:val="26"/>
              </w:numPr>
              <w:ind w:left="75" w:hanging="153"/>
              <w:contextualSpacing/>
              <w:rPr>
                <w:lang w:val="en-GB" w:eastAsia="en-US"/>
              </w:rPr>
            </w:pPr>
            <w:r w:rsidRPr="0058033D">
              <w:rPr>
                <w:sz w:val="16"/>
                <w:lang w:val="en-GB"/>
              </w:rPr>
              <w:t xml:space="preserve">To this end, the </w:t>
            </w:r>
            <w:r w:rsidR="00567DBF" w:rsidRPr="0058033D">
              <w:rPr>
                <w:sz w:val="16"/>
                <w:lang w:val="en-GB"/>
              </w:rPr>
              <w:t>government</w:t>
            </w:r>
            <w:r w:rsidRPr="0058033D">
              <w:rPr>
                <w:sz w:val="16"/>
                <w:lang w:val="en-GB"/>
              </w:rPr>
              <w:t xml:space="preserve"> now uses non-financial policy (awareness, ‘nudging’). After some policy experiments, the </w:t>
            </w:r>
            <w:r w:rsidR="00567DBF" w:rsidRPr="0058033D">
              <w:rPr>
                <w:sz w:val="16"/>
                <w:lang w:val="en-GB"/>
              </w:rPr>
              <w:t>government</w:t>
            </w:r>
            <w:r w:rsidRPr="0058033D">
              <w:rPr>
                <w:sz w:val="16"/>
                <w:lang w:val="en-GB"/>
              </w:rPr>
              <w:t xml:space="preserve"> will assess if financial instruments are</w:t>
            </w:r>
            <w:r w:rsidR="00072E8C" w:rsidRPr="0058033D">
              <w:rPr>
                <w:sz w:val="16"/>
                <w:lang w:val="en-GB"/>
              </w:rPr>
              <w:t xml:space="preserve"> also</w:t>
            </w:r>
            <w:r w:rsidRPr="0058033D">
              <w:rPr>
                <w:sz w:val="16"/>
                <w:lang w:val="en-GB"/>
              </w:rPr>
              <w:t xml:space="preserve"> legitimate and effective.</w:t>
            </w:r>
          </w:p>
        </w:tc>
      </w:tr>
      <w:tr w:rsidR="004F2274" w:rsidRPr="001B564F" w14:paraId="12B431C2" w14:textId="77777777">
        <w:trPr>
          <w:cantSplit/>
          <w:trHeight w:val="563"/>
        </w:trPr>
        <w:tc>
          <w:tcPr>
            <w:tcW w:w="3261" w:type="dxa"/>
            <w:tcBorders>
              <w:top w:val="nil"/>
              <w:left w:val="single" w:sz="8" w:space="0" w:color="4F81BD"/>
              <w:bottom w:val="nil"/>
              <w:right w:val="nil"/>
            </w:tcBorders>
            <w:tcMar>
              <w:top w:w="0" w:type="dxa"/>
              <w:left w:w="108" w:type="dxa"/>
              <w:bottom w:w="0" w:type="dxa"/>
              <w:right w:w="108" w:type="dxa"/>
            </w:tcMar>
          </w:tcPr>
          <w:p w14:paraId="522DCF2D" w14:textId="77777777" w:rsidR="004F2274" w:rsidRPr="0058033D" w:rsidRDefault="004F2274" w:rsidP="001B292D">
            <w:pPr>
              <w:numPr>
                <w:ilvl w:val="0"/>
                <w:numId w:val="25"/>
              </w:numPr>
              <w:ind w:left="142" w:hanging="153"/>
              <w:contextualSpacing/>
              <w:rPr>
                <w:lang w:val="en-GB" w:eastAsia="en-US"/>
              </w:rPr>
            </w:pPr>
            <w:r w:rsidRPr="0058033D">
              <w:rPr>
                <w:b/>
                <w:bCs/>
                <w:sz w:val="16"/>
                <w:lang w:val="en-GB"/>
              </w:rPr>
              <w:t>More explicit alignment of national and European policy and communicate this more clearly.</w:t>
            </w:r>
          </w:p>
        </w:tc>
        <w:tc>
          <w:tcPr>
            <w:tcW w:w="4484" w:type="dxa"/>
            <w:tcBorders>
              <w:top w:val="nil"/>
              <w:left w:val="nil"/>
              <w:bottom w:val="nil"/>
              <w:right w:val="single" w:sz="8" w:space="0" w:color="4F81BD"/>
            </w:tcBorders>
            <w:tcMar>
              <w:top w:w="0" w:type="dxa"/>
              <w:left w:w="108" w:type="dxa"/>
              <w:bottom w:w="0" w:type="dxa"/>
              <w:right w:w="108" w:type="dxa"/>
            </w:tcMar>
          </w:tcPr>
          <w:p w14:paraId="4271D347" w14:textId="01CB5785" w:rsidR="004F2274" w:rsidRPr="0058033D" w:rsidRDefault="004F2274" w:rsidP="00273432">
            <w:pPr>
              <w:numPr>
                <w:ilvl w:val="0"/>
                <w:numId w:val="28"/>
              </w:numPr>
              <w:ind w:left="75" w:hanging="153"/>
              <w:contextualSpacing/>
              <w:rPr>
                <w:sz w:val="16"/>
                <w:lang w:val="en-GB"/>
              </w:rPr>
            </w:pPr>
            <w:r w:rsidRPr="0058033D">
              <w:rPr>
                <w:sz w:val="16"/>
                <w:lang w:val="en-GB"/>
              </w:rPr>
              <w:t xml:space="preserve">The </w:t>
            </w:r>
            <w:r w:rsidR="00567DBF" w:rsidRPr="0058033D">
              <w:rPr>
                <w:sz w:val="16"/>
                <w:lang w:val="en-GB"/>
              </w:rPr>
              <w:t>government</w:t>
            </w:r>
            <w:r w:rsidRPr="0058033D">
              <w:rPr>
                <w:sz w:val="16"/>
                <w:lang w:val="en-GB"/>
              </w:rPr>
              <w:t xml:space="preserve"> supports better ali</w:t>
            </w:r>
            <w:r w:rsidR="00EC5687" w:rsidRPr="0058033D">
              <w:rPr>
                <w:sz w:val="16"/>
                <w:lang w:val="en-GB"/>
              </w:rPr>
              <w:t>gnment with European programmes</w:t>
            </w:r>
            <w:r w:rsidRPr="0058033D">
              <w:rPr>
                <w:sz w:val="16"/>
                <w:lang w:val="en-GB"/>
              </w:rPr>
              <w:t xml:space="preserve"> such as Horizon 2020, Eureka clusters, Eurostars and JTIs and is providing co-financing. The Innovation contracts in the Top sectors also address the link with European social themes and public knowledge institutions are reimbursed for matching costs </w:t>
            </w:r>
            <w:r w:rsidR="00775F00" w:rsidRPr="0058033D">
              <w:rPr>
                <w:sz w:val="16"/>
                <w:lang w:val="en-GB"/>
              </w:rPr>
              <w:t>of</w:t>
            </w:r>
            <w:r w:rsidRPr="0058033D">
              <w:rPr>
                <w:sz w:val="16"/>
                <w:lang w:val="en-GB"/>
              </w:rPr>
              <w:t xml:space="preserve"> participating in EU programmes. Since 2011, the return percentage has increased annually. </w:t>
            </w:r>
          </w:p>
          <w:p w14:paraId="23C33425" w14:textId="0CB57671" w:rsidR="004F2274" w:rsidRPr="0058033D" w:rsidRDefault="004F2274" w:rsidP="00273432">
            <w:pPr>
              <w:numPr>
                <w:ilvl w:val="0"/>
                <w:numId w:val="28"/>
              </w:numPr>
              <w:ind w:left="75" w:hanging="153"/>
              <w:contextualSpacing/>
              <w:rPr>
                <w:lang w:val="en-GB" w:eastAsia="en-US"/>
              </w:rPr>
            </w:pPr>
            <w:r w:rsidRPr="0058033D">
              <w:rPr>
                <w:sz w:val="16"/>
                <w:lang w:val="en-GB"/>
              </w:rPr>
              <w:t xml:space="preserve">Europe is systematically included in policy and progress reports, such as the </w:t>
            </w:r>
            <w:r w:rsidR="00775F00" w:rsidRPr="0058033D">
              <w:rPr>
                <w:i/>
                <w:sz w:val="16"/>
                <w:lang w:val="en-GB"/>
              </w:rPr>
              <w:t>Monitor Bedrijvenbeleid</w:t>
            </w:r>
            <w:r w:rsidRPr="0058033D">
              <w:rPr>
                <w:sz w:val="16"/>
                <w:lang w:val="en-GB"/>
              </w:rPr>
              <w:t>.</w:t>
            </w:r>
          </w:p>
        </w:tc>
      </w:tr>
      <w:tr w:rsidR="004F2274" w:rsidRPr="001B564F" w14:paraId="47B08A56" w14:textId="77777777">
        <w:trPr>
          <w:cantSplit/>
          <w:trHeight w:val="405"/>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25E58970" w14:textId="77777777" w:rsidR="004F2274" w:rsidRPr="0058033D" w:rsidRDefault="004F2274" w:rsidP="00273432">
            <w:pPr>
              <w:numPr>
                <w:ilvl w:val="0"/>
                <w:numId w:val="25"/>
              </w:numPr>
              <w:ind w:left="142" w:hanging="153"/>
              <w:contextualSpacing/>
              <w:rPr>
                <w:lang w:val="en-GB" w:eastAsia="en-US"/>
              </w:rPr>
            </w:pPr>
            <w:r w:rsidRPr="0058033D">
              <w:rPr>
                <w:b/>
                <w:bCs/>
                <w:sz w:val="16"/>
                <w:lang w:val="en-GB"/>
              </w:rPr>
              <w:t>Focus R&amp;D more on social challenges.</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71D65CBC" w14:textId="40FE9034" w:rsidR="004F2274" w:rsidRPr="0058033D" w:rsidRDefault="004F2274" w:rsidP="00D41FF4">
            <w:pPr>
              <w:numPr>
                <w:ilvl w:val="0"/>
                <w:numId w:val="28"/>
              </w:numPr>
              <w:ind w:left="75" w:hanging="153"/>
              <w:contextualSpacing/>
              <w:rPr>
                <w:sz w:val="16"/>
                <w:lang w:val="en-GB"/>
              </w:rPr>
            </w:pPr>
            <w:r w:rsidRPr="0058033D">
              <w:rPr>
                <w:sz w:val="16"/>
                <w:lang w:val="en-GB"/>
              </w:rPr>
              <w:t xml:space="preserve">Enterprise policy already contributes to social challenges (see </w:t>
            </w:r>
            <w:r w:rsidR="00775F00" w:rsidRPr="0058033D">
              <w:rPr>
                <w:i/>
                <w:sz w:val="16"/>
                <w:lang w:val="en-GB"/>
              </w:rPr>
              <w:t>Monitor Bedrijvenbeleid</w:t>
            </w:r>
            <w:r w:rsidRPr="0058033D">
              <w:rPr>
                <w:sz w:val="16"/>
                <w:lang w:val="en-GB"/>
              </w:rPr>
              <w:t xml:space="preserve"> </w:t>
            </w:r>
            <w:r w:rsidRPr="002239DA">
              <w:rPr>
                <w:i/>
                <w:sz w:val="16"/>
                <w:lang w:val="en-GB"/>
              </w:rPr>
              <w:t>2014</w:t>
            </w:r>
            <w:r w:rsidRPr="0058033D">
              <w:rPr>
                <w:sz w:val="16"/>
                <w:lang w:val="en-GB"/>
              </w:rPr>
              <w:t xml:space="preserve">). The </w:t>
            </w:r>
            <w:r w:rsidR="00567DBF" w:rsidRPr="0058033D">
              <w:rPr>
                <w:sz w:val="16"/>
                <w:lang w:val="en-GB"/>
              </w:rPr>
              <w:t>government</w:t>
            </w:r>
            <w:r w:rsidRPr="0058033D">
              <w:rPr>
                <w:sz w:val="16"/>
                <w:lang w:val="en-GB"/>
              </w:rPr>
              <w:t xml:space="preserve"> will continue this approach in the new Knowledge and Innovation agenda for the top sectors for the period 2016-2019. </w:t>
            </w:r>
          </w:p>
        </w:tc>
      </w:tr>
      <w:tr w:rsidR="004F2274" w:rsidRPr="001B564F" w14:paraId="5279D38F" w14:textId="77777777">
        <w:trPr>
          <w:cantSplit/>
          <w:trHeight w:val="1006"/>
        </w:trPr>
        <w:tc>
          <w:tcPr>
            <w:tcW w:w="3261" w:type="dxa"/>
            <w:tcBorders>
              <w:top w:val="nil"/>
              <w:left w:val="single" w:sz="8" w:space="0" w:color="4F81BD"/>
              <w:bottom w:val="nil"/>
              <w:right w:val="nil"/>
            </w:tcBorders>
            <w:tcMar>
              <w:top w:w="0" w:type="dxa"/>
              <w:left w:w="108" w:type="dxa"/>
              <w:bottom w:w="0" w:type="dxa"/>
              <w:right w:w="108" w:type="dxa"/>
            </w:tcMar>
          </w:tcPr>
          <w:p w14:paraId="5AB7F0C3" w14:textId="3B75393C" w:rsidR="004F2274" w:rsidRPr="0058033D" w:rsidRDefault="004F2274" w:rsidP="00D41FF4">
            <w:pPr>
              <w:numPr>
                <w:ilvl w:val="0"/>
                <w:numId w:val="20"/>
              </w:numPr>
              <w:ind w:left="142" w:hanging="153"/>
              <w:contextualSpacing/>
              <w:rPr>
                <w:lang w:val="en-GB" w:eastAsia="en-US"/>
              </w:rPr>
            </w:pPr>
            <w:r w:rsidRPr="0058033D">
              <w:rPr>
                <w:b/>
                <w:bCs/>
                <w:sz w:val="16"/>
                <w:lang w:val="en-GB"/>
              </w:rPr>
              <w:t xml:space="preserve">Stronger interdepartmental </w:t>
            </w:r>
            <w:r w:rsidR="00775F00" w:rsidRPr="0058033D">
              <w:rPr>
                <w:b/>
                <w:bCs/>
                <w:sz w:val="16"/>
                <w:lang w:val="en-GB"/>
              </w:rPr>
              <w:t>links in</w:t>
            </w:r>
            <w:r w:rsidRPr="0058033D">
              <w:rPr>
                <w:b/>
                <w:bCs/>
                <w:sz w:val="16"/>
                <w:lang w:val="en-GB"/>
              </w:rPr>
              <w:t xml:space="preserve"> relevant policy fields.</w:t>
            </w:r>
          </w:p>
        </w:tc>
        <w:tc>
          <w:tcPr>
            <w:tcW w:w="4484" w:type="dxa"/>
            <w:tcBorders>
              <w:top w:val="nil"/>
              <w:left w:val="nil"/>
              <w:bottom w:val="nil"/>
              <w:right w:val="single" w:sz="8" w:space="0" w:color="4F81BD"/>
            </w:tcBorders>
            <w:tcMar>
              <w:top w:w="0" w:type="dxa"/>
              <w:left w:w="108" w:type="dxa"/>
              <w:bottom w:w="0" w:type="dxa"/>
              <w:right w:w="108" w:type="dxa"/>
            </w:tcMar>
          </w:tcPr>
          <w:p w14:paraId="5D9C5BC7" w14:textId="5EF8B1FA" w:rsidR="004F2274" w:rsidRPr="0058033D" w:rsidRDefault="004F2274" w:rsidP="00775F00">
            <w:pPr>
              <w:numPr>
                <w:ilvl w:val="0"/>
                <w:numId w:val="21"/>
              </w:numPr>
              <w:ind w:left="75" w:hanging="153"/>
              <w:contextualSpacing/>
              <w:rPr>
                <w:lang w:val="en-GB" w:eastAsia="en-US"/>
              </w:rPr>
            </w:pPr>
            <w:r w:rsidRPr="0058033D">
              <w:rPr>
                <w:sz w:val="16"/>
                <w:lang w:val="en-GB"/>
              </w:rPr>
              <w:t xml:space="preserve">The </w:t>
            </w:r>
            <w:r w:rsidR="00D702F3" w:rsidRPr="0058033D">
              <w:rPr>
                <w:sz w:val="16"/>
                <w:lang w:val="en-GB"/>
              </w:rPr>
              <w:t>top-sector approach</w:t>
            </w:r>
            <w:r w:rsidRPr="0058033D">
              <w:rPr>
                <w:sz w:val="16"/>
                <w:lang w:val="en-GB"/>
              </w:rPr>
              <w:t xml:space="preserve">, part of the enterprise policy, is an integrated policy approach. </w:t>
            </w:r>
            <w:r w:rsidR="00775F00" w:rsidRPr="0058033D">
              <w:rPr>
                <w:sz w:val="16"/>
                <w:lang w:val="en-GB"/>
              </w:rPr>
              <w:t>It</w:t>
            </w:r>
            <w:r w:rsidRPr="0058033D">
              <w:rPr>
                <w:sz w:val="16"/>
                <w:lang w:val="en-GB"/>
              </w:rPr>
              <w:t xml:space="preserve"> has an interdepartmental structure and links policy fields such as research, human capital, development aid and economic diplomacy, sustainability and </w:t>
            </w:r>
            <w:r w:rsidR="00775F00" w:rsidRPr="0058033D">
              <w:rPr>
                <w:sz w:val="16"/>
                <w:lang w:val="en-GB"/>
              </w:rPr>
              <w:t xml:space="preserve">regulation promoting </w:t>
            </w:r>
            <w:r w:rsidRPr="0058033D">
              <w:rPr>
                <w:sz w:val="16"/>
                <w:lang w:val="en-GB"/>
              </w:rPr>
              <w:t xml:space="preserve">innovation. </w:t>
            </w:r>
          </w:p>
        </w:tc>
      </w:tr>
      <w:tr w:rsidR="004F2274" w:rsidRPr="0058033D" w14:paraId="061305C1" w14:textId="77777777">
        <w:trPr>
          <w:cantSplit/>
          <w:trHeight w:val="206"/>
        </w:trPr>
        <w:tc>
          <w:tcPr>
            <w:tcW w:w="7745" w:type="dxa"/>
            <w:gridSpan w:val="2"/>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152012B" w14:textId="2203B161" w:rsidR="001C5D3A" w:rsidRPr="001C5D3A" w:rsidRDefault="004F2274" w:rsidP="00993646">
            <w:pPr>
              <w:rPr>
                <w:b/>
                <w:bCs/>
                <w:sz w:val="16"/>
                <w:lang w:val="en-GB"/>
              </w:rPr>
            </w:pPr>
            <w:r w:rsidRPr="0058033D">
              <w:rPr>
                <w:b/>
                <w:bCs/>
                <w:sz w:val="16"/>
                <w:lang w:val="en-GB"/>
              </w:rPr>
              <w:t> </w:t>
            </w:r>
          </w:p>
          <w:p w14:paraId="2C996CED" w14:textId="7B21E668" w:rsidR="004F2274" w:rsidRPr="0058033D" w:rsidRDefault="004F2274" w:rsidP="00993646">
            <w:pPr>
              <w:jc w:val="center"/>
              <w:rPr>
                <w:lang w:val="en-GB"/>
              </w:rPr>
            </w:pPr>
            <w:r w:rsidRPr="0058033D">
              <w:rPr>
                <w:b/>
                <w:bCs/>
                <w:i/>
                <w:iCs/>
                <w:lang w:val="en-GB"/>
              </w:rPr>
              <w:t>Communication</w:t>
            </w:r>
            <w:r w:rsidR="009F5AE6">
              <w:rPr>
                <w:b/>
                <w:bCs/>
                <w:i/>
                <w:iCs/>
                <w:lang w:val="en-GB"/>
              </w:rPr>
              <w:t>s</w:t>
            </w:r>
          </w:p>
          <w:p w14:paraId="14F4955E" w14:textId="77777777" w:rsidR="004F2274" w:rsidRPr="0058033D" w:rsidRDefault="004F2274" w:rsidP="00993646">
            <w:pPr>
              <w:rPr>
                <w:lang w:val="en-GB" w:eastAsia="en-US"/>
              </w:rPr>
            </w:pPr>
            <w:r w:rsidRPr="0058033D">
              <w:rPr>
                <w:b/>
                <w:bCs/>
                <w:i/>
                <w:iCs/>
                <w:lang w:val="en-GB"/>
              </w:rPr>
              <w:t> </w:t>
            </w:r>
          </w:p>
        </w:tc>
      </w:tr>
      <w:tr w:rsidR="004F2274" w:rsidRPr="001B564F" w14:paraId="47A23A20" w14:textId="77777777">
        <w:trPr>
          <w:cantSplit/>
          <w:trHeight w:val="603"/>
        </w:trPr>
        <w:tc>
          <w:tcPr>
            <w:tcW w:w="3261" w:type="dxa"/>
            <w:tcBorders>
              <w:top w:val="nil"/>
              <w:left w:val="single" w:sz="8" w:space="0" w:color="4F81BD"/>
              <w:bottom w:val="nil"/>
              <w:right w:val="nil"/>
            </w:tcBorders>
            <w:tcMar>
              <w:top w:w="0" w:type="dxa"/>
              <w:left w:w="108" w:type="dxa"/>
              <w:bottom w:w="0" w:type="dxa"/>
              <w:right w:w="108" w:type="dxa"/>
            </w:tcMar>
          </w:tcPr>
          <w:p w14:paraId="22D05EFC" w14:textId="03BBB0E2" w:rsidR="004F2274" w:rsidRPr="0058033D" w:rsidRDefault="004F2274" w:rsidP="002239DA">
            <w:pPr>
              <w:numPr>
                <w:ilvl w:val="0"/>
                <w:numId w:val="19"/>
              </w:numPr>
              <w:ind w:left="142" w:hanging="153"/>
              <w:contextualSpacing/>
              <w:rPr>
                <w:lang w:val="en-GB" w:eastAsia="en-US"/>
              </w:rPr>
            </w:pPr>
            <w:r w:rsidRPr="0058033D">
              <w:rPr>
                <w:b/>
                <w:bCs/>
                <w:sz w:val="16"/>
                <w:lang w:val="en-GB"/>
              </w:rPr>
              <w:t xml:space="preserve">Position and legitimize new policy more clearly </w:t>
            </w:r>
            <w:r w:rsidR="002239DA">
              <w:rPr>
                <w:b/>
                <w:bCs/>
                <w:sz w:val="16"/>
                <w:lang w:val="en-GB"/>
              </w:rPr>
              <w:t>than</w:t>
            </w:r>
            <w:r w:rsidR="00775F00" w:rsidRPr="0058033D">
              <w:rPr>
                <w:b/>
                <w:bCs/>
                <w:sz w:val="16"/>
                <w:lang w:val="en-GB"/>
              </w:rPr>
              <w:t xml:space="preserve"> with</w:t>
            </w:r>
            <w:r w:rsidRPr="0058033D">
              <w:rPr>
                <w:b/>
                <w:bCs/>
                <w:sz w:val="16"/>
                <w:lang w:val="en-GB"/>
              </w:rPr>
              <w:t xml:space="preserve"> existing policy.</w:t>
            </w:r>
          </w:p>
        </w:tc>
        <w:tc>
          <w:tcPr>
            <w:tcW w:w="4484" w:type="dxa"/>
            <w:tcBorders>
              <w:top w:val="nil"/>
              <w:left w:val="nil"/>
              <w:bottom w:val="nil"/>
              <w:right w:val="single" w:sz="8" w:space="0" w:color="4F81BD"/>
            </w:tcBorders>
            <w:tcMar>
              <w:top w:w="0" w:type="dxa"/>
              <w:left w:w="108" w:type="dxa"/>
              <w:bottom w:w="0" w:type="dxa"/>
              <w:right w:w="108" w:type="dxa"/>
            </w:tcMar>
          </w:tcPr>
          <w:p w14:paraId="2ED8A0EC" w14:textId="523C45C0" w:rsidR="004F2274" w:rsidRPr="0058033D" w:rsidRDefault="00775F00" w:rsidP="00775F00">
            <w:pPr>
              <w:numPr>
                <w:ilvl w:val="0"/>
                <w:numId w:val="22"/>
              </w:numPr>
              <w:ind w:left="217" w:hanging="220"/>
              <w:contextualSpacing/>
              <w:rPr>
                <w:lang w:val="en-GB" w:eastAsia="en-US"/>
              </w:rPr>
            </w:pPr>
            <w:r w:rsidRPr="0058033D">
              <w:rPr>
                <w:sz w:val="16"/>
                <w:lang w:val="en-GB"/>
              </w:rPr>
              <w:t xml:space="preserve">Policy </w:t>
            </w:r>
            <w:r w:rsidR="004F2274" w:rsidRPr="0058033D">
              <w:rPr>
                <w:sz w:val="16"/>
                <w:lang w:val="en-GB"/>
              </w:rPr>
              <w:t>documents introducing a new policy have a standar</w:t>
            </w:r>
            <w:r w:rsidRPr="0058033D">
              <w:rPr>
                <w:sz w:val="16"/>
                <w:lang w:val="en-GB"/>
              </w:rPr>
              <w:t xml:space="preserve">d passage with the results of an </w:t>
            </w:r>
            <w:r w:rsidR="004F2274" w:rsidRPr="0058033D">
              <w:rPr>
                <w:sz w:val="16"/>
                <w:lang w:val="en-GB"/>
              </w:rPr>
              <w:t xml:space="preserve">analysis </w:t>
            </w:r>
            <w:r w:rsidRPr="0058033D">
              <w:rPr>
                <w:sz w:val="16"/>
                <w:lang w:val="en-GB"/>
              </w:rPr>
              <w:t xml:space="preserve">of issues </w:t>
            </w:r>
            <w:r w:rsidR="004F2274" w:rsidRPr="0058033D">
              <w:rPr>
                <w:sz w:val="16"/>
                <w:lang w:val="en-GB"/>
              </w:rPr>
              <w:t>and positioning vis-à-vis existing policy.</w:t>
            </w:r>
          </w:p>
        </w:tc>
      </w:tr>
      <w:tr w:rsidR="004F2274" w:rsidRPr="001B564F" w14:paraId="12C5A9CA" w14:textId="77777777">
        <w:trPr>
          <w:cantSplit/>
          <w:trHeight w:val="611"/>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359CC6E6" w14:textId="77777777" w:rsidR="004F2274" w:rsidRPr="0058033D" w:rsidRDefault="004F2274" w:rsidP="00846B94">
            <w:pPr>
              <w:numPr>
                <w:ilvl w:val="0"/>
                <w:numId w:val="19"/>
              </w:numPr>
              <w:ind w:left="142" w:hanging="153"/>
              <w:contextualSpacing/>
              <w:rPr>
                <w:lang w:val="en-GB" w:eastAsia="en-US"/>
              </w:rPr>
            </w:pPr>
            <w:r w:rsidRPr="0058033D">
              <w:rPr>
                <w:b/>
                <w:bCs/>
                <w:sz w:val="16"/>
                <w:lang w:val="en-GB"/>
              </w:rPr>
              <w:t>Integrate items 12 and 13 in a single budget item based on a cohesive policy framework.</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5A874743" w14:textId="681E9366" w:rsidR="004F2274" w:rsidRPr="0058033D" w:rsidRDefault="004F2274" w:rsidP="00846B94">
            <w:pPr>
              <w:numPr>
                <w:ilvl w:val="0"/>
                <w:numId w:val="22"/>
              </w:numPr>
              <w:ind w:left="217" w:hanging="220"/>
              <w:contextualSpacing/>
              <w:rPr>
                <w:lang w:val="en-GB" w:eastAsia="en-US"/>
              </w:rPr>
            </w:pPr>
            <w:r w:rsidRPr="0058033D">
              <w:rPr>
                <w:sz w:val="16"/>
                <w:lang w:val="en-GB"/>
              </w:rPr>
              <w:t xml:space="preserve">The </w:t>
            </w:r>
            <w:r w:rsidR="00567DBF" w:rsidRPr="0058033D">
              <w:rPr>
                <w:sz w:val="16"/>
                <w:lang w:val="en-GB"/>
              </w:rPr>
              <w:t>government</w:t>
            </w:r>
            <w:r w:rsidRPr="0058033D">
              <w:rPr>
                <w:sz w:val="16"/>
                <w:lang w:val="en-GB"/>
              </w:rPr>
              <w:t xml:space="preserve"> proposes to do this in the EZ budget for 2017.</w:t>
            </w:r>
          </w:p>
        </w:tc>
      </w:tr>
      <w:tr w:rsidR="004F2274" w:rsidRPr="001B564F" w14:paraId="425908E6" w14:textId="77777777">
        <w:trPr>
          <w:cantSplit/>
          <w:trHeight w:val="405"/>
        </w:trPr>
        <w:tc>
          <w:tcPr>
            <w:tcW w:w="3261" w:type="dxa"/>
            <w:tcBorders>
              <w:top w:val="nil"/>
              <w:left w:val="single" w:sz="8" w:space="0" w:color="4F81BD"/>
              <w:bottom w:val="nil"/>
              <w:right w:val="nil"/>
            </w:tcBorders>
            <w:tcMar>
              <w:top w:w="0" w:type="dxa"/>
              <w:left w:w="108" w:type="dxa"/>
              <w:bottom w:w="0" w:type="dxa"/>
              <w:right w:w="108" w:type="dxa"/>
            </w:tcMar>
          </w:tcPr>
          <w:p w14:paraId="440F52B2" w14:textId="77777777" w:rsidR="004F2274" w:rsidRPr="0058033D" w:rsidRDefault="004F2274" w:rsidP="00846B94">
            <w:pPr>
              <w:numPr>
                <w:ilvl w:val="0"/>
                <w:numId w:val="19"/>
              </w:numPr>
              <w:ind w:left="142" w:hanging="153"/>
              <w:contextualSpacing/>
              <w:rPr>
                <w:lang w:val="en-GB" w:eastAsia="en-US"/>
              </w:rPr>
            </w:pPr>
            <w:r w:rsidRPr="0058033D">
              <w:rPr>
                <w:b/>
                <w:bCs/>
                <w:sz w:val="16"/>
                <w:lang w:val="en-GB"/>
              </w:rPr>
              <w:t>Clarify the position with respect to TO2 institutions.</w:t>
            </w:r>
          </w:p>
        </w:tc>
        <w:tc>
          <w:tcPr>
            <w:tcW w:w="4484" w:type="dxa"/>
            <w:tcBorders>
              <w:top w:val="nil"/>
              <w:left w:val="nil"/>
              <w:bottom w:val="nil"/>
              <w:right w:val="single" w:sz="8" w:space="0" w:color="4F81BD"/>
            </w:tcBorders>
            <w:tcMar>
              <w:top w:w="0" w:type="dxa"/>
              <w:left w:w="108" w:type="dxa"/>
              <w:bottom w:w="0" w:type="dxa"/>
              <w:right w:w="108" w:type="dxa"/>
            </w:tcMar>
          </w:tcPr>
          <w:p w14:paraId="1AE445DE" w14:textId="25518169" w:rsidR="004F2274" w:rsidRPr="0058033D" w:rsidRDefault="004F2274" w:rsidP="00846B94">
            <w:pPr>
              <w:numPr>
                <w:ilvl w:val="0"/>
                <w:numId w:val="22"/>
              </w:numPr>
              <w:ind w:left="217" w:hanging="220"/>
              <w:contextualSpacing/>
              <w:rPr>
                <w:lang w:val="en-GB" w:eastAsia="en-US"/>
              </w:rPr>
            </w:pPr>
            <w:r w:rsidRPr="0058033D">
              <w:rPr>
                <w:sz w:val="16"/>
                <w:lang w:val="en-GB"/>
              </w:rPr>
              <w:t xml:space="preserve">The </w:t>
            </w:r>
            <w:r w:rsidR="00567DBF" w:rsidRPr="0058033D">
              <w:rPr>
                <w:sz w:val="16"/>
                <w:lang w:val="en-GB"/>
              </w:rPr>
              <w:t>government</w:t>
            </w:r>
            <w:r w:rsidRPr="0058033D">
              <w:rPr>
                <w:sz w:val="16"/>
                <w:lang w:val="en-GB"/>
              </w:rPr>
              <w:t xml:space="preserve"> drew up a vision on applied research in 2013.</w:t>
            </w:r>
          </w:p>
        </w:tc>
      </w:tr>
      <w:tr w:rsidR="004F2274" w:rsidRPr="001B564F" w14:paraId="0396F2B2" w14:textId="77777777">
        <w:trPr>
          <w:cantSplit/>
          <w:trHeight w:val="421"/>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6CB742AF" w14:textId="527D8313" w:rsidR="004F2274" w:rsidRPr="0058033D" w:rsidRDefault="004F2274" w:rsidP="00846B94">
            <w:pPr>
              <w:numPr>
                <w:ilvl w:val="0"/>
                <w:numId w:val="25"/>
              </w:numPr>
              <w:ind w:left="142" w:hanging="153"/>
              <w:contextualSpacing/>
              <w:rPr>
                <w:lang w:val="en-GB" w:eastAsia="en-US"/>
              </w:rPr>
            </w:pPr>
            <w:r w:rsidRPr="0058033D">
              <w:rPr>
                <w:b/>
                <w:bCs/>
                <w:sz w:val="16"/>
                <w:lang w:val="en-GB"/>
              </w:rPr>
              <w:t>Pay more attention in policy development and public communications to policy theory and legitimacy.</w:t>
            </w:r>
          </w:p>
          <w:p w14:paraId="4D861954" w14:textId="219CA783" w:rsidR="004F2274" w:rsidRPr="0058033D" w:rsidRDefault="00775F00" w:rsidP="00775F00">
            <w:pPr>
              <w:numPr>
                <w:ilvl w:val="0"/>
                <w:numId w:val="19"/>
              </w:numPr>
              <w:ind w:left="142" w:hanging="153"/>
              <w:contextualSpacing/>
              <w:rPr>
                <w:lang w:val="en-GB" w:eastAsia="en-US"/>
              </w:rPr>
            </w:pPr>
            <w:r w:rsidRPr="0058033D">
              <w:rPr>
                <w:b/>
                <w:bCs/>
                <w:sz w:val="16"/>
                <w:lang w:val="en-GB"/>
              </w:rPr>
              <w:t xml:space="preserve">More communication of </w:t>
            </w:r>
            <w:r w:rsidR="004F2274" w:rsidRPr="0058033D">
              <w:rPr>
                <w:b/>
                <w:bCs/>
                <w:sz w:val="16"/>
                <w:lang w:val="en-GB"/>
              </w:rPr>
              <w:t>arguments on the logical line of reasoning and policy mix.</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2C8678C5" w14:textId="5571440B" w:rsidR="004F2274" w:rsidRPr="0058033D" w:rsidRDefault="004F2274" w:rsidP="00846B94">
            <w:pPr>
              <w:numPr>
                <w:ilvl w:val="0"/>
                <w:numId w:val="29"/>
              </w:numPr>
              <w:ind w:left="217" w:hanging="220"/>
              <w:contextualSpacing/>
              <w:rPr>
                <w:lang w:val="en-GB" w:eastAsia="en-US"/>
              </w:rPr>
            </w:pPr>
            <w:r w:rsidRPr="0058033D">
              <w:rPr>
                <w:sz w:val="16"/>
                <w:lang w:val="en-GB"/>
              </w:rPr>
              <w:t xml:space="preserve">Both recommendations have a place in the annual </w:t>
            </w:r>
            <w:r w:rsidR="00775F00" w:rsidRPr="0058033D">
              <w:rPr>
                <w:i/>
                <w:sz w:val="16"/>
                <w:lang w:val="en-GB"/>
              </w:rPr>
              <w:t>Monitor Bedrijvenbeleid</w:t>
            </w:r>
            <w:r w:rsidRPr="0058033D">
              <w:rPr>
                <w:sz w:val="16"/>
                <w:lang w:val="en-GB"/>
              </w:rPr>
              <w:t xml:space="preserve">. </w:t>
            </w:r>
          </w:p>
          <w:p w14:paraId="3DD3DB75" w14:textId="61474E1A" w:rsidR="004F2274" w:rsidRPr="0058033D" w:rsidRDefault="00775F00" w:rsidP="00775F00">
            <w:pPr>
              <w:numPr>
                <w:ilvl w:val="0"/>
                <w:numId w:val="22"/>
              </w:numPr>
              <w:ind w:left="217" w:hanging="220"/>
              <w:contextualSpacing/>
              <w:rPr>
                <w:lang w:val="en-GB" w:eastAsia="en-US"/>
              </w:rPr>
            </w:pPr>
            <w:r w:rsidRPr="0058033D">
              <w:rPr>
                <w:sz w:val="16"/>
                <w:lang w:val="en-GB"/>
              </w:rPr>
              <w:t xml:space="preserve">Policy </w:t>
            </w:r>
            <w:r w:rsidR="004F2274" w:rsidRPr="0058033D">
              <w:rPr>
                <w:sz w:val="16"/>
                <w:lang w:val="en-GB"/>
              </w:rPr>
              <w:t xml:space="preserve">documents introducing a new policy will have a standard passage on policy theory and legitimacy (the considerations that </w:t>
            </w:r>
            <w:r w:rsidRPr="0058033D">
              <w:rPr>
                <w:sz w:val="16"/>
                <w:lang w:val="en-GB"/>
              </w:rPr>
              <w:t xml:space="preserve">followed </w:t>
            </w:r>
            <w:r w:rsidR="004F2274" w:rsidRPr="0058033D">
              <w:rPr>
                <w:sz w:val="16"/>
                <w:lang w:val="en-GB"/>
              </w:rPr>
              <w:t xml:space="preserve">deployment of the Integral Assessment </w:t>
            </w:r>
            <w:r w:rsidRPr="0058033D">
              <w:rPr>
                <w:sz w:val="16"/>
                <w:lang w:val="en-GB"/>
              </w:rPr>
              <w:t>Framework</w:t>
            </w:r>
            <w:r w:rsidR="004F2274" w:rsidRPr="0058033D">
              <w:rPr>
                <w:sz w:val="16"/>
                <w:lang w:val="en-GB"/>
              </w:rPr>
              <w:t>).</w:t>
            </w:r>
          </w:p>
        </w:tc>
      </w:tr>
      <w:tr w:rsidR="004F2274" w:rsidRPr="001B564F" w14:paraId="1B9255F9" w14:textId="77777777">
        <w:trPr>
          <w:cantSplit/>
          <w:trHeight w:val="198"/>
        </w:trPr>
        <w:tc>
          <w:tcPr>
            <w:tcW w:w="7745" w:type="dxa"/>
            <w:gridSpan w:val="2"/>
            <w:tcBorders>
              <w:top w:val="nil"/>
              <w:left w:val="single" w:sz="8" w:space="0" w:color="4F81BD"/>
              <w:bottom w:val="nil"/>
              <w:right w:val="single" w:sz="8" w:space="0" w:color="4F81BD"/>
            </w:tcBorders>
            <w:tcMar>
              <w:top w:w="0" w:type="dxa"/>
              <w:left w:w="108" w:type="dxa"/>
              <w:bottom w:w="0" w:type="dxa"/>
              <w:right w:w="108" w:type="dxa"/>
            </w:tcMar>
          </w:tcPr>
          <w:p w14:paraId="50E94C50" w14:textId="77777777" w:rsidR="004F2274" w:rsidRPr="0058033D" w:rsidRDefault="004F2274" w:rsidP="00993646">
            <w:pPr>
              <w:rPr>
                <w:lang w:val="en-GB" w:eastAsia="en-US"/>
              </w:rPr>
            </w:pPr>
            <w:r w:rsidRPr="0058033D">
              <w:rPr>
                <w:b/>
                <w:bCs/>
                <w:i/>
                <w:iCs/>
                <w:lang w:val="en-GB"/>
              </w:rPr>
              <w:t> </w:t>
            </w:r>
          </w:p>
          <w:p w14:paraId="21217500" w14:textId="77777777" w:rsidR="004F2274" w:rsidRPr="0058033D" w:rsidRDefault="004F2274" w:rsidP="00D41FF4">
            <w:pPr>
              <w:jc w:val="center"/>
              <w:rPr>
                <w:lang w:val="en-GB" w:eastAsia="en-US"/>
              </w:rPr>
            </w:pPr>
            <w:r w:rsidRPr="0058033D">
              <w:rPr>
                <w:b/>
                <w:bCs/>
                <w:i/>
                <w:iCs/>
                <w:lang w:val="en-GB"/>
              </w:rPr>
              <w:t>Improve quality of policy by monitoring and measuring effects</w:t>
            </w:r>
            <w:r w:rsidRPr="0058033D">
              <w:rPr>
                <w:lang w:val="en-GB" w:eastAsia="en-US"/>
              </w:rPr>
              <w:t xml:space="preserve"> </w:t>
            </w:r>
          </w:p>
        </w:tc>
      </w:tr>
      <w:tr w:rsidR="004F2274" w:rsidRPr="001B564F" w14:paraId="24682308" w14:textId="77777777">
        <w:trPr>
          <w:cantSplit/>
          <w:trHeight w:val="2228"/>
        </w:trPr>
        <w:tc>
          <w:tcPr>
            <w:tcW w:w="3261" w:type="dxa"/>
            <w:tcBorders>
              <w:top w:val="single" w:sz="8" w:space="0" w:color="4F81BD"/>
              <w:left w:val="single" w:sz="8" w:space="0" w:color="4F81BD"/>
              <w:bottom w:val="single" w:sz="8" w:space="0" w:color="4F81BD"/>
              <w:right w:val="nil"/>
            </w:tcBorders>
            <w:tcMar>
              <w:top w:w="0" w:type="dxa"/>
              <w:left w:w="108" w:type="dxa"/>
              <w:bottom w:w="0" w:type="dxa"/>
              <w:right w:w="108" w:type="dxa"/>
            </w:tcMar>
          </w:tcPr>
          <w:p w14:paraId="57F8E42F" w14:textId="2829F461" w:rsidR="004F2274" w:rsidRPr="0058033D" w:rsidRDefault="004F2274" w:rsidP="00846B94">
            <w:pPr>
              <w:numPr>
                <w:ilvl w:val="0"/>
                <w:numId w:val="25"/>
              </w:numPr>
              <w:ind w:left="142" w:hanging="153"/>
              <w:contextualSpacing/>
              <w:rPr>
                <w:lang w:val="en-GB" w:eastAsia="en-US"/>
              </w:rPr>
            </w:pPr>
            <w:r w:rsidRPr="0058033D">
              <w:rPr>
                <w:b/>
                <w:bCs/>
                <w:sz w:val="16"/>
                <w:lang w:val="en-GB"/>
              </w:rPr>
              <w:t>Qualitative ex ante cost/benefit analyses (legitimacy, intended effectiveness and efficiency) and analysis</w:t>
            </w:r>
            <w:r w:rsidR="00775F00" w:rsidRPr="0058033D">
              <w:rPr>
                <w:b/>
                <w:bCs/>
                <w:sz w:val="16"/>
                <w:lang w:val="en-GB"/>
              </w:rPr>
              <w:t xml:space="preserve"> of issues</w:t>
            </w:r>
            <w:r w:rsidRPr="0058033D">
              <w:rPr>
                <w:b/>
                <w:bCs/>
                <w:sz w:val="16"/>
                <w:lang w:val="en-GB"/>
              </w:rPr>
              <w:t xml:space="preserve">. </w:t>
            </w:r>
          </w:p>
          <w:p w14:paraId="0256B7CB" w14:textId="1BC8A050" w:rsidR="004F2274" w:rsidRPr="0058033D" w:rsidRDefault="004F2274" w:rsidP="00775F00">
            <w:pPr>
              <w:numPr>
                <w:ilvl w:val="0"/>
                <w:numId w:val="19"/>
              </w:numPr>
              <w:ind w:left="142" w:hanging="153"/>
              <w:contextualSpacing/>
              <w:rPr>
                <w:lang w:val="en-GB" w:eastAsia="en-US"/>
              </w:rPr>
            </w:pPr>
            <w:r w:rsidRPr="0058033D">
              <w:rPr>
                <w:b/>
                <w:bCs/>
                <w:sz w:val="16"/>
                <w:lang w:val="en-GB"/>
              </w:rPr>
              <w:t>Continue, where possible, with quantitative measuring of ‘first order effects’ (‘Theeuwes approach’) for individual instruments and develop methods for evaluating ‘integrated policy approaches’.</w:t>
            </w:r>
          </w:p>
        </w:tc>
        <w:tc>
          <w:tcPr>
            <w:tcW w:w="4484" w:type="dxa"/>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53D59C9E" w14:textId="66FFEC7B" w:rsidR="004F2274" w:rsidRPr="0058033D" w:rsidRDefault="004F2274" w:rsidP="00846B94">
            <w:pPr>
              <w:ind w:left="217"/>
              <w:contextualSpacing/>
              <w:rPr>
                <w:sz w:val="16"/>
                <w:lang w:val="en-GB" w:eastAsia="en-US"/>
              </w:rPr>
            </w:pPr>
            <w:r w:rsidRPr="0058033D">
              <w:rPr>
                <w:sz w:val="16"/>
                <w:lang w:val="en-GB" w:eastAsia="en-US"/>
              </w:rPr>
              <w:t xml:space="preserve">The </w:t>
            </w:r>
            <w:r w:rsidR="00567DBF" w:rsidRPr="0058033D">
              <w:rPr>
                <w:sz w:val="16"/>
                <w:lang w:val="en-GB" w:eastAsia="en-US"/>
              </w:rPr>
              <w:t>government</w:t>
            </w:r>
            <w:r w:rsidRPr="0058033D">
              <w:rPr>
                <w:sz w:val="16"/>
                <w:lang w:val="en-GB" w:eastAsia="en-US"/>
              </w:rPr>
              <w:t xml:space="preserve"> is doing the following:</w:t>
            </w:r>
          </w:p>
          <w:p w14:paraId="44E64A3E" w14:textId="175066AA" w:rsidR="004F2274" w:rsidRPr="0058033D" w:rsidRDefault="004F2274" w:rsidP="00846B94">
            <w:pPr>
              <w:numPr>
                <w:ilvl w:val="0"/>
                <w:numId w:val="30"/>
              </w:numPr>
              <w:ind w:left="217" w:hanging="220"/>
              <w:contextualSpacing/>
              <w:rPr>
                <w:lang w:val="en-GB" w:eastAsia="en-US"/>
              </w:rPr>
            </w:pPr>
            <w:r w:rsidRPr="0058033D">
              <w:rPr>
                <w:sz w:val="16"/>
                <w:lang w:val="en-GB"/>
              </w:rPr>
              <w:t xml:space="preserve">Enhancing standard </w:t>
            </w:r>
            <w:r w:rsidR="00775F00" w:rsidRPr="0058033D">
              <w:rPr>
                <w:sz w:val="16"/>
                <w:lang w:val="en-GB"/>
              </w:rPr>
              <w:t>analysis of issues</w:t>
            </w:r>
            <w:r w:rsidRPr="0058033D">
              <w:rPr>
                <w:sz w:val="16"/>
                <w:lang w:val="en-GB"/>
              </w:rPr>
              <w:t xml:space="preserve"> ahead of introduction of or major changes </w:t>
            </w:r>
            <w:r w:rsidR="002239DA">
              <w:rPr>
                <w:sz w:val="16"/>
                <w:lang w:val="en-GB"/>
              </w:rPr>
              <w:t>to</w:t>
            </w:r>
            <w:r w:rsidRPr="0058033D">
              <w:rPr>
                <w:sz w:val="16"/>
                <w:lang w:val="en-GB"/>
              </w:rPr>
              <w:t xml:space="preserve"> policy instruments;</w:t>
            </w:r>
          </w:p>
          <w:p w14:paraId="51BB0C22" w14:textId="3E97AA56" w:rsidR="004F2274" w:rsidRPr="0058033D" w:rsidRDefault="004F2274" w:rsidP="00846B94">
            <w:pPr>
              <w:numPr>
                <w:ilvl w:val="0"/>
                <w:numId w:val="30"/>
              </w:numPr>
              <w:ind w:left="217" w:hanging="220"/>
              <w:contextualSpacing/>
              <w:rPr>
                <w:lang w:val="en-GB"/>
              </w:rPr>
            </w:pPr>
            <w:r w:rsidRPr="0058033D">
              <w:rPr>
                <w:sz w:val="16"/>
                <w:lang w:val="en-GB"/>
              </w:rPr>
              <w:t>Continuing</w:t>
            </w:r>
            <w:r w:rsidR="008F1238">
              <w:rPr>
                <w:sz w:val="16"/>
                <w:lang w:val="en-GB"/>
              </w:rPr>
              <w:t xml:space="preserve"> the</w:t>
            </w:r>
            <w:r w:rsidRPr="0058033D">
              <w:rPr>
                <w:sz w:val="16"/>
                <w:lang w:val="en-GB"/>
              </w:rPr>
              <w:t xml:space="preserve"> ‘Theeuwes’ expert group </w:t>
            </w:r>
            <w:r w:rsidR="00775F00" w:rsidRPr="0058033D">
              <w:rPr>
                <w:sz w:val="16"/>
                <w:lang w:val="en-GB"/>
              </w:rPr>
              <w:t xml:space="preserve">effect </w:t>
            </w:r>
            <w:r w:rsidR="006F1965">
              <w:rPr>
                <w:sz w:val="16"/>
                <w:lang w:val="en-GB"/>
              </w:rPr>
              <w:t>m</w:t>
            </w:r>
            <w:r w:rsidR="00775F00" w:rsidRPr="0058033D">
              <w:rPr>
                <w:sz w:val="16"/>
                <w:lang w:val="en-GB"/>
              </w:rPr>
              <w:t xml:space="preserve">easurement </w:t>
            </w:r>
            <w:r w:rsidRPr="0058033D">
              <w:rPr>
                <w:sz w:val="16"/>
                <w:lang w:val="en-GB"/>
              </w:rPr>
              <w:t>approach where possible and useful with focus on ‘first order effects’;</w:t>
            </w:r>
          </w:p>
          <w:p w14:paraId="0FCD4581" w14:textId="77777777" w:rsidR="004F2274" w:rsidRPr="0058033D" w:rsidRDefault="004F2274" w:rsidP="00846B94">
            <w:pPr>
              <w:numPr>
                <w:ilvl w:val="0"/>
                <w:numId w:val="30"/>
              </w:numPr>
              <w:ind w:left="217" w:hanging="220"/>
              <w:contextualSpacing/>
              <w:rPr>
                <w:lang w:val="en-GB"/>
              </w:rPr>
            </w:pPr>
            <w:r w:rsidRPr="0058033D">
              <w:rPr>
                <w:sz w:val="16"/>
                <w:lang w:val="en-GB"/>
              </w:rPr>
              <w:t>Contributing internationally (OECD, EU, NESTA, Kaufman) to development of qualitative SCBAs and evaluation methods for integrated policy approaches; and</w:t>
            </w:r>
          </w:p>
          <w:p w14:paraId="50F00E79" w14:textId="77777777" w:rsidR="004F2274" w:rsidRPr="0058033D" w:rsidRDefault="004F2274" w:rsidP="00846B94">
            <w:pPr>
              <w:numPr>
                <w:ilvl w:val="0"/>
                <w:numId w:val="23"/>
              </w:numPr>
              <w:ind w:left="217" w:hanging="220"/>
              <w:contextualSpacing/>
              <w:rPr>
                <w:lang w:val="en-GB" w:eastAsia="en-US"/>
              </w:rPr>
            </w:pPr>
            <w:r w:rsidRPr="0058033D">
              <w:rPr>
                <w:sz w:val="16"/>
                <w:lang w:val="en-GB"/>
              </w:rPr>
              <w:t>Paying greater attention to the use of policy experiments including by participating in ‘Innovation Growth Lab’ (Kaufman/Nesta).</w:t>
            </w:r>
          </w:p>
        </w:tc>
      </w:tr>
    </w:tbl>
    <w:p w14:paraId="4A14B309" w14:textId="77777777" w:rsidR="004F2274" w:rsidRPr="0058033D" w:rsidRDefault="004F2274" w:rsidP="00D73C59">
      <w:pPr>
        <w:autoSpaceDE w:val="0"/>
        <w:autoSpaceDN w:val="0"/>
        <w:adjustRightInd w:val="0"/>
        <w:rPr>
          <w:rFonts w:cs="Verdana"/>
          <w:lang w:val="en-GB"/>
        </w:rPr>
      </w:pPr>
    </w:p>
    <w:p w14:paraId="172544E7" w14:textId="55ECDF7B" w:rsidR="004F2274" w:rsidRPr="0058033D" w:rsidRDefault="004F2274" w:rsidP="00D73C59">
      <w:pPr>
        <w:autoSpaceDE w:val="0"/>
        <w:autoSpaceDN w:val="0"/>
        <w:adjustRightInd w:val="0"/>
        <w:rPr>
          <w:rFonts w:cs="Verdana"/>
          <w:lang w:val="en-GB"/>
        </w:rPr>
      </w:pPr>
      <w:r w:rsidRPr="0058033D">
        <w:rPr>
          <w:rFonts w:cs="Verdana"/>
          <w:lang w:val="en-GB"/>
        </w:rPr>
        <w:t xml:space="preserve">The focus and scope of the policy review are addressed below, followed by a description of </w:t>
      </w:r>
      <w:r w:rsidR="00775F00" w:rsidRPr="0058033D">
        <w:rPr>
          <w:rFonts w:cs="Verdana"/>
          <w:lang w:val="en-GB"/>
        </w:rPr>
        <w:t xml:space="preserve">the </w:t>
      </w:r>
      <w:r w:rsidRPr="0058033D">
        <w:rPr>
          <w:rFonts w:cs="Verdana"/>
          <w:lang w:val="en-GB"/>
        </w:rPr>
        <w:t>policy strategy and theory. The benefits and results of the policy are then presented. Finally</w:t>
      </w:r>
      <w:r w:rsidR="006F1965">
        <w:rPr>
          <w:rFonts w:cs="Verdana"/>
          <w:lang w:val="en-GB"/>
        </w:rPr>
        <w:t>,</w:t>
      </w:r>
      <w:r w:rsidRPr="0058033D">
        <w:rPr>
          <w:rFonts w:cs="Verdana"/>
          <w:lang w:val="en-GB"/>
        </w:rPr>
        <w:t xml:space="preserve"> there is a discussion of the recommendations of the background study and the </w:t>
      </w:r>
      <w:r w:rsidR="00567DBF" w:rsidRPr="0058033D">
        <w:rPr>
          <w:rFonts w:cs="Verdana"/>
          <w:lang w:val="en-GB"/>
        </w:rPr>
        <w:t>government</w:t>
      </w:r>
      <w:r w:rsidRPr="0058033D">
        <w:rPr>
          <w:rFonts w:cs="Verdana"/>
          <w:lang w:val="en-GB"/>
        </w:rPr>
        <w:t xml:space="preserve">’s response. </w:t>
      </w:r>
    </w:p>
    <w:p w14:paraId="0BD10339" w14:textId="77777777" w:rsidR="004F2274" w:rsidRPr="0058033D" w:rsidRDefault="004F2274" w:rsidP="00D73C59">
      <w:pPr>
        <w:autoSpaceDE w:val="0"/>
        <w:autoSpaceDN w:val="0"/>
        <w:adjustRightInd w:val="0"/>
        <w:rPr>
          <w:lang w:val="en-GB"/>
        </w:rPr>
      </w:pPr>
    </w:p>
    <w:p w14:paraId="6C75691C" w14:textId="5DD94D3E" w:rsidR="004F2274" w:rsidRPr="0058033D" w:rsidRDefault="001021EB" w:rsidP="00D73C59">
      <w:pPr>
        <w:rPr>
          <w:b/>
          <w:lang w:val="en-GB"/>
        </w:rPr>
      </w:pPr>
      <w:r>
        <w:rPr>
          <w:b/>
          <w:lang w:val="en-GB"/>
        </w:rPr>
        <w:br w:type="page"/>
      </w:r>
      <w:r w:rsidR="004F2274" w:rsidRPr="0058033D">
        <w:rPr>
          <w:b/>
          <w:lang w:val="en-GB"/>
        </w:rPr>
        <w:t>Focus and scope of this policy review</w:t>
      </w:r>
    </w:p>
    <w:p w14:paraId="6F4E5B58" w14:textId="77777777" w:rsidR="004F2274" w:rsidRPr="0058033D" w:rsidRDefault="004F2274" w:rsidP="00D73C59">
      <w:pPr>
        <w:rPr>
          <w:i/>
          <w:color w:val="4F81BD"/>
          <w:sz w:val="20"/>
          <w:u w:val="single"/>
          <w:lang w:val="en-GB"/>
        </w:rPr>
      </w:pPr>
    </w:p>
    <w:p w14:paraId="2C1328B2" w14:textId="77777777" w:rsidR="004F2274" w:rsidRPr="0058033D" w:rsidRDefault="004F2274" w:rsidP="00D73C59">
      <w:pPr>
        <w:rPr>
          <w:i/>
          <w:lang w:val="en-GB"/>
        </w:rPr>
      </w:pPr>
      <w:r w:rsidRPr="0058033D">
        <w:rPr>
          <w:i/>
          <w:lang w:val="en-GB"/>
        </w:rPr>
        <w:t>Focus</w:t>
      </w:r>
    </w:p>
    <w:p w14:paraId="760CF387" w14:textId="7B46539D" w:rsidR="004F2274" w:rsidRPr="0058033D" w:rsidRDefault="004F2274" w:rsidP="00D73C59">
      <w:pPr>
        <w:rPr>
          <w:i/>
          <w:color w:val="4F81BD"/>
          <w:sz w:val="20"/>
          <w:u w:val="single"/>
          <w:lang w:val="en-GB"/>
        </w:rPr>
      </w:pPr>
      <w:r w:rsidRPr="0058033D">
        <w:rPr>
          <w:lang w:val="en-GB"/>
        </w:rPr>
        <w:t xml:space="preserve">The central objective and key issue in this comprehensive policy review is to present an opinion on the extent to which the package of measures (policy mix) and approach in the enterprise policy (innovation and business climate) contribute to the objectives set in the policy (‘strong innovative capacity’ and ‘excellent business climate’) and EZ’s general objectives (sustainable economic growth and a strong international competitive position). </w:t>
      </w:r>
    </w:p>
    <w:p w14:paraId="69E76B17" w14:textId="77777777" w:rsidR="004F2274" w:rsidRPr="0058033D" w:rsidRDefault="004F2274" w:rsidP="00D73C59">
      <w:pPr>
        <w:rPr>
          <w:lang w:val="en-GB"/>
        </w:rPr>
      </w:pPr>
    </w:p>
    <w:p w14:paraId="6E0444AB" w14:textId="0276736E" w:rsidR="004F2274" w:rsidRPr="0058033D" w:rsidRDefault="004F2274" w:rsidP="00D73C59">
      <w:pPr>
        <w:rPr>
          <w:i/>
          <w:color w:val="4F81BD"/>
          <w:sz w:val="20"/>
          <w:u w:val="single"/>
          <w:lang w:val="en-GB"/>
        </w:rPr>
      </w:pPr>
      <w:r w:rsidRPr="0058033D">
        <w:rPr>
          <w:lang w:val="en-GB"/>
        </w:rPr>
        <w:t>The review covers the period 2009-2013 during which there was a substantial change of course in</w:t>
      </w:r>
      <w:r w:rsidR="006F1965">
        <w:rPr>
          <w:lang w:val="en-GB"/>
        </w:rPr>
        <w:t xml:space="preserve"> enterprise policy (from 2010-</w:t>
      </w:r>
      <w:r w:rsidRPr="0058033D">
        <w:rPr>
          <w:lang w:val="en-GB"/>
        </w:rPr>
        <w:t xml:space="preserve">11). This policy transition included: </w:t>
      </w:r>
    </w:p>
    <w:p w14:paraId="34CB42DE" w14:textId="77777777" w:rsidR="004F2274" w:rsidRPr="0058033D" w:rsidRDefault="004F2274" w:rsidP="00273432">
      <w:pPr>
        <w:pStyle w:val="Kleurrijkelijst-accent11"/>
        <w:numPr>
          <w:ilvl w:val="0"/>
          <w:numId w:val="24"/>
        </w:numPr>
        <w:rPr>
          <w:rFonts w:ascii="Verdana" w:hAnsi="Verdana"/>
          <w:i/>
          <w:sz w:val="20"/>
          <w:u w:val="single"/>
          <w:lang w:val="en-GB"/>
        </w:rPr>
      </w:pPr>
      <w:r w:rsidRPr="0058033D">
        <w:rPr>
          <w:rFonts w:ascii="Verdana" w:hAnsi="Verdana"/>
          <w:sz w:val="18"/>
          <w:lang w:val="en-GB"/>
        </w:rPr>
        <w:t>fewer direct business subsidies, more tax incentives, more self-funding financial interventions (such as credits and guarantees) and an end to direct incentives from the Economic Structure Enhancement Fund (</w:t>
      </w:r>
      <w:r w:rsidRPr="0058033D">
        <w:rPr>
          <w:rFonts w:ascii="Verdana" w:hAnsi="Verdana"/>
          <w:i/>
          <w:sz w:val="18"/>
          <w:lang w:val="en-GB"/>
        </w:rPr>
        <w:t>Fonds Economische Structuurversterking</w:t>
      </w:r>
      <w:r w:rsidRPr="0058033D">
        <w:rPr>
          <w:rFonts w:ascii="Verdana" w:hAnsi="Verdana"/>
          <w:sz w:val="18"/>
          <w:lang w:val="en-GB"/>
        </w:rPr>
        <w:t xml:space="preserve"> - FES);</w:t>
      </w:r>
    </w:p>
    <w:p w14:paraId="74D1041B" w14:textId="77777777" w:rsidR="004F2274" w:rsidRPr="0058033D" w:rsidRDefault="004F2274" w:rsidP="00273432">
      <w:pPr>
        <w:pStyle w:val="Kleurrijkelijst-accent11"/>
        <w:numPr>
          <w:ilvl w:val="0"/>
          <w:numId w:val="24"/>
        </w:numPr>
        <w:rPr>
          <w:rFonts w:ascii="Verdana" w:hAnsi="Verdana"/>
          <w:i/>
          <w:sz w:val="20"/>
          <w:u w:val="single"/>
          <w:lang w:val="en-GB"/>
        </w:rPr>
      </w:pPr>
      <w:r w:rsidRPr="0058033D">
        <w:rPr>
          <w:rFonts w:ascii="Verdana" w:hAnsi="Verdana"/>
          <w:sz w:val="18"/>
          <w:lang w:val="en-GB"/>
        </w:rPr>
        <w:t>encouraging more privately financed research into public-private research and innovation programmes;</w:t>
      </w:r>
    </w:p>
    <w:p w14:paraId="11976843" w14:textId="77777777" w:rsidR="004F2274" w:rsidRPr="0058033D" w:rsidRDefault="004F2274" w:rsidP="00273432">
      <w:pPr>
        <w:pStyle w:val="Kleurrijkelijst-accent11"/>
        <w:numPr>
          <w:ilvl w:val="0"/>
          <w:numId w:val="24"/>
        </w:numPr>
        <w:rPr>
          <w:rFonts w:ascii="Verdana" w:hAnsi="Verdana"/>
          <w:i/>
          <w:sz w:val="20"/>
          <w:u w:val="single"/>
          <w:lang w:val="en-GB"/>
        </w:rPr>
      </w:pPr>
      <w:r w:rsidRPr="0058033D">
        <w:rPr>
          <w:rFonts w:ascii="Verdana" w:hAnsi="Verdana"/>
          <w:sz w:val="18"/>
          <w:lang w:val="en-GB"/>
        </w:rPr>
        <w:t>interactive policy developments with a network approach. This creates policy in co-ordination with businesses and knowledge institutions;</w:t>
      </w:r>
    </w:p>
    <w:p w14:paraId="78878DE8" w14:textId="794290BA" w:rsidR="004F2274" w:rsidRPr="0058033D" w:rsidRDefault="004F2274" w:rsidP="00273432">
      <w:pPr>
        <w:pStyle w:val="Kleurrijkelijst-accent11"/>
        <w:numPr>
          <w:ilvl w:val="0"/>
          <w:numId w:val="24"/>
        </w:numPr>
        <w:rPr>
          <w:rFonts w:ascii="Verdana" w:hAnsi="Verdana"/>
          <w:i/>
          <w:sz w:val="20"/>
          <w:u w:val="single"/>
          <w:lang w:val="en-GB"/>
        </w:rPr>
      </w:pPr>
      <w:r w:rsidRPr="0058033D">
        <w:rPr>
          <w:rFonts w:ascii="Verdana" w:hAnsi="Verdana"/>
          <w:sz w:val="18"/>
          <w:lang w:val="en-GB"/>
        </w:rPr>
        <w:t>top-sector approach: the introduction of integrated policy and customiz</w:t>
      </w:r>
      <w:r w:rsidR="006F1965">
        <w:rPr>
          <w:rFonts w:ascii="Verdana" w:hAnsi="Verdana"/>
          <w:sz w:val="18"/>
          <w:lang w:val="en-GB"/>
        </w:rPr>
        <w:t>ed</w:t>
      </w:r>
      <w:r w:rsidRPr="0058033D">
        <w:rPr>
          <w:rFonts w:ascii="Verdana" w:hAnsi="Verdana"/>
          <w:sz w:val="18"/>
          <w:lang w:val="en-GB"/>
        </w:rPr>
        <w:t xml:space="preserve"> approach</w:t>
      </w:r>
      <w:r w:rsidR="00BC106A" w:rsidRPr="0058033D">
        <w:rPr>
          <w:rFonts w:ascii="Verdana" w:hAnsi="Verdana"/>
          <w:sz w:val="18"/>
          <w:lang w:val="en-GB"/>
        </w:rPr>
        <w:t>es</w:t>
      </w:r>
      <w:r w:rsidRPr="0058033D">
        <w:rPr>
          <w:rFonts w:ascii="Verdana" w:hAnsi="Verdana"/>
          <w:sz w:val="18"/>
          <w:lang w:val="en-GB"/>
        </w:rPr>
        <w:t xml:space="preserve"> in R&amp;D-intensive top sectors;</w:t>
      </w:r>
    </w:p>
    <w:p w14:paraId="035BE6A2" w14:textId="77777777" w:rsidR="004F2274" w:rsidRPr="0058033D" w:rsidRDefault="004F2274" w:rsidP="00D41FF4">
      <w:pPr>
        <w:pStyle w:val="Kleurrijkelijst-accent11"/>
        <w:numPr>
          <w:ilvl w:val="0"/>
          <w:numId w:val="24"/>
        </w:numPr>
        <w:rPr>
          <w:rFonts w:ascii="Verdana" w:hAnsi="Verdana"/>
          <w:i/>
          <w:sz w:val="20"/>
          <w:u w:val="single"/>
          <w:lang w:val="en-GB"/>
        </w:rPr>
      </w:pPr>
      <w:r w:rsidRPr="0058033D">
        <w:rPr>
          <w:rFonts w:ascii="Verdana" w:hAnsi="Verdana"/>
          <w:sz w:val="18"/>
          <w:lang w:val="en-GB"/>
        </w:rPr>
        <w:t xml:space="preserve">increasing the return and degree of valorization of publicly-financed (applied) research. This is shaped by greater co-ordination and more interaction between supply and demand, such as aligning agendas for applied research (TO2) and academic research (NWO) on the social needs of enterprises (in the top sectors); </w:t>
      </w:r>
    </w:p>
    <w:p w14:paraId="77AB974F" w14:textId="54E16FFC" w:rsidR="004F2274" w:rsidRPr="0058033D" w:rsidRDefault="004F2274" w:rsidP="00273432">
      <w:pPr>
        <w:pStyle w:val="Kleurrijkelijst-accent11"/>
        <w:numPr>
          <w:ilvl w:val="0"/>
          <w:numId w:val="24"/>
        </w:numPr>
        <w:rPr>
          <w:rFonts w:ascii="Verdana" w:hAnsi="Verdana"/>
          <w:i/>
          <w:sz w:val="20"/>
          <w:u w:val="single"/>
          <w:lang w:val="en-GB"/>
        </w:rPr>
      </w:pPr>
      <w:r w:rsidRPr="0058033D">
        <w:rPr>
          <w:rFonts w:ascii="Verdana" w:hAnsi="Verdana"/>
          <w:sz w:val="18"/>
          <w:lang w:val="en-GB"/>
        </w:rPr>
        <w:t xml:space="preserve">focusing policy strategy on the six large applied research institutes (TO2: TNO, DLO, ECN, Deltares, Marin, NLR) much more strongly than in the past on their contribution to public-private research alliances. Since the introduction of the enterprise policy, the Minister of Economic Affairs has had system responsibility and control of these knowledge institutions. </w:t>
      </w:r>
    </w:p>
    <w:p w14:paraId="0CD8B653" w14:textId="77777777" w:rsidR="004F2274" w:rsidRPr="0058033D" w:rsidRDefault="004F2274" w:rsidP="00D73C59">
      <w:pPr>
        <w:rPr>
          <w:lang w:val="en-GB"/>
        </w:rPr>
      </w:pPr>
    </w:p>
    <w:p w14:paraId="70D7551B" w14:textId="3941D7F9" w:rsidR="004F2274" w:rsidRPr="0058033D" w:rsidRDefault="004F2274" w:rsidP="00D73C59">
      <w:pPr>
        <w:rPr>
          <w:lang w:val="en-GB"/>
        </w:rPr>
      </w:pPr>
      <w:r w:rsidRPr="0058033D">
        <w:rPr>
          <w:lang w:val="en-GB"/>
        </w:rPr>
        <w:t>Not only did the character of th</w:t>
      </w:r>
      <w:r w:rsidR="00BC106A" w:rsidRPr="0058033D">
        <w:rPr>
          <w:lang w:val="en-GB"/>
        </w:rPr>
        <w:t>e</w:t>
      </w:r>
      <w:r w:rsidRPr="0058033D">
        <w:rPr>
          <w:lang w:val="en-GB"/>
        </w:rPr>
        <w:t xml:space="preserve"> policy change in this period</w:t>
      </w:r>
      <w:r w:rsidR="008F1238">
        <w:rPr>
          <w:lang w:val="en-GB"/>
        </w:rPr>
        <w:t>,</w:t>
      </w:r>
      <w:r w:rsidRPr="0058033D">
        <w:rPr>
          <w:lang w:val="en-GB"/>
        </w:rPr>
        <w:t xml:space="preserve"> the </w:t>
      </w:r>
      <w:r w:rsidRPr="0058033D">
        <w:rPr>
          <w:i/>
          <w:lang w:val="en-GB"/>
        </w:rPr>
        <w:t xml:space="preserve">method </w:t>
      </w:r>
      <w:r w:rsidR="006F1965">
        <w:rPr>
          <w:i/>
          <w:lang w:val="en-GB"/>
        </w:rPr>
        <w:t>of</w:t>
      </w:r>
      <w:r w:rsidRPr="0058033D">
        <w:rPr>
          <w:i/>
          <w:lang w:val="en-GB"/>
        </w:rPr>
        <w:t xml:space="preserve"> policy development and implementation </w:t>
      </w:r>
      <w:r w:rsidRPr="0058033D">
        <w:rPr>
          <w:lang w:val="en-GB"/>
        </w:rPr>
        <w:t>also changed in nature. The background study</w:t>
      </w:r>
      <w:r w:rsidR="00BC106A" w:rsidRPr="0058033D">
        <w:rPr>
          <w:lang w:val="en-GB"/>
        </w:rPr>
        <w:t xml:space="preserve">, therefore, </w:t>
      </w:r>
      <w:r w:rsidRPr="0058033D">
        <w:rPr>
          <w:lang w:val="en-GB"/>
        </w:rPr>
        <w:t xml:space="preserve">notes that policy has undergone a transition in this period from </w:t>
      </w:r>
      <w:r w:rsidR="006F1965">
        <w:rPr>
          <w:lang w:val="en-GB"/>
        </w:rPr>
        <w:t>one</w:t>
      </w:r>
      <w:r w:rsidRPr="0058033D">
        <w:rPr>
          <w:lang w:val="en-GB"/>
        </w:rPr>
        <w:t xml:space="preserve"> based primarily on a market perspective (improving market oper</w:t>
      </w:r>
      <w:r w:rsidR="00BC106A" w:rsidRPr="0058033D">
        <w:rPr>
          <w:lang w:val="en-GB"/>
        </w:rPr>
        <w:t>ation and market conditions for</w:t>
      </w:r>
      <w:r w:rsidRPr="0058033D">
        <w:rPr>
          <w:lang w:val="en-GB"/>
        </w:rPr>
        <w:t xml:space="preserve"> businesses) to </w:t>
      </w:r>
      <w:r w:rsidR="00BC106A" w:rsidRPr="0058033D">
        <w:rPr>
          <w:lang w:val="en-GB"/>
        </w:rPr>
        <w:t>one</w:t>
      </w:r>
      <w:r w:rsidRPr="0058033D">
        <w:rPr>
          <w:lang w:val="en-GB"/>
        </w:rPr>
        <w:t xml:space="preserve"> that also uses ‘system perspective’ (improved operation of the innovation system and the interaction between enterprises, the public sector and knowledge institutions). As a result of th</w:t>
      </w:r>
      <w:r w:rsidR="00BC106A" w:rsidRPr="0058033D">
        <w:rPr>
          <w:lang w:val="en-GB"/>
        </w:rPr>
        <w:t>is</w:t>
      </w:r>
      <w:r w:rsidRPr="0058033D">
        <w:rPr>
          <w:lang w:val="en-GB"/>
        </w:rPr>
        <w:t xml:space="preserve"> ‘network approach’, the </w:t>
      </w:r>
      <w:r w:rsidR="006F1965" w:rsidRPr="0058033D">
        <w:rPr>
          <w:lang w:val="en-GB"/>
        </w:rPr>
        <w:t>government</w:t>
      </w:r>
      <w:r w:rsidR="006F1965">
        <w:rPr>
          <w:lang w:val="en-GB"/>
        </w:rPr>
        <w:t>’s</w:t>
      </w:r>
      <w:r w:rsidR="006F1965" w:rsidRPr="0058033D">
        <w:rPr>
          <w:lang w:val="en-GB"/>
        </w:rPr>
        <w:t xml:space="preserve"> </w:t>
      </w:r>
      <w:r w:rsidRPr="0058033D">
        <w:rPr>
          <w:lang w:val="en-GB"/>
        </w:rPr>
        <w:t>role is also changing. The accent is more than previously on facilitating and organizing public-private partnerships between the main actors in the ‘golden triangle’ of enterprises, knowledge institutions and the public sector who jointly – and each with its own role and competences in the network – shape and implement the policy strategy and approach.</w:t>
      </w:r>
    </w:p>
    <w:p w14:paraId="0FE8ED8A" w14:textId="77777777" w:rsidR="004F2274" w:rsidRPr="0058033D" w:rsidRDefault="004F2274" w:rsidP="00D73C59">
      <w:pPr>
        <w:pStyle w:val="Kleurrijkelijst-accent11"/>
        <w:ind w:left="0"/>
        <w:rPr>
          <w:rFonts w:ascii="Verdana" w:hAnsi="Verdana"/>
          <w:color w:val="4F81BD"/>
          <w:sz w:val="20"/>
          <w:lang w:val="en-GB"/>
        </w:rPr>
      </w:pPr>
    </w:p>
    <w:p w14:paraId="75ED7D01" w14:textId="684AC2A8" w:rsidR="004F2274" w:rsidRPr="0058033D" w:rsidRDefault="004F2274" w:rsidP="00D73C59">
      <w:pPr>
        <w:rPr>
          <w:color w:val="000000"/>
          <w:lang w:val="en-GB"/>
        </w:rPr>
      </w:pPr>
      <w:r w:rsidRPr="0058033D">
        <w:rPr>
          <w:color w:val="000000"/>
          <w:lang w:val="en-GB"/>
        </w:rPr>
        <w:t xml:space="preserve">This policy review used previously published figures on the Netherlands’ position in this policy area. For example, the background study used an analytical report by the OECD on the Dutch research and innovation system which presented </w:t>
      </w:r>
      <w:r w:rsidR="008F1238">
        <w:rPr>
          <w:color w:val="000000"/>
          <w:lang w:val="en-GB"/>
        </w:rPr>
        <w:t>considerable</w:t>
      </w:r>
      <w:r w:rsidRPr="0058033D">
        <w:rPr>
          <w:color w:val="000000"/>
          <w:lang w:val="en-GB"/>
        </w:rPr>
        <w:t xml:space="preserve"> research material and figures.</w:t>
      </w:r>
      <w:r w:rsidRPr="0058033D">
        <w:rPr>
          <w:rStyle w:val="Voetnootmarkering"/>
          <w:color w:val="000000"/>
          <w:lang w:val="en-GB"/>
        </w:rPr>
        <w:footnoteReference w:id="4"/>
      </w:r>
      <w:r w:rsidRPr="0058033D">
        <w:rPr>
          <w:color w:val="000000"/>
          <w:lang w:val="en-GB"/>
        </w:rPr>
        <w:t xml:space="preserve"> It also used recent statements of indicators in EZ’s annual </w:t>
      </w:r>
      <w:r w:rsidR="00775F00" w:rsidRPr="0058033D">
        <w:rPr>
          <w:i/>
          <w:color w:val="000000"/>
          <w:lang w:val="en-GB"/>
        </w:rPr>
        <w:t>Monitor Bedrijvenbeleid</w:t>
      </w:r>
      <w:r w:rsidR="00092FA4" w:rsidRPr="0058033D">
        <w:rPr>
          <w:color w:val="000000"/>
          <w:lang w:val="en-GB"/>
        </w:rPr>
        <w:t xml:space="preserve"> and the</w:t>
      </w:r>
      <w:r w:rsidRPr="0058033D">
        <w:rPr>
          <w:color w:val="000000"/>
          <w:lang w:val="en-GB"/>
        </w:rPr>
        <w:t xml:space="preserve"> indicators presented in the Science, Technology and Innov</w:t>
      </w:r>
      <w:r w:rsidR="00092FA4" w:rsidRPr="0058033D">
        <w:rPr>
          <w:color w:val="000000"/>
          <w:lang w:val="en-GB"/>
        </w:rPr>
        <w:t>ation Indicators (WTI2) reports</w:t>
      </w:r>
      <w:r w:rsidRPr="0058033D">
        <w:rPr>
          <w:color w:val="000000"/>
          <w:lang w:val="en-GB"/>
        </w:rPr>
        <w:t xml:space="preserve"> commissioned by the Ministry of Education, Culture and Science.</w:t>
      </w:r>
      <w:r w:rsidRPr="0058033D">
        <w:rPr>
          <w:rStyle w:val="Voetnootmarkering"/>
          <w:color w:val="000000"/>
          <w:lang w:val="en-GB"/>
        </w:rPr>
        <w:footnoteReference w:id="5"/>
      </w:r>
      <w:r w:rsidRPr="0058033D">
        <w:rPr>
          <w:color w:val="000000"/>
          <w:lang w:val="en-GB"/>
        </w:rPr>
        <w:t xml:space="preserve"> In addition, regular statements on the </w:t>
      </w:r>
      <w:r w:rsidR="006F1965" w:rsidRPr="0058033D">
        <w:rPr>
          <w:color w:val="000000"/>
          <w:lang w:val="en-GB"/>
        </w:rPr>
        <w:t xml:space="preserve">Netherlands’ </w:t>
      </w:r>
      <w:r w:rsidRPr="0058033D">
        <w:rPr>
          <w:color w:val="000000"/>
          <w:lang w:val="en-GB"/>
        </w:rPr>
        <w:t xml:space="preserve">position are presented for example by the European Commission in </w:t>
      </w:r>
      <w:r w:rsidR="00092FA4" w:rsidRPr="0058033D">
        <w:rPr>
          <w:color w:val="000000"/>
          <w:lang w:val="en-GB"/>
        </w:rPr>
        <w:t xml:space="preserve">the </w:t>
      </w:r>
      <w:r w:rsidRPr="0058033D">
        <w:rPr>
          <w:color w:val="000000"/>
          <w:lang w:val="en-GB"/>
        </w:rPr>
        <w:t xml:space="preserve">‘Innovation Union Scoreboard’ and in the ‘Global Entrepreneurship Monitor’. EZ’s </w:t>
      </w:r>
      <w:r w:rsidR="00775F00" w:rsidRPr="0058033D">
        <w:rPr>
          <w:i/>
          <w:color w:val="000000"/>
          <w:lang w:val="en-GB"/>
        </w:rPr>
        <w:t>Monitor Bedrijvenbeleid</w:t>
      </w:r>
      <w:r w:rsidRPr="0058033D">
        <w:rPr>
          <w:color w:val="000000"/>
          <w:lang w:val="en-GB"/>
        </w:rPr>
        <w:t xml:space="preserve"> </w:t>
      </w:r>
      <w:r w:rsidRPr="006F1965">
        <w:rPr>
          <w:i/>
          <w:color w:val="000000"/>
          <w:lang w:val="en-GB"/>
        </w:rPr>
        <w:t>2014</w:t>
      </w:r>
      <w:r w:rsidRPr="0058033D">
        <w:rPr>
          <w:color w:val="000000"/>
          <w:lang w:val="en-GB"/>
        </w:rPr>
        <w:t xml:space="preserve"> presents the most recent and compact statement in this field. It </w:t>
      </w:r>
      <w:r w:rsidR="00092FA4" w:rsidRPr="0058033D">
        <w:rPr>
          <w:color w:val="000000"/>
          <w:lang w:val="en-GB"/>
        </w:rPr>
        <w:t>was</w:t>
      </w:r>
      <w:r w:rsidRPr="0058033D">
        <w:rPr>
          <w:color w:val="000000"/>
          <w:lang w:val="en-GB"/>
        </w:rPr>
        <w:t xml:space="preserve"> decided not to repeat this exercise </w:t>
      </w:r>
      <w:r w:rsidR="00F751AF" w:rsidRPr="0058033D">
        <w:rPr>
          <w:color w:val="000000"/>
          <w:lang w:val="en-GB"/>
        </w:rPr>
        <w:t>in</w:t>
      </w:r>
      <w:r w:rsidRPr="0058033D">
        <w:rPr>
          <w:color w:val="000000"/>
          <w:lang w:val="en-GB"/>
        </w:rPr>
        <w:t xml:space="preserve"> this policy review. </w:t>
      </w:r>
    </w:p>
    <w:p w14:paraId="32E18035" w14:textId="77777777" w:rsidR="004F2274" w:rsidRPr="0058033D" w:rsidRDefault="004F2274" w:rsidP="00D73C59">
      <w:pPr>
        <w:rPr>
          <w:i/>
          <w:lang w:val="en-GB"/>
        </w:rPr>
      </w:pPr>
    </w:p>
    <w:p w14:paraId="10003A03" w14:textId="77777777" w:rsidR="004F2274" w:rsidRPr="0058033D" w:rsidRDefault="004F2274" w:rsidP="00D73C59">
      <w:pPr>
        <w:rPr>
          <w:i/>
          <w:sz w:val="20"/>
          <w:lang w:val="en-GB"/>
        </w:rPr>
      </w:pPr>
      <w:r w:rsidRPr="0058033D">
        <w:rPr>
          <w:i/>
          <w:lang w:val="en-GB"/>
        </w:rPr>
        <w:t>Scope</w:t>
      </w:r>
    </w:p>
    <w:p w14:paraId="73BE46E0" w14:textId="171AA67D" w:rsidR="004F2274" w:rsidRPr="0058033D" w:rsidRDefault="004F2274" w:rsidP="00D73C59">
      <w:pPr>
        <w:rPr>
          <w:i/>
          <w:color w:val="4F81BD"/>
          <w:sz w:val="20"/>
          <w:u w:val="single"/>
          <w:lang w:val="en-GB"/>
        </w:rPr>
      </w:pPr>
      <w:r w:rsidRPr="0058033D">
        <w:rPr>
          <w:lang w:val="en-GB"/>
        </w:rPr>
        <w:t xml:space="preserve">A policy review of budget items necessarily focuses primarily on the consequences of the government’s financial interventions. Although this type of intervention forms the financial backbone of enterprise policy, this angle only offers a limited view of the actual </w:t>
      </w:r>
      <w:r w:rsidR="00F751AF" w:rsidRPr="0058033D">
        <w:rPr>
          <w:lang w:val="en-GB"/>
        </w:rPr>
        <w:t>implementation</w:t>
      </w:r>
      <w:r w:rsidRPr="0058033D">
        <w:rPr>
          <w:lang w:val="en-GB"/>
        </w:rPr>
        <w:t xml:space="preserve"> of this policy</w:t>
      </w:r>
      <w:r w:rsidR="00F751AF" w:rsidRPr="0058033D">
        <w:rPr>
          <w:lang w:val="en-GB"/>
        </w:rPr>
        <w:t>,</w:t>
      </w:r>
      <w:r w:rsidRPr="0058033D">
        <w:rPr>
          <w:lang w:val="en-GB"/>
        </w:rPr>
        <w:t xml:space="preserve"> in which non-financial interventions by the government will play an increasingly significant and decisive role</w:t>
      </w:r>
      <w:r w:rsidR="00F751AF" w:rsidRPr="0058033D">
        <w:rPr>
          <w:lang w:val="en-GB"/>
        </w:rPr>
        <w:t xml:space="preserve"> in the network approach</w:t>
      </w:r>
      <w:r w:rsidRPr="0058033D">
        <w:rPr>
          <w:lang w:val="en-GB"/>
        </w:rPr>
        <w:t>. Examples are the build</w:t>
      </w:r>
      <w:r w:rsidR="00F751AF" w:rsidRPr="0058033D">
        <w:rPr>
          <w:lang w:val="en-GB"/>
        </w:rPr>
        <w:t>-</w:t>
      </w:r>
      <w:r w:rsidRPr="0058033D">
        <w:rPr>
          <w:lang w:val="en-GB"/>
        </w:rPr>
        <w:t xml:space="preserve">up of organizational and </w:t>
      </w:r>
      <w:r w:rsidR="00D04E5D" w:rsidRPr="0058033D">
        <w:rPr>
          <w:lang w:val="en-GB"/>
        </w:rPr>
        <w:t>catalysing</w:t>
      </w:r>
      <w:r w:rsidRPr="0058033D">
        <w:rPr>
          <w:lang w:val="en-GB"/>
        </w:rPr>
        <w:t xml:space="preserve"> strengths, tailoring legislation and regulation, such as for the Top sectors, Techniekpact, </w:t>
      </w:r>
      <w:r w:rsidR="005F72FB" w:rsidRPr="0058033D">
        <w:rPr>
          <w:lang w:val="en-GB"/>
        </w:rPr>
        <w:t xml:space="preserve">Top consortia for Knowledge and </w:t>
      </w:r>
      <w:r w:rsidR="0058033D" w:rsidRPr="0058033D">
        <w:rPr>
          <w:lang w:val="en-GB"/>
        </w:rPr>
        <w:t>Innovation</w:t>
      </w:r>
      <w:r w:rsidR="005F72FB" w:rsidRPr="0058033D">
        <w:rPr>
          <w:lang w:val="en-GB"/>
        </w:rPr>
        <w:t xml:space="preserve"> (</w:t>
      </w:r>
      <w:r w:rsidRPr="0058033D">
        <w:rPr>
          <w:lang w:val="en-GB"/>
        </w:rPr>
        <w:t xml:space="preserve">TKI), Green Deals, </w:t>
      </w:r>
      <w:r w:rsidR="00EF6829">
        <w:rPr>
          <w:lang w:val="en-GB"/>
        </w:rPr>
        <w:t xml:space="preserve">the </w:t>
      </w:r>
      <w:r w:rsidRPr="0058033D">
        <w:rPr>
          <w:lang w:val="en-GB"/>
        </w:rPr>
        <w:t>‘Bio-Based Economy’ programme, the customized approach to the regulatory burden and ICT policy.</w:t>
      </w:r>
    </w:p>
    <w:p w14:paraId="65B1EBA5" w14:textId="77777777" w:rsidR="004F2274" w:rsidRPr="0058033D" w:rsidRDefault="004F2274" w:rsidP="00D73C59">
      <w:pPr>
        <w:rPr>
          <w:lang w:val="en-GB"/>
        </w:rPr>
      </w:pPr>
    </w:p>
    <w:p w14:paraId="75AA04E9" w14:textId="470CB96F" w:rsidR="004F2274" w:rsidRPr="0058033D" w:rsidRDefault="004F2274" w:rsidP="00D73C59">
      <w:pPr>
        <w:rPr>
          <w:lang w:val="en-GB"/>
        </w:rPr>
      </w:pPr>
      <w:r w:rsidRPr="0058033D">
        <w:rPr>
          <w:lang w:val="en-GB"/>
        </w:rPr>
        <w:t xml:space="preserve">This policy review focuses on the policy in </w:t>
      </w:r>
      <w:r w:rsidR="00F7025F">
        <w:rPr>
          <w:lang w:val="en-GB"/>
        </w:rPr>
        <w:t>items</w:t>
      </w:r>
      <w:r w:rsidR="00AD1940" w:rsidRPr="0058033D">
        <w:rPr>
          <w:lang w:val="en-GB"/>
        </w:rPr>
        <w:t xml:space="preserve"> </w:t>
      </w:r>
      <w:r w:rsidRPr="0058033D">
        <w:rPr>
          <w:lang w:val="en-GB"/>
        </w:rPr>
        <w:t>12 and 13 of the EZ budget: the enterprise policy. Interdepartmental links between policy fields (such as with science policy and sustainability policy</w:t>
      </w:r>
      <w:r w:rsidRPr="0058033D">
        <w:rPr>
          <w:rStyle w:val="Voetnootmarkering"/>
          <w:lang w:val="en-GB"/>
        </w:rPr>
        <w:footnoteReference w:id="6"/>
      </w:r>
      <w:r w:rsidRPr="0058033D">
        <w:rPr>
          <w:lang w:val="en-GB"/>
        </w:rPr>
        <w:t>) and synergy between policy fields within a single ministry (such as energy, sustainable agriculture and market forces polic</w:t>
      </w:r>
      <w:r w:rsidR="00AD1940">
        <w:rPr>
          <w:lang w:val="en-GB"/>
        </w:rPr>
        <w:t>ies</w:t>
      </w:r>
      <w:r w:rsidRPr="0058033D">
        <w:rPr>
          <w:lang w:val="en-GB"/>
        </w:rPr>
        <w:t xml:space="preserve">) are not part of this policy review as they are subject to policy reviews to be carried out separately. </w:t>
      </w:r>
    </w:p>
    <w:p w14:paraId="168B5509" w14:textId="77777777" w:rsidR="004F2274" w:rsidRPr="0058033D" w:rsidRDefault="004F2274" w:rsidP="00D73C59">
      <w:pPr>
        <w:rPr>
          <w:lang w:val="en-GB"/>
        </w:rPr>
      </w:pPr>
    </w:p>
    <w:p w14:paraId="7A49ED71" w14:textId="3A9F9487" w:rsidR="004F2274" w:rsidRPr="0058033D" w:rsidRDefault="004F2274" w:rsidP="00D73C59">
      <w:pPr>
        <w:rPr>
          <w:i/>
          <w:color w:val="4F81BD"/>
          <w:sz w:val="20"/>
          <w:u w:val="single"/>
          <w:lang w:val="en-GB"/>
        </w:rPr>
      </w:pPr>
      <w:r w:rsidRPr="0058033D">
        <w:rPr>
          <w:lang w:val="en-GB"/>
        </w:rPr>
        <w:t>The rules for a policy review require the theory and logic</w:t>
      </w:r>
      <w:r w:rsidR="00F751AF" w:rsidRPr="0058033D">
        <w:rPr>
          <w:lang w:val="en-GB"/>
        </w:rPr>
        <w:t>al reasoning</w:t>
      </w:r>
      <w:r w:rsidRPr="0058033D">
        <w:rPr>
          <w:lang w:val="en-GB"/>
        </w:rPr>
        <w:t xml:space="preserve"> of the policy to be set out explicitly, along with its theoretical economic legitimacy. The background study points out that such a rational perspective (objective-resource) can only </w:t>
      </w:r>
      <w:r w:rsidR="00F751AF" w:rsidRPr="0058033D">
        <w:rPr>
          <w:lang w:val="en-GB"/>
        </w:rPr>
        <w:t>make a</w:t>
      </w:r>
      <w:r w:rsidRPr="0058033D">
        <w:rPr>
          <w:lang w:val="en-GB"/>
        </w:rPr>
        <w:t xml:space="preserve"> limited </w:t>
      </w:r>
      <w:r w:rsidR="00F751AF" w:rsidRPr="0058033D">
        <w:rPr>
          <w:lang w:val="en-GB"/>
        </w:rPr>
        <w:t xml:space="preserve">justification of </w:t>
      </w:r>
      <w:r w:rsidRPr="0058033D">
        <w:rPr>
          <w:lang w:val="en-GB"/>
        </w:rPr>
        <w:t>the political and administrative context in which the policy is created and implemented. As well as theoretical economic legiti</w:t>
      </w:r>
      <w:r w:rsidR="008F1238">
        <w:rPr>
          <w:lang w:val="en-GB"/>
        </w:rPr>
        <w:t>macy, the policy of course has</w:t>
      </w:r>
      <w:r w:rsidRPr="0058033D">
        <w:rPr>
          <w:lang w:val="en-GB"/>
        </w:rPr>
        <w:t xml:space="preserve"> political-administrative legitimacy. Furthermore</w:t>
      </w:r>
      <w:r w:rsidR="00F751AF" w:rsidRPr="0058033D">
        <w:rPr>
          <w:lang w:val="en-GB"/>
        </w:rPr>
        <w:t>,</w:t>
      </w:r>
      <w:r w:rsidRPr="0058033D">
        <w:rPr>
          <w:lang w:val="en-GB"/>
        </w:rPr>
        <w:t xml:space="preserve"> </w:t>
      </w:r>
      <w:r w:rsidR="00F751AF" w:rsidRPr="0058033D">
        <w:rPr>
          <w:lang w:val="en-GB"/>
        </w:rPr>
        <w:t>a lot of</w:t>
      </w:r>
      <w:r w:rsidRPr="0058033D">
        <w:rPr>
          <w:lang w:val="en-GB"/>
        </w:rPr>
        <w:t xml:space="preserve"> policy is created in dialogue and interaction </w:t>
      </w:r>
      <w:r w:rsidR="00F751AF" w:rsidRPr="0058033D">
        <w:rPr>
          <w:lang w:val="en-GB"/>
        </w:rPr>
        <w:t>with</w:t>
      </w:r>
      <w:r w:rsidRPr="0058033D">
        <w:rPr>
          <w:lang w:val="en-GB"/>
        </w:rPr>
        <w:t xml:space="preserve"> the </w:t>
      </w:r>
      <w:r w:rsidR="00F751AF" w:rsidRPr="0058033D">
        <w:rPr>
          <w:lang w:val="en-GB"/>
        </w:rPr>
        <w:t xml:space="preserve">field </w:t>
      </w:r>
      <w:r w:rsidRPr="0058033D">
        <w:rPr>
          <w:lang w:val="en-GB"/>
        </w:rPr>
        <w:t>and</w:t>
      </w:r>
      <w:r w:rsidR="00F751AF" w:rsidRPr="0058033D">
        <w:rPr>
          <w:lang w:val="en-GB"/>
        </w:rPr>
        <w:t>,</w:t>
      </w:r>
      <w:r w:rsidRPr="0058033D">
        <w:rPr>
          <w:lang w:val="en-GB"/>
        </w:rPr>
        <w:t xml:space="preserve"> in the end</w:t>
      </w:r>
      <w:r w:rsidR="00F751AF" w:rsidRPr="0058033D">
        <w:rPr>
          <w:lang w:val="en-GB"/>
        </w:rPr>
        <w:t>,</w:t>
      </w:r>
      <w:r w:rsidRPr="0058033D">
        <w:rPr>
          <w:lang w:val="en-GB"/>
        </w:rPr>
        <w:t xml:space="preserve"> political-administrative rational</w:t>
      </w:r>
      <w:r w:rsidR="00F751AF" w:rsidRPr="0058033D">
        <w:rPr>
          <w:lang w:val="en-GB"/>
        </w:rPr>
        <w:t>e</w:t>
      </w:r>
      <w:r w:rsidRPr="0058033D">
        <w:rPr>
          <w:lang w:val="en-GB"/>
        </w:rPr>
        <w:t xml:space="preserve"> and legitimacy determine whether and how policy is shaped and </w:t>
      </w:r>
      <w:r w:rsidR="00A47959">
        <w:rPr>
          <w:lang w:val="en-GB"/>
        </w:rPr>
        <w:t>which</w:t>
      </w:r>
      <w:r w:rsidR="008F1238">
        <w:rPr>
          <w:lang w:val="en-GB"/>
        </w:rPr>
        <w:t xml:space="preserve"> </w:t>
      </w:r>
      <w:r w:rsidRPr="0058033D">
        <w:rPr>
          <w:lang w:val="en-GB"/>
        </w:rPr>
        <w:t>objectives</w:t>
      </w:r>
      <w:r w:rsidR="00A47959">
        <w:rPr>
          <w:lang w:val="en-GB"/>
        </w:rPr>
        <w:t xml:space="preserve"> are pursued</w:t>
      </w:r>
      <w:r w:rsidRPr="0058033D">
        <w:rPr>
          <w:lang w:val="en-GB"/>
        </w:rPr>
        <w:t xml:space="preserve">. The reconstruction of the theoretical legitimacy of the policy in this policy review can, however, assist in making the </w:t>
      </w:r>
      <w:r w:rsidR="00F751AF" w:rsidRPr="0058033D">
        <w:rPr>
          <w:lang w:val="en-GB"/>
        </w:rPr>
        <w:t xml:space="preserve">policy decisions </w:t>
      </w:r>
      <w:r w:rsidRPr="0058033D">
        <w:rPr>
          <w:lang w:val="en-GB"/>
        </w:rPr>
        <w:t xml:space="preserve">more effective and efficient. </w:t>
      </w:r>
    </w:p>
    <w:p w14:paraId="01270A94" w14:textId="77777777" w:rsidR="004F2274" w:rsidRPr="0058033D" w:rsidRDefault="004F2274" w:rsidP="00D73C59">
      <w:pPr>
        <w:rPr>
          <w:b/>
          <w:lang w:val="en-GB"/>
        </w:rPr>
      </w:pPr>
    </w:p>
    <w:p w14:paraId="51CD936D" w14:textId="7B405C47" w:rsidR="004F2274" w:rsidRPr="0058033D" w:rsidRDefault="004F2274" w:rsidP="00D73C59">
      <w:pPr>
        <w:rPr>
          <w:b/>
          <w:lang w:val="en-GB"/>
        </w:rPr>
      </w:pPr>
      <w:r w:rsidRPr="0058033D">
        <w:rPr>
          <w:b/>
          <w:lang w:val="en-GB"/>
        </w:rPr>
        <w:t>Policy strategy and theory</w:t>
      </w:r>
    </w:p>
    <w:p w14:paraId="569D9743" w14:textId="77777777" w:rsidR="004F2274" w:rsidRPr="0058033D" w:rsidRDefault="004F2274" w:rsidP="00D73C59">
      <w:pPr>
        <w:pStyle w:val="Kleurrijkelijst-accent11"/>
        <w:ind w:left="0"/>
        <w:rPr>
          <w:rFonts w:ascii="Verdana" w:hAnsi="Verdana"/>
          <w:color w:val="4F81BD"/>
          <w:sz w:val="20"/>
          <w:lang w:val="en-GB"/>
        </w:rPr>
      </w:pPr>
    </w:p>
    <w:p w14:paraId="76C0C266" w14:textId="689368CF" w:rsidR="004F2274" w:rsidRPr="0058033D" w:rsidRDefault="00AD1940" w:rsidP="00D73C59">
      <w:pPr>
        <w:pStyle w:val="Kleurrijkelijst-accent11"/>
        <w:ind w:left="0"/>
        <w:rPr>
          <w:rFonts w:ascii="Verdana" w:hAnsi="Verdana"/>
          <w:i/>
          <w:sz w:val="18"/>
          <w:lang w:val="en-GB"/>
        </w:rPr>
      </w:pPr>
      <w:r>
        <w:rPr>
          <w:rFonts w:ascii="Verdana" w:hAnsi="Verdana"/>
          <w:i/>
          <w:sz w:val="18"/>
          <w:lang w:val="en-GB"/>
        </w:rPr>
        <w:t>What is Enterprise policy</w:t>
      </w:r>
      <w:r w:rsidR="004F2274" w:rsidRPr="0058033D">
        <w:rPr>
          <w:rFonts w:ascii="Verdana" w:hAnsi="Verdana"/>
          <w:i/>
          <w:sz w:val="18"/>
          <w:lang w:val="en-GB"/>
        </w:rPr>
        <w:t>?</w:t>
      </w:r>
    </w:p>
    <w:p w14:paraId="5BEEB3D2" w14:textId="566976D7" w:rsidR="004F2274" w:rsidRPr="0058033D" w:rsidRDefault="004F2274" w:rsidP="00D73C59">
      <w:pPr>
        <w:rPr>
          <w:lang w:val="en-GB"/>
        </w:rPr>
      </w:pPr>
      <w:r w:rsidRPr="0058033D">
        <w:rPr>
          <w:lang w:val="en-GB"/>
        </w:rPr>
        <w:t>Enterprise policy is a modern form of business and innovation policy (or alternatively: modern industr</w:t>
      </w:r>
      <w:r w:rsidR="00484989">
        <w:rPr>
          <w:lang w:val="en-GB"/>
        </w:rPr>
        <w:t>ial</w:t>
      </w:r>
      <w:r w:rsidRPr="0058033D">
        <w:rPr>
          <w:lang w:val="en-GB"/>
        </w:rPr>
        <w:t xml:space="preserve"> policy) with the main aim of creating an excellent business climate and strong innovative capacity for the Dutch economy. Enterprise and innovation are the two main pillars of productivity growth and so of sustainable economic welfare growth</w:t>
      </w:r>
      <w:r w:rsidR="00A94B6E" w:rsidRPr="0058033D">
        <w:rPr>
          <w:lang w:val="en-GB"/>
        </w:rPr>
        <w:t>:</w:t>
      </w:r>
      <w:r w:rsidRPr="0058033D">
        <w:rPr>
          <w:lang w:val="en-GB"/>
        </w:rPr>
        <w:t xml:space="preserve"> the mission of the EZ budget.</w:t>
      </w:r>
    </w:p>
    <w:p w14:paraId="6F75675D" w14:textId="77777777" w:rsidR="004F2274" w:rsidRPr="0058033D" w:rsidRDefault="004F2274" w:rsidP="00D73C59">
      <w:pPr>
        <w:rPr>
          <w:lang w:val="en-GB"/>
        </w:rPr>
      </w:pPr>
    </w:p>
    <w:p w14:paraId="060B4018" w14:textId="7F86CD43" w:rsidR="004F2274" w:rsidRPr="0058033D" w:rsidRDefault="004F2274" w:rsidP="00D73C59">
      <w:pPr>
        <w:rPr>
          <w:lang w:val="en-GB"/>
        </w:rPr>
      </w:pPr>
      <w:r w:rsidRPr="0058033D">
        <w:rPr>
          <w:lang w:val="en-GB"/>
        </w:rPr>
        <w:t xml:space="preserve">Enterprise policy has an overwhelmingly </w:t>
      </w:r>
      <w:r w:rsidRPr="0058033D">
        <w:rPr>
          <w:i/>
          <w:lang w:val="en-GB"/>
        </w:rPr>
        <w:t>generic</w:t>
      </w:r>
      <w:r w:rsidRPr="0058033D">
        <w:rPr>
          <w:lang w:val="en-GB"/>
        </w:rPr>
        <w:t xml:space="preserve"> nature (focused on and in principle open to all businesses in the Netherlands) that, in general, </w:t>
      </w:r>
      <w:r w:rsidR="000B21F6" w:rsidRPr="0058033D">
        <w:rPr>
          <w:lang w:val="en-GB"/>
        </w:rPr>
        <w:t>aims</w:t>
      </w:r>
      <w:r w:rsidRPr="0058033D">
        <w:rPr>
          <w:lang w:val="en-GB"/>
        </w:rPr>
        <w:t xml:space="preserve"> mainly </w:t>
      </w:r>
      <w:r w:rsidR="000B21F6" w:rsidRPr="0058033D">
        <w:rPr>
          <w:lang w:val="en-GB"/>
        </w:rPr>
        <w:t xml:space="preserve">at </w:t>
      </w:r>
      <w:r w:rsidRPr="0058033D">
        <w:rPr>
          <w:lang w:val="en-GB"/>
        </w:rPr>
        <w:t xml:space="preserve">promoting innovation, reducing the regulatory and administrative burden, increasing access to risk capital, public services to businesses (such as Chambers of Commerce, </w:t>
      </w:r>
      <w:r w:rsidRPr="00D04E5D">
        <w:rPr>
          <w:i/>
          <w:lang w:val="en-GB"/>
        </w:rPr>
        <w:t>Ondernemersplein</w:t>
      </w:r>
      <w:r w:rsidRPr="0058033D">
        <w:rPr>
          <w:lang w:val="en-GB"/>
        </w:rPr>
        <w:t xml:space="preserve"> and </w:t>
      </w:r>
      <w:r w:rsidRPr="00D04E5D">
        <w:rPr>
          <w:i/>
          <w:lang w:val="en-GB"/>
        </w:rPr>
        <w:t>E-overheid</w:t>
      </w:r>
      <w:r w:rsidRPr="0058033D">
        <w:rPr>
          <w:lang w:val="en-GB"/>
        </w:rPr>
        <w:t xml:space="preserve">) and on </w:t>
      </w:r>
      <w:r w:rsidR="000B21F6" w:rsidRPr="0058033D">
        <w:rPr>
          <w:lang w:val="en-GB"/>
        </w:rPr>
        <w:t>fiscal</w:t>
      </w:r>
      <w:r w:rsidRPr="0058033D">
        <w:rPr>
          <w:lang w:val="en-GB"/>
        </w:rPr>
        <w:t xml:space="preserve"> and other support to business. The background study shows that the </w:t>
      </w:r>
      <w:r w:rsidR="008F1238">
        <w:rPr>
          <w:lang w:val="en-GB"/>
        </w:rPr>
        <w:t>bulk</w:t>
      </w:r>
      <w:r w:rsidRPr="0058033D">
        <w:rPr>
          <w:lang w:val="en-GB"/>
        </w:rPr>
        <w:t xml:space="preserve"> of the government budget concerned with enterprise policy is of a generic and fiscal nature, with the lion’s share </w:t>
      </w:r>
      <w:r w:rsidR="008F1238" w:rsidRPr="0058033D">
        <w:rPr>
          <w:lang w:val="en-GB"/>
        </w:rPr>
        <w:t>(almost €5 billion in 2014; see the table in annexe 1)</w:t>
      </w:r>
      <w:r w:rsidR="008F1238">
        <w:rPr>
          <w:lang w:val="en-GB"/>
        </w:rPr>
        <w:t xml:space="preserve"> </w:t>
      </w:r>
      <w:r w:rsidRPr="0058033D">
        <w:rPr>
          <w:lang w:val="en-GB"/>
        </w:rPr>
        <w:t>being tax incentives to businesses (in the form of the self-employed individuals allowance and reduced VAT rates</w:t>
      </w:r>
      <w:r w:rsidR="00484989">
        <w:rPr>
          <w:lang w:val="en-GB"/>
        </w:rPr>
        <w:t xml:space="preserve"> on, for example, </w:t>
      </w:r>
      <w:r w:rsidRPr="0058033D">
        <w:rPr>
          <w:lang w:val="en-GB"/>
        </w:rPr>
        <w:t>food and accommodation</w:t>
      </w:r>
      <w:r w:rsidR="000B21F6" w:rsidRPr="0058033D">
        <w:rPr>
          <w:lang w:val="en-GB"/>
        </w:rPr>
        <w:t xml:space="preserve"> in the hospitality industry</w:t>
      </w:r>
      <w:r w:rsidRPr="0058033D">
        <w:rPr>
          <w:lang w:val="en-GB"/>
        </w:rPr>
        <w:t>).</w:t>
      </w:r>
    </w:p>
    <w:p w14:paraId="78A67C02" w14:textId="77777777" w:rsidR="004F2274" w:rsidRPr="0058033D" w:rsidRDefault="004F2274" w:rsidP="00D73C59">
      <w:pPr>
        <w:rPr>
          <w:lang w:val="en-GB"/>
        </w:rPr>
      </w:pPr>
    </w:p>
    <w:p w14:paraId="25F047C6" w14:textId="74E77E8F" w:rsidR="004F2274" w:rsidRPr="0058033D" w:rsidRDefault="004F2274" w:rsidP="00D73C59">
      <w:pPr>
        <w:rPr>
          <w:lang w:val="en-GB"/>
        </w:rPr>
      </w:pPr>
      <w:r w:rsidRPr="0058033D">
        <w:rPr>
          <w:lang w:val="en-GB"/>
        </w:rPr>
        <w:t xml:space="preserve">Enterprise policy also has a </w:t>
      </w:r>
      <w:r w:rsidRPr="0058033D">
        <w:rPr>
          <w:i/>
          <w:lang w:val="en-GB"/>
        </w:rPr>
        <w:t>specific</w:t>
      </w:r>
      <w:r w:rsidRPr="0058033D">
        <w:rPr>
          <w:lang w:val="en-GB"/>
        </w:rPr>
        <w:t xml:space="preserve"> track in the </w:t>
      </w:r>
      <w:r w:rsidR="00D702F3" w:rsidRPr="0058033D">
        <w:rPr>
          <w:lang w:val="en-GB"/>
        </w:rPr>
        <w:t>top-sector approach</w:t>
      </w:r>
      <w:r w:rsidRPr="0058033D">
        <w:rPr>
          <w:lang w:val="en-GB"/>
        </w:rPr>
        <w:t xml:space="preserve">. Top sectors are clusters of enterprises and knowledge institutions where </w:t>
      </w:r>
      <w:r w:rsidR="008F1238">
        <w:rPr>
          <w:lang w:val="en-GB"/>
        </w:rPr>
        <w:t>most</w:t>
      </w:r>
      <w:r w:rsidRPr="0058033D">
        <w:rPr>
          <w:lang w:val="en-GB"/>
        </w:rPr>
        <w:t xml:space="preserve"> Dutch research and development (‘R&amp;D</w:t>
      </w:r>
      <w:r w:rsidR="00484989">
        <w:rPr>
          <w:lang w:val="en-GB"/>
        </w:rPr>
        <w:t>’</w:t>
      </w:r>
      <w:r w:rsidRPr="0058033D">
        <w:rPr>
          <w:lang w:val="en-GB"/>
        </w:rPr>
        <w:t xml:space="preserve">) </w:t>
      </w:r>
      <w:r w:rsidR="00484989" w:rsidRPr="0058033D">
        <w:rPr>
          <w:lang w:val="en-GB"/>
        </w:rPr>
        <w:t xml:space="preserve">expenditure </w:t>
      </w:r>
      <w:r w:rsidRPr="0058033D">
        <w:rPr>
          <w:lang w:val="en-GB"/>
        </w:rPr>
        <w:t>is concentrated and which as a rule are export intensive.</w:t>
      </w:r>
      <w:r w:rsidRPr="0058033D">
        <w:rPr>
          <w:rStyle w:val="Voetnootmarkering"/>
          <w:lang w:val="en-GB"/>
        </w:rPr>
        <w:footnoteReference w:id="7"/>
      </w:r>
      <w:r w:rsidRPr="0058033D">
        <w:rPr>
          <w:lang w:val="en-GB"/>
        </w:rPr>
        <w:t xml:space="preserve"> </w:t>
      </w:r>
      <w:r w:rsidR="005F72FB" w:rsidRPr="0058033D">
        <w:rPr>
          <w:lang w:val="en-GB"/>
        </w:rPr>
        <w:t>Businesses</w:t>
      </w:r>
      <w:r w:rsidRPr="0058033D">
        <w:rPr>
          <w:lang w:val="en-GB"/>
        </w:rPr>
        <w:t xml:space="preserve">, researchers, educational institutions and the public sector work together </w:t>
      </w:r>
      <w:r w:rsidR="005F72FB" w:rsidRPr="0058033D">
        <w:rPr>
          <w:lang w:val="en-GB"/>
        </w:rPr>
        <w:t xml:space="preserve">in the top-sector approach </w:t>
      </w:r>
      <w:r w:rsidRPr="0058033D">
        <w:rPr>
          <w:lang w:val="en-GB"/>
        </w:rPr>
        <w:t>on developing and implementing innovation agendas and competitive strategies. This specific policy ap</w:t>
      </w:r>
      <w:r w:rsidR="00484989">
        <w:rPr>
          <w:lang w:val="en-GB"/>
        </w:rPr>
        <w:t>proach has an integrated nature</w:t>
      </w:r>
      <w:r w:rsidRPr="0058033D">
        <w:rPr>
          <w:lang w:val="en-GB"/>
        </w:rPr>
        <w:t xml:space="preserve"> since it works on both the programming of joint research agendas (via the TKIs) and the availability of technical staff (Techniekpact), focused and co-ordinated economic diplomacy, attracting foreign investment, identifying and removing specific legislative and regulatory obstacles for a sector, participation in European research programmes, using ICT applications and creating fuels based on bio-material and more environmentally-friendly energy consumption. As each top sector has a different </w:t>
      </w:r>
      <w:r w:rsidR="00F7025F">
        <w:rPr>
          <w:lang w:val="en-GB"/>
        </w:rPr>
        <w:t>individual</w:t>
      </w:r>
      <w:r w:rsidRPr="0058033D">
        <w:rPr>
          <w:lang w:val="en-GB"/>
        </w:rPr>
        <w:t xml:space="preserve"> nature (technology, nature of economic activity, </w:t>
      </w:r>
      <w:r w:rsidR="00F7025F">
        <w:rPr>
          <w:lang w:val="en-GB"/>
        </w:rPr>
        <w:t>particular</w:t>
      </w:r>
      <w:r w:rsidRPr="0058033D">
        <w:rPr>
          <w:lang w:val="en-GB"/>
        </w:rPr>
        <w:t xml:space="preserve"> obstacles), the </w:t>
      </w:r>
      <w:r w:rsidRPr="00F7025F">
        <w:rPr>
          <w:lang w:val="en-GB"/>
        </w:rPr>
        <w:t>specific</w:t>
      </w:r>
      <w:r w:rsidRPr="0058033D">
        <w:rPr>
          <w:lang w:val="en-GB"/>
        </w:rPr>
        <w:t xml:space="preserve"> policy mix and approach is also different for each top sector. This concerns customization </w:t>
      </w:r>
      <w:r w:rsidR="00C32809" w:rsidRPr="0058033D">
        <w:rPr>
          <w:lang w:val="en-GB"/>
        </w:rPr>
        <w:t xml:space="preserve">aimed at </w:t>
      </w:r>
      <w:r w:rsidRPr="0058033D">
        <w:rPr>
          <w:lang w:val="en-GB"/>
        </w:rPr>
        <w:t xml:space="preserve">more and better public-private partnerships, </w:t>
      </w:r>
      <w:r w:rsidR="008F1238">
        <w:rPr>
          <w:lang w:val="en-GB"/>
        </w:rPr>
        <w:t>as this</w:t>
      </w:r>
      <w:r w:rsidRPr="0058033D">
        <w:rPr>
          <w:lang w:val="en-GB"/>
        </w:rPr>
        <w:t xml:space="preserve"> </w:t>
      </w:r>
      <w:r w:rsidR="00C32809" w:rsidRPr="0058033D">
        <w:rPr>
          <w:lang w:val="en-GB"/>
        </w:rPr>
        <w:t>is</w:t>
      </w:r>
      <w:r w:rsidRPr="0058033D">
        <w:rPr>
          <w:lang w:val="en-GB"/>
        </w:rPr>
        <w:t xml:space="preserve"> known to improve the chance of innovative enterprise.</w:t>
      </w:r>
      <w:r w:rsidRPr="0058033D">
        <w:rPr>
          <w:rStyle w:val="Voetnootmarkering"/>
          <w:lang w:val="en-GB"/>
        </w:rPr>
        <w:footnoteReference w:id="8"/>
      </w:r>
      <w:r w:rsidRPr="0058033D">
        <w:rPr>
          <w:lang w:val="en-GB"/>
        </w:rPr>
        <w:t xml:space="preserve"> Innovation bottlenecks are n</w:t>
      </w:r>
      <w:r w:rsidR="00484989">
        <w:rPr>
          <w:lang w:val="en-GB"/>
        </w:rPr>
        <w:t>ot dealt with in isolation (</w:t>
      </w:r>
      <w:r w:rsidRPr="0058033D">
        <w:rPr>
          <w:lang w:val="en-GB"/>
        </w:rPr>
        <w:t>address</w:t>
      </w:r>
      <w:r w:rsidR="001814FC" w:rsidRPr="0058033D">
        <w:rPr>
          <w:lang w:val="en-GB"/>
        </w:rPr>
        <w:t>ing</w:t>
      </w:r>
      <w:r w:rsidRPr="0058033D">
        <w:rPr>
          <w:lang w:val="en-GB"/>
        </w:rPr>
        <w:t xml:space="preserve"> a single facet) but as a co-ordinated whole. In practice, it is necessary to tackle financing bottlenecks, the availability of the right people and clearing regulatory obstacles at the same time.</w:t>
      </w:r>
    </w:p>
    <w:p w14:paraId="0DFE31E7" w14:textId="77777777" w:rsidR="004F2274" w:rsidRPr="0058033D" w:rsidRDefault="004F2274" w:rsidP="00D73C59">
      <w:pPr>
        <w:rPr>
          <w:lang w:val="en-GB"/>
        </w:rPr>
      </w:pPr>
    </w:p>
    <w:p w14:paraId="6BCD1C85" w14:textId="03EFE284" w:rsidR="004F2274" w:rsidRPr="0058033D" w:rsidRDefault="004F2274" w:rsidP="00D73C59">
      <w:pPr>
        <w:rPr>
          <w:lang w:val="en-GB"/>
        </w:rPr>
      </w:pPr>
      <w:r w:rsidRPr="0058033D">
        <w:rPr>
          <w:lang w:val="en-GB"/>
        </w:rPr>
        <w:t>Enterprise policy contributes to growth in welfare as much innovation and modernization of products, production processes, services</w:t>
      </w:r>
      <w:r w:rsidR="00484989">
        <w:rPr>
          <w:lang w:val="en-GB"/>
        </w:rPr>
        <w:t xml:space="preserve"> and businesses not only create</w:t>
      </w:r>
      <w:r w:rsidRPr="0058033D">
        <w:rPr>
          <w:lang w:val="en-GB"/>
        </w:rPr>
        <w:t xml:space="preserve"> added eco</w:t>
      </w:r>
      <w:r w:rsidR="00484989">
        <w:rPr>
          <w:lang w:val="en-GB"/>
        </w:rPr>
        <w:t>nomic value but also contribute</w:t>
      </w:r>
      <w:r w:rsidRPr="0058033D">
        <w:rPr>
          <w:lang w:val="en-GB"/>
        </w:rPr>
        <w:t xml:space="preserve"> to solutions for social bottlenecks, such as in medical technology, water management and sustainable energy and materials consumption.</w:t>
      </w:r>
      <w:r w:rsidRPr="0058033D">
        <w:rPr>
          <w:rStyle w:val="Voetnootmarkering"/>
          <w:lang w:val="en-GB"/>
        </w:rPr>
        <w:footnoteReference w:id="9"/>
      </w:r>
      <w:r w:rsidRPr="0058033D">
        <w:rPr>
          <w:lang w:val="en-GB"/>
        </w:rPr>
        <w:t xml:space="preserve"> </w:t>
      </w:r>
    </w:p>
    <w:p w14:paraId="36CBFD99" w14:textId="77777777" w:rsidR="004F2274" w:rsidRPr="0058033D" w:rsidRDefault="004F2274" w:rsidP="00D73C59">
      <w:pPr>
        <w:rPr>
          <w:lang w:val="en-GB"/>
        </w:rPr>
      </w:pPr>
    </w:p>
    <w:p w14:paraId="4ACCA3FC" w14:textId="1061E8CE" w:rsidR="004F2274" w:rsidRPr="0058033D" w:rsidRDefault="004A6F4B" w:rsidP="00D73C59">
      <w:pPr>
        <w:rPr>
          <w:b/>
          <w:lang w:val="en-GB"/>
        </w:rPr>
      </w:pPr>
      <w:r>
        <w:rPr>
          <w:b/>
          <w:lang w:val="en-GB"/>
        </w:rPr>
        <w:t>Why government policy</w:t>
      </w:r>
      <w:r w:rsidR="004F2274" w:rsidRPr="0058033D">
        <w:rPr>
          <w:b/>
          <w:lang w:val="en-GB"/>
        </w:rPr>
        <w:t>?</w:t>
      </w:r>
    </w:p>
    <w:p w14:paraId="27BBC660" w14:textId="77777777" w:rsidR="004F2274" w:rsidRPr="0058033D" w:rsidRDefault="004F2274" w:rsidP="00D73C59">
      <w:pPr>
        <w:rPr>
          <w:i/>
          <w:lang w:val="en-GB"/>
        </w:rPr>
      </w:pPr>
    </w:p>
    <w:p w14:paraId="69B623D2" w14:textId="77777777" w:rsidR="004F2274" w:rsidRPr="0058033D" w:rsidRDefault="004F2274" w:rsidP="00D73C59">
      <w:pPr>
        <w:rPr>
          <w:i/>
          <w:lang w:val="en-GB"/>
        </w:rPr>
      </w:pPr>
      <w:r w:rsidRPr="0058033D">
        <w:rPr>
          <w:i/>
          <w:lang w:val="en-GB"/>
        </w:rPr>
        <w:t>Logical reasoning</w:t>
      </w:r>
    </w:p>
    <w:p w14:paraId="0B890C0E" w14:textId="06EB3096" w:rsidR="004F2274" w:rsidRPr="0058033D" w:rsidRDefault="004F2274" w:rsidP="00D73C59">
      <w:pPr>
        <w:rPr>
          <w:lang w:val="en-GB"/>
        </w:rPr>
      </w:pPr>
      <w:r w:rsidRPr="0058033D">
        <w:rPr>
          <w:lang w:val="en-GB"/>
        </w:rPr>
        <w:t xml:space="preserve">Enterprise and innovation are closely related. New enterprises are a major </w:t>
      </w:r>
      <w:r w:rsidR="00094FB9" w:rsidRPr="0058033D">
        <w:rPr>
          <w:lang w:val="en-GB"/>
        </w:rPr>
        <w:t xml:space="preserve">source of </w:t>
      </w:r>
      <w:r w:rsidRPr="0058033D">
        <w:rPr>
          <w:lang w:val="en-GB"/>
        </w:rPr>
        <w:t xml:space="preserve">economic growth and productivity (creative destruction). They launch new products and services and introduce new process techniques that </w:t>
      </w:r>
      <w:r w:rsidR="00094FB9" w:rsidRPr="0058033D">
        <w:rPr>
          <w:lang w:val="en-GB"/>
        </w:rPr>
        <w:t>raise</w:t>
      </w:r>
      <w:r w:rsidRPr="0058033D">
        <w:rPr>
          <w:lang w:val="en-GB"/>
        </w:rPr>
        <w:t xml:space="preserve"> welfare. Furthermore, the advent of new businesses (challengers or merely the threat of them) encourages competition and innovation in existing enterprises. Existing enterprises innovate in response to the potential competition.</w:t>
      </w:r>
    </w:p>
    <w:p w14:paraId="23A0239E" w14:textId="77777777" w:rsidR="004F2274" w:rsidRPr="0058033D" w:rsidRDefault="004F2274" w:rsidP="00D73C59">
      <w:pPr>
        <w:rPr>
          <w:lang w:val="en-GB"/>
        </w:rPr>
      </w:pPr>
    </w:p>
    <w:p w14:paraId="51833685" w14:textId="172CE5A1" w:rsidR="004F2274" w:rsidRPr="0058033D" w:rsidRDefault="004F2274" w:rsidP="00D73C59">
      <w:pPr>
        <w:rPr>
          <w:lang w:val="en-GB"/>
        </w:rPr>
      </w:pPr>
      <w:r w:rsidRPr="0058033D">
        <w:rPr>
          <w:lang w:val="en-GB"/>
        </w:rPr>
        <w:t xml:space="preserve">Promoting sustainable economic growth (and so growth in welfare) by encouraging innovation and creating an excellent business climate is, therefore, the heart of the economic reasoning behind enterprise policy. This logical reasoning arises from endogenous growth theory in academic economics. Promoting innovation, improving market incentives and market conditions for enterprises (including legislation and regulation), improving the quality and availability of human and financial capital, promoting investment by enterprises (including ICT), supporting more efficient and sustainable use of energy, materials and raw materials and the quality of public services determine productivity growth. </w:t>
      </w:r>
    </w:p>
    <w:p w14:paraId="31CF6927" w14:textId="77777777" w:rsidR="004F2274" w:rsidRPr="0058033D" w:rsidRDefault="004F2274" w:rsidP="00D73C59">
      <w:pPr>
        <w:rPr>
          <w:lang w:val="en-GB"/>
        </w:rPr>
      </w:pPr>
    </w:p>
    <w:p w14:paraId="7D01D907" w14:textId="037107C7" w:rsidR="004F2274" w:rsidRPr="0058033D" w:rsidRDefault="004F2274" w:rsidP="00D73C59">
      <w:pPr>
        <w:rPr>
          <w:i/>
          <w:lang w:val="en-GB"/>
        </w:rPr>
      </w:pPr>
      <w:r w:rsidRPr="0058033D">
        <w:rPr>
          <w:lang w:val="en-GB"/>
        </w:rPr>
        <w:t>Growth in labour productivity has a significant place in the logical reasoning on enterprise policy. Productivity growth</w:t>
      </w:r>
      <w:r w:rsidR="008F1238">
        <w:rPr>
          <w:lang w:val="en-GB"/>
        </w:rPr>
        <w:t xml:space="preserve">, </w:t>
      </w:r>
      <w:r w:rsidRPr="0058033D">
        <w:rPr>
          <w:lang w:val="en-GB"/>
        </w:rPr>
        <w:t>alongside growth in the supply of labour</w:t>
      </w:r>
      <w:r w:rsidR="008F1238">
        <w:rPr>
          <w:lang w:val="en-GB"/>
        </w:rPr>
        <w:t xml:space="preserve">, </w:t>
      </w:r>
      <w:r w:rsidRPr="0058033D">
        <w:rPr>
          <w:lang w:val="en-GB"/>
        </w:rPr>
        <w:t xml:space="preserve">is the main determinant of economic growth since, over time, growth in the supply </w:t>
      </w:r>
      <w:r w:rsidR="00167F40" w:rsidRPr="0058033D">
        <w:rPr>
          <w:lang w:val="en-GB"/>
        </w:rPr>
        <w:t xml:space="preserve">and productivity </w:t>
      </w:r>
      <w:r w:rsidRPr="0058033D">
        <w:rPr>
          <w:lang w:val="en-GB"/>
        </w:rPr>
        <w:t>of labour determine</w:t>
      </w:r>
      <w:r w:rsidR="00167F40" w:rsidRPr="0058033D">
        <w:rPr>
          <w:lang w:val="en-GB"/>
        </w:rPr>
        <w:t>s</w:t>
      </w:r>
      <w:r w:rsidRPr="0058033D">
        <w:rPr>
          <w:lang w:val="en-GB"/>
        </w:rPr>
        <w:t xml:space="preserve"> </w:t>
      </w:r>
      <w:r w:rsidR="008F1238">
        <w:rPr>
          <w:lang w:val="en-GB"/>
        </w:rPr>
        <w:t xml:space="preserve">the </w:t>
      </w:r>
      <w:r w:rsidRPr="00F7025F">
        <w:rPr>
          <w:lang w:val="en-GB"/>
        </w:rPr>
        <w:t>potential</w:t>
      </w:r>
      <w:r w:rsidRPr="0058033D">
        <w:rPr>
          <w:lang w:val="en-GB"/>
        </w:rPr>
        <w:t xml:space="preserve"> </w:t>
      </w:r>
      <w:r w:rsidR="008F1238">
        <w:rPr>
          <w:lang w:val="en-GB"/>
        </w:rPr>
        <w:t xml:space="preserve">for </w:t>
      </w:r>
      <w:r w:rsidRPr="0058033D">
        <w:rPr>
          <w:lang w:val="en-GB"/>
        </w:rPr>
        <w:t xml:space="preserve">economic growth in a country. The Netherlands </w:t>
      </w:r>
      <w:r w:rsidR="00167F40" w:rsidRPr="0058033D">
        <w:rPr>
          <w:lang w:val="en-GB"/>
        </w:rPr>
        <w:t>is</w:t>
      </w:r>
      <w:r w:rsidRPr="0058033D">
        <w:rPr>
          <w:lang w:val="en-GB"/>
        </w:rPr>
        <w:t xml:space="preserve"> forecast</w:t>
      </w:r>
      <w:r w:rsidR="00167F40" w:rsidRPr="0058033D">
        <w:rPr>
          <w:lang w:val="en-GB"/>
        </w:rPr>
        <w:t xml:space="preserve">ing </w:t>
      </w:r>
      <w:r w:rsidRPr="0058033D">
        <w:rPr>
          <w:lang w:val="en-GB"/>
        </w:rPr>
        <w:t>a fall in the supply of labour and so has to focus mainly on productivity growth</w:t>
      </w:r>
      <w:r w:rsidR="00167F40" w:rsidRPr="0058033D">
        <w:rPr>
          <w:lang w:val="en-GB"/>
        </w:rPr>
        <w:t xml:space="preserve">. Consequently, </w:t>
      </w:r>
      <w:r w:rsidRPr="0058033D">
        <w:rPr>
          <w:lang w:val="en-GB"/>
        </w:rPr>
        <w:t xml:space="preserve">policy objectives emphasize </w:t>
      </w:r>
      <w:r w:rsidR="004A6F4B">
        <w:rPr>
          <w:lang w:val="en-GB"/>
        </w:rPr>
        <w:t xml:space="preserve">its </w:t>
      </w:r>
      <w:r w:rsidRPr="0058033D">
        <w:rPr>
          <w:lang w:val="en-GB"/>
        </w:rPr>
        <w:t>determinants: innovation and the quality of the business climate. In addition, the Dutch economy already has a high level of productivity and in many fields uses the most advanced know-how and tec</w:t>
      </w:r>
      <w:r w:rsidR="004A6F4B">
        <w:rPr>
          <w:lang w:val="en-GB"/>
        </w:rPr>
        <w:t xml:space="preserve">hnology available in the world. </w:t>
      </w:r>
      <w:r w:rsidRPr="0058033D">
        <w:rPr>
          <w:lang w:val="en-GB"/>
        </w:rPr>
        <w:t>By international standards, Dutch enterprises are already operating at the limits of what is technologically possible (‘technology frontier’).</w:t>
      </w:r>
      <w:r w:rsidR="004A6F4B">
        <w:rPr>
          <w:lang w:val="en-GB"/>
        </w:rPr>
        <w:t xml:space="preserve"> A</w:t>
      </w:r>
      <w:r w:rsidR="004A6F4B" w:rsidRPr="0058033D">
        <w:rPr>
          <w:lang w:val="en-GB"/>
        </w:rPr>
        <w:t>bove all</w:t>
      </w:r>
      <w:r w:rsidR="004A6F4B">
        <w:rPr>
          <w:lang w:val="en-GB"/>
        </w:rPr>
        <w:t>,</w:t>
      </w:r>
      <w:r w:rsidR="004A6F4B" w:rsidRPr="0058033D">
        <w:rPr>
          <w:lang w:val="en-GB"/>
        </w:rPr>
        <w:t xml:space="preserve"> </w:t>
      </w:r>
      <w:r w:rsidRPr="0058033D">
        <w:rPr>
          <w:lang w:val="en-GB"/>
        </w:rPr>
        <w:t xml:space="preserve">therefore, </w:t>
      </w:r>
      <w:r w:rsidR="004A6F4B">
        <w:rPr>
          <w:lang w:val="en-GB"/>
        </w:rPr>
        <w:t>t</w:t>
      </w:r>
      <w:r w:rsidR="004A6F4B" w:rsidRPr="0058033D">
        <w:rPr>
          <w:lang w:val="en-GB"/>
        </w:rPr>
        <w:t xml:space="preserve">he Netherlands </w:t>
      </w:r>
      <w:r w:rsidRPr="0058033D">
        <w:rPr>
          <w:lang w:val="en-GB"/>
        </w:rPr>
        <w:t xml:space="preserve">needs new business activity and new </w:t>
      </w:r>
      <w:r w:rsidR="008F1238">
        <w:rPr>
          <w:lang w:val="en-GB"/>
        </w:rPr>
        <w:t xml:space="preserve">ways to create </w:t>
      </w:r>
      <w:r w:rsidRPr="0058033D">
        <w:rPr>
          <w:lang w:val="en-GB"/>
        </w:rPr>
        <w:t xml:space="preserve">added value and to remain at the forefront of new market applications coming from the use of know-how and technology. This is partly with a view to significant social challenges that </w:t>
      </w:r>
      <w:r w:rsidR="00167F40" w:rsidRPr="0058033D">
        <w:rPr>
          <w:lang w:val="en-GB"/>
        </w:rPr>
        <w:t xml:space="preserve">demand </w:t>
      </w:r>
      <w:r w:rsidR="008F1238">
        <w:rPr>
          <w:lang w:val="en-GB"/>
        </w:rPr>
        <w:t>a lower</w:t>
      </w:r>
      <w:r w:rsidRPr="0058033D">
        <w:rPr>
          <w:lang w:val="en-GB"/>
        </w:rPr>
        <w:t xml:space="preserve"> environmental burden from production.</w:t>
      </w:r>
    </w:p>
    <w:p w14:paraId="4AEFD5E8" w14:textId="77777777" w:rsidR="004F2274" w:rsidRPr="0058033D" w:rsidRDefault="004F2274" w:rsidP="00D73C59">
      <w:pPr>
        <w:rPr>
          <w:lang w:val="en-GB"/>
        </w:rPr>
      </w:pPr>
    </w:p>
    <w:p w14:paraId="6DEE0291" w14:textId="2243FF16" w:rsidR="004F2274" w:rsidRPr="0058033D" w:rsidRDefault="004F2274" w:rsidP="00D73C59">
      <w:pPr>
        <w:rPr>
          <w:lang w:val="en-GB"/>
        </w:rPr>
      </w:pPr>
      <w:r w:rsidRPr="0058033D">
        <w:rPr>
          <w:lang w:val="en-GB"/>
        </w:rPr>
        <w:t xml:space="preserve">The package of policy interventions (the policy mix) in enterprise policy focuses on the main determinants of sustainable productivity growth by (in broad terms): </w:t>
      </w:r>
    </w:p>
    <w:p w14:paraId="5EE553FC" w14:textId="299A2727" w:rsidR="004F2274" w:rsidRPr="0058033D" w:rsidRDefault="004F2274" w:rsidP="00167F40">
      <w:pPr>
        <w:ind w:left="284" w:hanging="284"/>
        <w:rPr>
          <w:lang w:val="en-GB"/>
        </w:rPr>
      </w:pPr>
      <w:r w:rsidRPr="0058033D">
        <w:rPr>
          <w:lang w:val="en-GB"/>
        </w:rPr>
        <w:t>1.</w:t>
      </w:r>
      <w:r w:rsidR="00167F40" w:rsidRPr="0058033D">
        <w:rPr>
          <w:lang w:val="en-GB"/>
        </w:rPr>
        <w:tab/>
      </w:r>
      <w:r w:rsidRPr="0058033D">
        <w:rPr>
          <w:lang w:val="en-GB"/>
        </w:rPr>
        <w:t xml:space="preserve">increasing R&amp;D and innovation, including ICT applications; </w:t>
      </w:r>
    </w:p>
    <w:p w14:paraId="1ED3C630" w14:textId="46D5A165" w:rsidR="004F2274" w:rsidRPr="0058033D" w:rsidRDefault="00167F40" w:rsidP="00167F40">
      <w:pPr>
        <w:ind w:left="284" w:hanging="284"/>
        <w:rPr>
          <w:lang w:val="en-GB"/>
        </w:rPr>
      </w:pPr>
      <w:r w:rsidRPr="0058033D">
        <w:rPr>
          <w:lang w:val="en-GB"/>
        </w:rPr>
        <w:t>2.</w:t>
      </w:r>
      <w:r w:rsidRPr="0058033D">
        <w:rPr>
          <w:lang w:val="en-GB"/>
        </w:rPr>
        <w:tab/>
      </w:r>
      <w:r w:rsidR="004F2274" w:rsidRPr="0058033D">
        <w:rPr>
          <w:lang w:val="en-GB"/>
        </w:rPr>
        <w:t>creating market conditions that support enterprise (including legislation and regulation);</w:t>
      </w:r>
    </w:p>
    <w:p w14:paraId="3D66D889" w14:textId="0DE223E3" w:rsidR="004F2274" w:rsidRPr="0058033D" w:rsidRDefault="00167F40" w:rsidP="00167F40">
      <w:pPr>
        <w:ind w:left="284" w:hanging="284"/>
        <w:rPr>
          <w:lang w:val="en-GB"/>
        </w:rPr>
      </w:pPr>
      <w:r w:rsidRPr="0058033D">
        <w:rPr>
          <w:lang w:val="en-GB"/>
        </w:rPr>
        <w:t>3.</w:t>
      </w:r>
      <w:r w:rsidRPr="0058033D">
        <w:rPr>
          <w:lang w:val="en-GB"/>
        </w:rPr>
        <w:tab/>
      </w:r>
      <w:r w:rsidR="004F2274" w:rsidRPr="0058033D">
        <w:rPr>
          <w:lang w:val="en-GB"/>
        </w:rPr>
        <w:t xml:space="preserve">the quality and availability of human capital; </w:t>
      </w:r>
    </w:p>
    <w:p w14:paraId="2D8DC2FB" w14:textId="41F4CC2F" w:rsidR="004F2274" w:rsidRPr="0058033D" w:rsidRDefault="00167F40" w:rsidP="00167F40">
      <w:pPr>
        <w:ind w:left="284" w:hanging="284"/>
        <w:rPr>
          <w:lang w:val="en-GB"/>
        </w:rPr>
      </w:pPr>
      <w:r w:rsidRPr="0058033D">
        <w:rPr>
          <w:lang w:val="en-GB"/>
        </w:rPr>
        <w:t>4.</w:t>
      </w:r>
      <w:r w:rsidRPr="0058033D">
        <w:rPr>
          <w:lang w:val="en-GB"/>
        </w:rPr>
        <w:tab/>
      </w:r>
      <w:r w:rsidR="004F2274" w:rsidRPr="0058033D">
        <w:rPr>
          <w:lang w:val="en-GB"/>
        </w:rPr>
        <w:t>public-private investment in knowledge and the availability of financing</w:t>
      </w:r>
      <w:r w:rsidR="00F7025F">
        <w:rPr>
          <w:lang w:val="en-GB"/>
        </w:rPr>
        <w:t xml:space="preserve"> for it</w:t>
      </w:r>
      <w:r w:rsidR="004F2274" w:rsidRPr="0058033D">
        <w:rPr>
          <w:lang w:val="en-GB"/>
        </w:rPr>
        <w:t>; and</w:t>
      </w:r>
    </w:p>
    <w:p w14:paraId="327DEE67" w14:textId="04F32708" w:rsidR="004F2274" w:rsidRPr="0058033D" w:rsidRDefault="00167F40" w:rsidP="00167F40">
      <w:pPr>
        <w:ind w:left="284" w:hanging="284"/>
        <w:rPr>
          <w:lang w:val="en-GB"/>
        </w:rPr>
      </w:pPr>
      <w:r w:rsidRPr="0058033D">
        <w:rPr>
          <w:lang w:val="en-GB"/>
        </w:rPr>
        <w:t>5.</w:t>
      </w:r>
      <w:r w:rsidRPr="0058033D">
        <w:rPr>
          <w:lang w:val="en-GB"/>
        </w:rPr>
        <w:tab/>
      </w:r>
      <w:r w:rsidR="004F2274" w:rsidRPr="0058033D">
        <w:rPr>
          <w:lang w:val="en-GB"/>
        </w:rPr>
        <w:t>efficient and sustainable use of energy, materials and raw materials.</w:t>
      </w:r>
    </w:p>
    <w:p w14:paraId="242FA961" w14:textId="77777777" w:rsidR="004F2274" w:rsidRPr="0058033D" w:rsidRDefault="004F2274" w:rsidP="00D73C59">
      <w:pPr>
        <w:rPr>
          <w:i/>
          <w:lang w:val="en-GB"/>
        </w:rPr>
      </w:pPr>
    </w:p>
    <w:p w14:paraId="5381BE69" w14:textId="4A3B9806" w:rsidR="004F2274" w:rsidRPr="0058033D" w:rsidRDefault="004F2274" w:rsidP="00D73C59">
      <w:pPr>
        <w:rPr>
          <w:i/>
          <w:lang w:val="en-GB"/>
        </w:rPr>
      </w:pPr>
      <w:r w:rsidRPr="0058033D">
        <w:rPr>
          <w:lang w:val="en-GB"/>
        </w:rPr>
        <w:t xml:space="preserve">The background study </w:t>
      </w:r>
      <w:r w:rsidR="002763BB" w:rsidRPr="0058033D">
        <w:rPr>
          <w:lang w:val="en-GB"/>
        </w:rPr>
        <w:t>concurs with</w:t>
      </w:r>
      <w:r w:rsidRPr="0058033D">
        <w:rPr>
          <w:lang w:val="en-GB"/>
        </w:rPr>
        <w:t xml:space="preserve"> the utility and usefulness of this logical policy framework and line of reasoning but notes that</w:t>
      </w:r>
      <w:r w:rsidR="004A6F4B">
        <w:rPr>
          <w:lang w:val="en-GB"/>
        </w:rPr>
        <w:t>,</w:t>
      </w:r>
      <w:r w:rsidRPr="0058033D">
        <w:rPr>
          <w:lang w:val="en-GB"/>
        </w:rPr>
        <w:t xml:space="preserve"> until recently</w:t>
      </w:r>
      <w:r w:rsidR="004A6F4B">
        <w:rPr>
          <w:lang w:val="en-GB"/>
        </w:rPr>
        <w:t>,</w:t>
      </w:r>
      <w:r w:rsidRPr="0058033D">
        <w:rPr>
          <w:lang w:val="en-GB"/>
        </w:rPr>
        <w:t xml:space="preserve"> communications on the policy in formal policy documents paid little explicit attention to the theory and theoretical legitimacy</w:t>
      </w:r>
      <w:r w:rsidR="008F1238" w:rsidRPr="008F1238">
        <w:rPr>
          <w:lang w:val="en-GB"/>
        </w:rPr>
        <w:t xml:space="preserve"> </w:t>
      </w:r>
      <w:r w:rsidR="008F1238">
        <w:rPr>
          <w:lang w:val="en-GB"/>
        </w:rPr>
        <w:t xml:space="preserve">of </w:t>
      </w:r>
      <w:r w:rsidR="008F1238" w:rsidRPr="0058033D">
        <w:rPr>
          <w:lang w:val="en-GB"/>
        </w:rPr>
        <w:t>policy</w:t>
      </w:r>
      <w:r w:rsidRPr="0058033D">
        <w:rPr>
          <w:lang w:val="en-GB"/>
        </w:rPr>
        <w:t>. This is of course related to the political-administrative context in which policy plans are launched by governments, with a relatively large amount of attention being given to policy action and political ambitio</w:t>
      </w:r>
      <w:r w:rsidR="004A6F4B">
        <w:rPr>
          <w:lang w:val="en-GB"/>
        </w:rPr>
        <w:t>n</w:t>
      </w:r>
      <w:r w:rsidRPr="0058033D">
        <w:rPr>
          <w:lang w:val="en-GB"/>
        </w:rPr>
        <w:t xml:space="preserve"> and choices and less to theoretical policy analyses and reviews in communication</w:t>
      </w:r>
      <w:r w:rsidR="004A6F4B">
        <w:rPr>
          <w:lang w:val="en-GB"/>
        </w:rPr>
        <w:t>s</w:t>
      </w:r>
      <w:r w:rsidRPr="0058033D">
        <w:rPr>
          <w:lang w:val="en-GB"/>
        </w:rPr>
        <w:t xml:space="preserve"> with, for example, the House. The background study notes</w:t>
      </w:r>
      <w:r w:rsidR="002763BB" w:rsidRPr="0058033D">
        <w:rPr>
          <w:lang w:val="en-GB"/>
        </w:rPr>
        <w:t xml:space="preserve">, however, </w:t>
      </w:r>
      <w:r w:rsidRPr="0058033D">
        <w:rPr>
          <w:lang w:val="en-GB"/>
        </w:rPr>
        <w:t xml:space="preserve">that </w:t>
      </w:r>
      <w:r w:rsidR="002763BB" w:rsidRPr="0058033D">
        <w:rPr>
          <w:lang w:val="en-GB"/>
        </w:rPr>
        <w:t xml:space="preserve">the </w:t>
      </w:r>
      <w:r w:rsidRPr="0058033D">
        <w:rPr>
          <w:lang w:val="en-GB"/>
        </w:rPr>
        <w:t xml:space="preserve">introduction of the </w:t>
      </w:r>
      <w:r w:rsidR="00775F00" w:rsidRPr="0058033D">
        <w:rPr>
          <w:i/>
          <w:lang w:val="en-GB"/>
        </w:rPr>
        <w:t>Monitor Bedrijvenbeleid</w:t>
      </w:r>
      <w:r w:rsidR="002763BB" w:rsidRPr="0058033D">
        <w:rPr>
          <w:lang w:val="en-GB"/>
        </w:rPr>
        <w:t xml:space="preserve"> </w:t>
      </w:r>
      <w:r w:rsidRPr="0058033D">
        <w:rPr>
          <w:lang w:val="en-GB"/>
        </w:rPr>
        <w:t xml:space="preserve">offers more explicit and structured attention. </w:t>
      </w:r>
      <w:r w:rsidR="002763BB" w:rsidRPr="0058033D">
        <w:rPr>
          <w:lang w:val="en-GB"/>
        </w:rPr>
        <w:t>This</w:t>
      </w:r>
      <w:r w:rsidRPr="0058033D">
        <w:rPr>
          <w:lang w:val="en-GB"/>
        </w:rPr>
        <w:t xml:space="preserve"> also </w:t>
      </w:r>
      <w:r w:rsidR="004A6F4B" w:rsidRPr="0058033D">
        <w:rPr>
          <w:lang w:val="en-GB"/>
        </w:rPr>
        <w:t xml:space="preserve">of course </w:t>
      </w:r>
      <w:r w:rsidRPr="0058033D">
        <w:rPr>
          <w:lang w:val="en-GB"/>
        </w:rPr>
        <w:t>applies to this policy review.</w:t>
      </w:r>
    </w:p>
    <w:p w14:paraId="3372A99F" w14:textId="77777777" w:rsidR="004F2274" w:rsidRPr="0058033D" w:rsidRDefault="004F2274" w:rsidP="00D73C59">
      <w:pPr>
        <w:rPr>
          <w:i/>
          <w:lang w:val="en-GB"/>
        </w:rPr>
      </w:pPr>
    </w:p>
    <w:p w14:paraId="50E20CAE" w14:textId="77777777" w:rsidR="004F2274" w:rsidRPr="0058033D" w:rsidRDefault="004F2274" w:rsidP="00D73C59">
      <w:pPr>
        <w:rPr>
          <w:i/>
          <w:lang w:val="en-GB"/>
        </w:rPr>
      </w:pPr>
      <w:r w:rsidRPr="0058033D">
        <w:rPr>
          <w:i/>
          <w:lang w:val="en-GB"/>
        </w:rPr>
        <w:t xml:space="preserve">Theoretical legitimacy of the policy </w:t>
      </w:r>
    </w:p>
    <w:p w14:paraId="0B0D59D6" w14:textId="4F2DC440" w:rsidR="004F2274" w:rsidRPr="0058033D" w:rsidRDefault="004F2274" w:rsidP="00D73C59">
      <w:pPr>
        <w:rPr>
          <w:lang w:val="en-GB"/>
        </w:rPr>
      </w:pPr>
      <w:r w:rsidRPr="0058033D">
        <w:rPr>
          <w:lang w:val="en-GB"/>
        </w:rPr>
        <w:t>The existence of logical economic reasoning sets the framework and cohesion of the policy mix (</w:t>
      </w:r>
      <w:r w:rsidRPr="0058033D">
        <w:rPr>
          <w:i/>
          <w:lang w:val="en-GB"/>
        </w:rPr>
        <w:t>policy theory</w:t>
      </w:r>
      <w:r w:rsidRPr="0058033D">
        <w:rPr>
          <w:lang w:val="en-GB"/>
        </w:rPr>
        <w:t>) but says little about economic utility and the need for specific government intervention (</w:t>
      </w:r>
      <w:r w:rsidRPr="0058033D">
        <w:rPr>
          <w:i/>
          <w:lang w:val="en-GB"/>
        </w:rPr>
        <w:t>policy legitimacy</w:t>
      </w:r>
      <w:r w:rsidRPr="0058033D">
        <w:rPr>
          <w:lang w:val="en-GB"/>
        </w:rPr>
        <w:t>). The background stu</w:t>
      </w:r>
      <w:r w:rsidR="002763BB" w:rsidRPr="0058033D">
        <w:rPr>
          <w:lang w:val="en-GB"/>
        </w:rPr>
        <w:t>dy notes that</w:t>
      </w:r>
      <w:r w:rsidR="008F1238" w:rsidRPr="008F1238">
        <w:rPr>
          <w:lang w:val="en-GB"/>
        </w:rPr>
        <w:t xml:space="preserve"> </w:t>
      </w:r>
      <w:r w:rsidR="008F1238" w:rsidRPr="0058033D">
        <w:rPr>
          <w:lang w:val="en-GB"/>
        </w:rPr>
        <w:t>enterprise policy underwent a transition</w:t>
      </w:r>
      <w:r w:rsidR="008F1238">
        <w:rPr>
          <w:lang w:val="en-GB"/>
        </w:rPr>
        <w:t xml:space="preserve"> </w:t>
      </w:r>
      <w:r w:rsidR="002763BB" w:rsidRPr="0058033D">
        <w:rPr>
          <w:lang w:val="en-GB"/>
        </w:rPr>
        <w:t>during the period</w:t>
      </w:r>
      <w:r w:rsidR="008F1238">
        <w:rPr>
          <w:lang w:val="en-GB"/>
        </w:rPr>
        <w:t xml:space="preserve"> </w:t>
      </w:r>
      <w:r w:rsidRPr="0058033D">
        <w:rPr>
          <w:lang w:val="en-GB"/>
        </w:rPr>
        <w:t>from a more classical economic motivation of government policy (</w:t>
      </w:r>
      <w:r w:rsidRPr="0058033D">
        <w:rPr>
          <w:i/>
          <w:lang w:val="en-GB"/>
        </w:rPr>
        <w:t>market perspective</w:t>
      </w:r>
      <w:r w:rsidRPr="0058033D">
        <w:rPr>
          <w:lang w:val="en-GB"/>
        </w:rPr>
        <w:t xml:space="preserve">, with the emphasis on deficiencies in market forces and government conduct) to a more </w:t>
      </w:r>
      <w:r w:rsidR="00F7025F" w:rsidRPr="00F7025F">
        <w:rPr>
          <w:lang w:val="en-GB"/>
        </w:rPr>
        <w:t xml:space="preserve">theoretical </w:t>
      </w:r>
      <w:r w:rsidRPr="00F7025F">
        <w:rPr>
          <w:lang w:val="en-GB"/>
        </w:rPr>
        <w:t xml:space="preserve">system </w:t>
      </w:r>
      <w:r w:rsidRPr="0058033D">
        <w:rPr>
          <w:lang w:val="en-GB"/>
        </w:rPr>
        <w:t>(</w:t>
      </w:r>
      <w:r w:rsidRPr="0058033D">
        <w:rPr>
          <w:i/>
          <w:lang w:val="en-GB"/>
        </w:rPr>
        <w:t>system perspective</w:t>
      </w:r>
      <w:r w:rsidRPr="0058033D">
        <w:rPr>
          <w:lang w:val="en-GB"/>
        </w:rPr>
        <w:t>, with the emphasis on deficiencies in the operation of innovation and ecosystems).</w:t>
      </w:r>
    </w:p>
    <w:p w14:paraId="1A3C2C6E" w14:textId="77777777" w:rsidR="004F2274" w:rsidRPr="0058033D" w:rsidRDefault="004F2274" w:rsidP="00D73C59">
      <w:pPr>
        <w:rPr>
          <w:lang w:val="en-GB"/>
        </w:rPr>
      </w:pPr>
    </w:p>
    <w:p w14:paraId="17956E7F" w14:textId="77777777" w:rsidR="0058033D" w:rsidRDefault="0058033D" w:rsidP="00D73C59">
      <w:pPr>
        <w:rPr>
          <w:i/>
          <w:lang w:val="en-GB"/>
        </w:rPr>
      </w:pPr>
    </w:p>
    <w:p w14:paraId="11812898" w14:textId="77777777" w:rsidR="004F2274" w:rsidRPr="0058033D" w:rsidRDefault="004F2274" w:rsidP="00D73C59">
      <w:pPr>
        <w:rPr>
          <w:i/>
          <w:lang w:val="en-GB"/>
        </w:rPr>
      </w:pPr>
      <w:r w:rsidRPr="0058033D">
        <w:rPr>
          <w:i/>
          <w:lang w:val="en-GB"/>
        </w:rPr>
        <w:t>Figure 1: market and system perspective</w:t>
      </w:r>
    </w:p>
    <w:p w14:paraId="22FEFE47" w14:textId="77777777" w:rsidR="004F2274" w:rsidRPr="0058033D" w:rsidRDefault="004F2274" w:rsidP="00D73C59">
      <w:pPr>
        <w:rPr>
          <w:lang w:val="en-GB"/>
        </w:rPr>
      </w:pPr>
    </w:p>
    <w:p w14:paraId="2B6D9FF8" w14:textId="11C3EF79" w:rsidR="004F2274" w:rsidRPr="0058033D" w:rsidRDefault="001B564F" w:rsidP="00A474E7">
      <w:pPr>
        <w:pStyle w:val="Kleurrijkelijst-accent11"/>
        <w:ind w:left="0"/>
        <w:jc w:val="center"/>
        <w:rPr>
          <w:rFonts w:ascii="Verdana" w:hAnsi="Verdana"/>
          <w:sz w:val="18"/>
          <w:lang w:val="en-GB"/>
        </w:rPr>
      </w:pPr>
      <w:r>
        <w:rPr>
          <w:noProof/>
          <w:lang w:val="nl-NL" w:eastAsia="nl-NL"/>
        </w:rPr>
        <w:drawing>
          <wp:anchor distT="0" distB="0" distL="114300" distR="114300" simplePos="0" relativeHeight="251657728" behindDoc="0" locked="0" layoutInCell="1" allowOverlap="1" wp14:anchorId="37C411E4" wp14:editId="6E216245">
            <wp:simplePos x="0" y="0"/>
            <wp:positionH relativeFrom="column">
              <wp:posOffset>-114300</wp:posOffset>
            </wp:positionH>
            <wp:positionV relativeFrom="paragraph">
              <wp:posOffset>-101600</wp:posOffset>
            </wp:positionV>
            <wp:extent cx="5429250" cy="3108325"/>
            <wp:effectExtent l="0" t="0" r="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8">
                      <a:extLst>
                        <a:ext uri="{28A0092B-C50C-407E-A947-70E740481C1C}">
                          <a14:useLocalDpi xmlns:a14="http://schemas.microsoft.com/office/drawing/2010/main" val="0"/>
                        </a:ext>
                      </a:extLst>
                    </a:blip>
                    <a:srcRect t="15778" b="7948"/>
                    <a:stretch>
                      <a:fillRect/>
                    </a:stretch>
                  </pic:blipFill>
                  <pic:spPr bwMode="auto">
                    <a:xfrm>
                      <a:off x="0" y="0"/>
                      <a:ext cx="5429250" cy="3108325"/>
                    </a:xfrm>
                    <a:prstGeom prst="rect">
                      <a:avLst/>
                    </a:prstGeom>
                    <a:noFill/>
                  </pic:spPr>
                </pic:pic>
              </a:graphicData>
            </a:graphic>
            <wp14:sizeRelH relativeFrom="page">
              <wp14:pctWidth>0</wp14:pctWidth>
            </wp14:sizeRelH>
            <wp14:sizeRelV relativeFrom="page">
              <wp14:pctHeight>0</wp14:pctHeight>
            </wp14:sizeRelV>
          </wp:anchor>
        </w:drawing>
      </w:r>
    </w:p>
    <w:p w14:paraId="0D62DD1E" w14:textId="506E0302" w:rsidR="004F2274" w:rsidRPr="0058033D" w:rsidRDefault="004F2274" w:rsidP="00D6590D">
      <w:pPr>
        <w:rPr>
          <w:lang w:val="en-GB"/>
        </w:rPr>
      </w:pPr>
      <w:r w:rsidRPr="0058033D">
        <w:rPr>
          <w:lang w:val="en-GB"/>
        </w:rPr>
        <w:t xml:space="preserve">Figure 1 illustrates the differences between the two perspectives that are used together in policy legitimacy. In the </w:t>
      </w:r>
      <w:r w:rsidRPr="0058033D">
        <w:rPr>
          <w:i/>
          <w:lang w:val="en-GB"/>
        </w:rPr>
        <w:t>market perspective</w:t>
      </w:r>
      <w:r w:rsidRPr="0058033D">
        <w:rPr>
          <w:lang w:val="en-GB"/>
        </w:rPr>
        <w:t>, the individual enterprise and its business are central (enterprise system and business climate) and the emphasis is more on removing deficiencies in market forces. Government policy is, therefore, legitimized by the existence of market imperfections such as positive external knowledge effects (</w:t>
      </w:r>
      <w:r w:rsidR="00CF1F45" w:rsidRPr="0058033D">
        <w:rPr>
          <w:lang w:val="en-GB"/>
        </w:rPr>
        <w:t>e.g.</w:t>
      </w:r>
      <w:r w:rsidRPr="0058033D">
        <w:rPr>
          <w:lang w:val="en-GB"/>
        </w:rPr>
        <w:t xml:space="preserve"> </w:t>
      </w:r>
      <w:r w:rsidR="00CF1F45" w:rsidRPr="0058033D">
        <w:rPr>
          <w:lang w:val="en-GB"/>
        </w:rPr>
        <w:t xml:space="preserve">on </w:t>
      </w:r>
      <w:r w:rsidRPr="0058033D">
        <w:rPr>
          <w:lang w:val="en-GB"/>
        </w:rPr>
        <w:t>R&amp;D incentives), avoiding negative external effects (</w:t>
      </w:r>
      <w:r w:rsidR="00CF1F45" w:rsidRPr="0058033D">
        <w:rPr>
          <w:lang w:val="en-GB"/>
        </w:rPr>
        <w:t xml:space="preserve">e.g. on </w:t>
      </w:r>
      <w:r w:rsidRPr="0058033D">
        <w:rPr>
          <w:lang w:val="en-GB"/>
        </w:rPr>
        <w:t xml:space="preserve">sustainable raw materials), information asymmetry (in the capital market) and lack of co-ordination (public-private partnerships). In the </w:t>
      </w:r>
      <w:r w:rsidRPr="0058033D">
        <w:rPr>
          <w:i/>
          <w:lang w:val="en-GB"/>
        </w:rPr>
        <w:t>system perspective</w:t>
      </w:r>
      <w:r w:rsidRPr="0058033D">
        <w:rPr>
          <w:lang w:val="en-GB"/>
        </w:rPr>
        <w:t xml:space="preserve"> both the enterprise and interaction</w:t>
      </w:r>
      <w:r w:rsidR="004A6F4B">
        <w:rPr>
          <w:lang w:val="en-GB"/>
        </w:rPr>
        <w:t>s</w:t>
      </w:r>
      <w:r w:rsidRPr="0058033D">
        <w:rPr>
          <w:lang w:val="en-GB"/>
        </w:rPr>
        <w:t xml:space="preserve"> between enterprises, knowledge institutions and the public sector are central. The emphasis is, therefore, on removing deficiencies in the operation of innovation and ecosystems, such as inadequate or absent institutions.</w:t>
      </w:r>
    </w:p>
    <w:p w14:paraId="24C97D40" w14:textId="77777777" w:rsidR="004F2274" w:rsidRPr="0058033D" w:rsidRDefault="004F2274" w:rsidP="00A14D20">
      <w:pPr>
        <w:rPr>
          <w:lang w:val="en-GB"/>
        </w:rPr>
      </w:pPr>
    </w:p>
    <w:p w14:paraId="60D6C050" w14:textId="65E14B96" w:rsidR="004F2274" w:rsidRPr="0058033D" w:rsidRDefault="004F2274" w:rsidP="00A14D20">
      <w:pPr>
        <w:rPr>
          <w:i/>
          <w:lang w:val="en-GB"/>
        </w:rPr>
      </w:pPr>
      <w:r w:rsidRPr="0058033D">
        <w:rPr>
          <w:lang w:val="en-GB"/>
        </w:rPr>
        <w:t xml:space="preserve">The background study notes that many recent policy initiatives (such as the top sectors, Techniekpact, ‘Bio-Based Economy’ (BBE) programme and ‘Green Deals’) seem inspired more by the system perspective than the market perspective and in its opinion this is a positive development. This system approach has also changed the </w:t>
      </w:r>
      <w:r w:rsidR="004A6F4B" w:rsidRPr="0058033D">
        <w:rPr>
          <w:lang w:val="en-GB"/>
        </w:rPr>
        <w:t>government</w:t>
      </w:r>
      <w:r w:rsidR="004A6F4B">
        <w:rPr>
          <w:lang w:val="en-GB"/>
        </w:rPr>
        <w:t>’s</w:t>
      </w:r>
      <w:r w:rsidR="004A6F4B" w:rsidRPr="0058033D">
        <w:rPr>
          <w:lang w:val="en-GB"/>
        </w:rPr>
        <w:t xml:space="preserve"> </w:t>
      </w:r>
      <w:r w:rsidRPr="0058033D">
        <w:rPr>
          <w:lang w:val="en-GB"/>
        </w:rPr>
        <w:t xml:space="preserve">role in developing and implementing policy. In the system approach, policy is seen as the result of interaction and dialogue between the actors in the innovation system or enterprise network (enterprises, institutions, knowledge institutions, educational institutions, social organizations, public sector); there is interactive policy development in which the actors in the relevant ecosystem jointly develop and implement policy strategies and actions </w:t>
      </w:r>
      <w:r w:rsidR="00CF1F45" w:rsidRPr="0058033D">
        <w:rPr>
          <w:lang w:val="en-GB"/>
        </w:rPr>
        <w:t xml:space="preserve">by dialogue, </w:t>
      </w:r>
      <w:r w:rsidRPr="001579C6">
        <w:rPr>
          <w:lang w:val="en-GB"/>
        </w:rPr>
        <w:t>each with its own role and competences</w:t>
      </w:r>
      <w:r w:rsidRPr="0058033D">
        <w:rPr>
          <w:lang w:val="en-GB"/>
        </w:rPr>
        <w:t>. The government operates more as a network partner, the ‘supplier’ of public services</w:t>
      </w:r>
      <w:r w:rsidR="00CF1F45" w:rsidRPr="0058033D">
        <w:rPr>
          <w:lang w:val="en-GB"/>
        </w:rPr>
        <w:t>,</w:t>
      </w:r>
      <w:r w:rsidRPr="0058033D">
        <w:rPr>
          <w:lang w:val="en-GB"/>
        </w:rPr>
        <w:t xml:space="preserve"> and safeguards the public interest.</w:t>
      </w:r>
    </w:p>
    <w:p w14:paraId="299CA284" w14:textId="77777777" w:rsidR="004F2274" w:rsidRPr="0058033D" w:rsidRDefault="004F2274" w:rsidP="00D73C59">
      <w:pPr>
        <w:rPr>
          <w:lang w:val="en-GB"/>
        </w:rPr>
      </w:pPr>
    </w:p>
    <w:p w14:paraId="7913798B" w14:textId="115770AD" w:rsidR="004F2274" w:rsidRPr="0058033D" w:rsidRDefault="004F2274" w:rsidP="00D73C59">
      <w:pPr>
        <w:rPr>
          <w:lang w:val="en-GB"/>
        </w:rPr>
      </w:pPr>
      <w:r w:rsidRPr="0058033D">
        <w:rPr>
          <w:lang w:val="en-GB"/>
        </w:rPr>
        <w:t xml:space="preserve">The background study established that the enterprise policy increasingly demonstrates system elements without completely </w:t>
      </w:r>
      <w:r w:rsidR="009B2A1D" w:rsidRPr="0058033D">
        <w:rPr>
          <w:lang w:val="en-GB"/>
        </w:rPr>
        <w:t>abandoning</w:t>
      </w:r>
      <w:r w:rsidRPr="0058033D">
        <w:rPr>
          <w:lang w:val="en-GB"/>
        </w:rPr>
        <w:t xml:space="preserve"> the classical economic legitimacy of policy; the two perspectives, although theoretically different, are combined pragmatically and</w:t>
      </w:r>
      <w:r w:rsidR="009B2A1D" w:rsidRPr="0058033D">
        <w:rPr>
          <w:lang w:val="en-GB"/>
        </w:rPr>
        <w:t>,</w:t>
      </w:r>
      <w:r w:rsidRPr="0058033D">
        <w:rPr>
          <w:lang w:val="en-GB"/>
        </w:rPr>
        <w:t xml:space="preserve"> according to the background study</w:t>
      </w:r>
      <w:r w:rsidR="009B2A1D" w:rsidRPr="0058033D">
        <w:rPr>
          <w:lang w:val="en-GB"/>
        </w:rPr>
        <w:t>,</w:t>
      </w:r>
      <w:r w:rsidRPr="0058033D">
        <w:rPr>
          <w:lang w:val="en-GB"/>
        </w:rPr>
        <w:t xml:space="preserve"> offer </w:t>
      </w:r>
      <w:r w:rsidR="009B2A1D" w:rsidRPr="0058033D">
        <w:rPr>
          <w:lang w:val="en-GB"/>
        </w:rPr>
        <w:t>proper</w:t>
      </w:r>
      <w:r w:rsidRPr="0058033D">
        <w:rPr>
          <w:lang w:val="en-GB"/>
        </w:rPr>
        <w:t xml:space="preserve"> motivation of the method and legitimacy of the enterprise policy. </w:t>
      </w:r>
    </w:p>
    <w:p w14:paraId="7B2AB04B" w14:textId="77777777" w:rsidR="004F2274" w:rsidRPr="0058033D" w:rsidRDefault="004F2274" w:rsidP="00D73C59">
      <w:pPr>
        <w:rPr>
          <w:lang w:val="en-GB"/>
        </w:rPr>
      </w:pPr>
    </w:p>
    <w:p w14:paraId="2FBA358B" w14:textId="7E943D9A" w:rsidR="004F2274" w:rsidRPr="0058033D" w:rsidRDefault="004F2274" w:rsidP="00D73C59">
      <w:pPr>
        <w:rPr>
          <w:lang w:val="en-GB"/>
        </w:rPr>
      </w:pPr>
      <w:r w:rsidRPr="0058033D">
        <w:rPr>
          <w:lang w:val="en-GB"/>
        </w:rPr>
        <w:t xml:space="preserve">The background study notes that this new approach to policy development and methods also adds a new dimension to the assessment of the effectiveness and efficiency of policy. </w:t>
      </w:r>
      <w:r w:rsidR="004A6F4B" w:rsidRPr="0058033D">
        <w:rPr>
          <w:lang w:val="en-GB"/>
        </w:rPr>
        <w:t>Increasingly</w:t>
      </w:r>
      <w:r w:rsidR="004A6F4B">
        <w:rPr>
          <w:lang w:val="en-GB"/>
        </w:rPr>
        <w:t>,</w:t>
      </w:r>
      <w:r w:rsidR="004A6F4B" w:rsidRPr="0058033D">
        <w:rPr>
          <w:lang w:val="en-GB"/>
        </w:rPr>
        <w:t xml:space="preserve"> policy is </w:t>
      </w:r>
      <w:r w:rsidRPr="0058033D">
        <w:rPr>
          <w:lang w:val="en-GB"/>
        </w:rPr>
        <w:t xml:space="preserve">being created in co-operation with the many different actors in the relevant area, each of whom has its own responsibility for developing and implementing the policy agenda; it is no longer only the government that has to </w:t>
      </w:r>
      <w:r w:rsidR="009B2A1D" w:rsidRPr="0058033D">
        <w:rPr>
          <w:lang w:val="en-GB"/>
        </w:rPr>
        <w:t>perform in</w:t>
      </w:r>
      <w:r w:rsidRPr="0058033D">
        <w:rPr>
          <w:lang w:val="en-GB"/>
        </w:rPr>
        <w:t xml:space="preserve"> policy but also the relevant public and private actors. </w:t>
      </w:r>
    </w:p>
    <w:p w14:paraId="15A4D88F" w14:textId="77777777" w:rsidR="004F2274" w:rsidRPr="0058033D" w:rsidRDefault="004F2274" w:rsidP="00D73C59">
      <w:pPr>
        <w:rPr>
          <w:lang w:val="en-GB"/>
        </w:rPr>
      </w:pPr>
    </w:p>
    <w:p w14:paraId="7014AF3A" w14:textId="55EB1EEC" w:rsidR="004F2274" w:rsidRPr="0058033D" w:rsidRDefault="004F2274" w:rsidP="00D73C59">
      <w:pPr>
        <w:rPr>
          <w:i/>
          <w:lang w:val="en-GB"/>
        </w:rPr>
      </w:pPr>
      <w:r w:rsidRPr="0058033D">
        <w:rPr>
          <w:lang w:val="en-GB"/>
        </w:rPr>
        <w:t xml:space="preserve">The system </w:t>
      </w:r>
      <w:r w:rsidR="009B2A1D" w:rsidRPr="0058033D">
        <w:rPr>
          <w:lang w:val="en-GB"/>
        </w:rPr>
        <w:t xml:space="preserve">approach, </w:t>
      </w:r>
      <w:r w:rsidRPr="0058033D">
        <w:rPr>
          <w:lang w:val="en-GB"/>
        </w:rPr>
        <w:t xml:space="preserve">and </w:t>
      </w:r>
      <w:r w:rsidR="009B2A1D" w:rsidRPr="0058033D">
        <w:rPr>
          <w:lang w:val="en-GB"/>
        </w:rPr>
        <w:t xml:space="preserve">the </w:t>
      </w:r>
      <w:r w:rsidRPr="0058033D">
        <w:rPr>
          <w:lang w:val="en-GB"/>
        </w:rPr>
        <w:t>network approach inspired by it</w:t>
      </w:r>
      <w:r w:rsidR="009B2A1D" w:rsidRPr="0058033D">
        <w:rPr>
          <w:lang w:val="en-GB"/>
        </w:rPr>
        <w:t>,</w:t>
      </w:r>
      <w:r w:rsidRPr="0058033D">
        <w:rPr>
          <w:lang w:val="en-GB"/>
        </w:rPr>
        <w:t xml:space="preserve"> </w:t>
      </w:r>
      <w:r w:rsidR="009B2A1D" w:rsidRPr="0058033D">
        <w:rPr>
          <w:lang w:val="en-GB"/>
        </w:rPr>
        <w:t xml:space="preserve">mean that not only </w:t>
      </w:r>
      <w:r w:rsidRPr="0058033D">
        <w:rPr>
          <w:lang w:val="en-GB"/>
        </w:rPr>
        <w:t>the government’s roles but also the nature of many policy interventions</w:t>
      </w:r>
      <w:r w:rsidR="009B2A1D" w:rsidRPr="0058033D">
        <w:rPr>
          <w:lang w:val="en-GB"/>
        </w:rPr>
        <w:t xml:space="preserve"> have changed</w:t>
      </w:r>
      <w:r w:rsidRPr="0058033D">
        <w:rPr>
          <w:lang w:val="en-GB"/>
        </w:rPr>
        <w:t xml:space="preserve">. As well as financial interventions, the government is increasingly using non-financial policy interventions (organizational and </w:t>
      </w:r>
      <w:r w:rsidR="00D04E5D" w:rsidRPr="0058033D">
        <w:rPr>
          <w:lang w:val="en-GB"/>
        </w:rPr>
        <w:t>catalysing</w:t>
      </w:r>
      <w:r w:rsidRPr="0058033D">
        <w:rPr>
          <w:lang w:val="en-GB"/>
        </w:rPr>
        <w:t xml:space="preserve"> </w:t>
      </w:r>
      <w:r w:rsidR="009B2A1D" w:rsidRPr="0058033D">
        <w:rPr>
          <w:lang w:val="en-GB"/>
        </w:rPr>
        <w:t>strength</w:t>
      </w:r>
      <w:r w:rsidRPr="0058033D">
        <w:rPr>
          <w:lang w:val="en-GB"/>
        </w:rPr>
        <w:t xml:space="preserve">, institutional modernization, organizing the dialogue, information provision etc.). </w:t>
      </w:r>
      <w:r w:rsidR="004A6F4B" w:rsidRPr="0058033D">
        <w:rPr>
          <w:lang w:val="en-GB"/>
        </w:rPr>
        <w:t>Non</w:t>
      </w:r>
      <w:r w:rsidRPr="0058033D">
        <w:rPr>
          <w:lang w:val="en-GB"/>
        </w:rPr>
        <w:t>-financial policy interventions are the heart of the policy approach and financial interventions its backbone.</w:t>
      </w:r>
    </w:p>
    <w:p w14:paraId="649336A2" w14:textId="77777777" w:rsidR="004F2274" w:rsidRPr="0058033D" w:rsidRDefault="004F2274" w:rsidP="00D73C59">
      <w:pPr>
        <w:rPr>
          <w:b/>
          <w:lang w:val="en-GB"/>
        </w:rPr>
      </w:pPr>
    </w:p>
    <w:p w14:paraId="7EA3DAB6" w14:textId="77777777" w:rsidR="004F2274" w:rsidRPr="0058033D" w:rsidRDefault="004F2274" w:rsidP="00D73C59">
      <w:pPr>
        <w:rPr>
          <w:b/>
          <w:lang w:val="en-GB"/>
        </w:rPr>
      </w:pPr>
      <w:r w:rsidRPr="0058033D">
        <w:rPr>
          <w:b/>
          <w:lang w:val="en-GB"/>
        </w:rPr>
        <w:t xml:space="preserve">The benefits and results of the policy </w:t>
      </w:r>
    </w:p>
    <w:p w14:paraId="6F0A6D9A" w14:textId="77777777" w:rsidR="004F2274" w:rsidRPr="0058033D" w:rsidRDefault="004F2274" w:rsidP="00D73C59">
      <w:pPr>
        <w:rPr>
          <w:b/>
          <w:lang w:val="en-GB"/>
        </w:rPr>
      </w:pPr>
    </w:p>
    <w:p w14:paraId="7E1BA5F3" w14:textId="77777777" w:rsidR="004F2274" w:rsidRPr="0058033D" w:rsidRDefault="004F2274" w:rsidP="00D73C59">
      <w:pPr>
        <w:rPr>
          <w:i/>
          <w:lang w:val="en-GB"/>
        </w:rPr>
      </w:pPr>
      <w:r w:rsidRPr="0058033D">
        <w:rPr>
          <w:i/>
          <w:lang w:val="en-GB"/>
        </w:rPr>
        <w:t>Brief characterization of the financial policy mix</w:t>
      </w:r>
    </w:p>
    <w:p w14:paraId="05BA68F8" w14:textId="7A82F3CA" w:rsidR="004F2274" w:rsidRPr="0058033D" w:rsidRDefault="004F2274" w:rsidP="00D73C59">
      <w:pPr>
        <w:rPr>
          <w:color w:val="000000"/>
          <w:lang w:val="en-GB"/>
        </w:rPr>
      </w:pPr>
      <w:r w:rsidRPr="0058033D">
        <w:rPr>
          <w:color w:val="000000"/>
          <w:lang w:val="en-GB"/>
        </w:rPr>
        <w:t xml:space="preserve">Annexe 1 outlines the composition of the financial policy mix for enterprise policy. The background study shows that about two-thirds of the available budget for </w:t>
      </w:r>
      <w:r w:rsidRPr="001579C6">
        <w:rPr>
          <w:color w:val="000000"/>
          <w:lang w:val="en-GB"/>
        </w:rPr>
        <w:t>items</w:t>
      </w:r>
      <w:r w:rsidRPr="0058033D">
        <w:rPr>
          <w:color w:val="000000"/>
          <w:lang w:val="en-GB"/>
        </w:rPr>
        <w:t xml:space="preserve"> 12 and 13 relate</w:t>
      </w:r>
      <w:r w:rsidR="009B2A1D" w:rsidRPr="0058033D">
        <w:rPr>
          <w:color w:val="000000"/>
          <w:lang w:val="en-GB"/>
        </w:rPr>
        <w:t>s</w:t>
      </w:r>
      <w:r w:rsidRPr="0058033D">
        <w:rPr>
          <w:color w:val="000000"/>
          <w:lang w:val="en-GB"/>
        </w:rPr>
        <w:t xml:space="preserve"> to promoting enterprise and creati</w:t>
      </w:r>
      <w:r w:rsidR="008F1238">
        <w:rPr>
          <w:color w:val="000000"/>
          <w:lang w:val="en-GB"/>
        </w:rPr>
        <w:t>ng favourable market conditions</w:t>
      </w:r>
      <w:r w:rsidRPr="0058033D">
        <w:rPr>
          <w:color w:val="000000"/>
          <w:lang w:val="en-GB"/>
        </w:rPr>
        <w:t xml:space="preserve"> while one-third focuses on promoting innovation. In the current policy mix, the proportions of government resources available for direct spending, indirect fiscal support of innovation at enterprises and indirect fiscal support of enterprise are roughly 1:2:5 (reference date 2013, see figure 2). </w:t>
      </w:r>
    </w:p>
    <w:p w14:paraId="5B59B826" w14:textId="77777777" w:rsidR="004F2274" w:rsidRPr="0058033D" w:rsidRDefault="004F2274" w:rsidP="00D73C59">
      <w:pPr>
        <w:rPr>
          <w:color w:val="000000"/>
          <w:lang w:val="en-GB"/>
        </w:rPr>
      </w:pPr>
    </w:p>
    <w:p w14:paraId="1BFA83A4" w14:textId="77777777" w:rsidR="004F2274" w:rsidRPr="0058033D" w:rsidRDefault="004F2274" w:rsidP="00D73C59">
      <w:pPr>
        <w:rPr>
          <w:color w:val="000000"/>
          <w:lang w:val="en-GB"/>
        </w:rPr>
      </w:pPr>
      <w:r w:rsidRPr="0058033D">
        <w:rPr>
          <w:color w:val="000000"/>
          <w:lang w:val="en-GB"/>
        </w:rPr>
        <w:t>There is, therefore, great emphasis on tax incentives to businesses (mainly the self-employed and low VAT rates). Measured by budgetary impact, the three largest instruments are the self-employed individuals allowance, the low VAT rate (food, hospitality and accommodation) and the small-scale investment allowance. Annexe 2 presents a full list.</w:t>
      </w:r>
    </w:p>
    <w:p w14:paraId="7498EB63" w14:textId="77777777" w:rsidR="004F2274" w:rsidRPr="0058033D" w:rsidRDefault="004F2274" w:rsidP="00D73C59">
      <w:pPr>
        <w:rPr>
          <w:color w:val="000000"/>
          <w:lang w:val="en-GB"/>
        </w:rPr>
      </w:pPr>
    </w:p>
    <w:p w14:paraId="298B39BD" w14:textId="0DC1F150" w:rsidR="004F2274" w:rsidRPr="0058033D" w:rsidRDefault="004F2274" w:rsidP="00D73C59">
      <w:pPr>
        <w:rPr>
          <w:lang w:val="en-GB"/>
        </w:rPr>
      </w:pPr>
      <w:r w:rsidRPr="0058033D">
        <w:rPr>
          <w:lang w:val="en-GB"/>
        </w:rPr>
        <w:t>The contributions to institutions, including to a significant extent knowledge institutions, rose from 4.2% of the total budget in 2010 to 8.6% in 2013 a</w:t>
      </w:r>
      <w:r w:rsidR="00CA4395">
        <w:rPr>
          <w:lang w:val="en-GB"/>
        </w:rPr>
        <w:t>s a</w:t>
      </w:r>
      <w:r w:rsidRPr="0058033D">
        <w:rPr>
          <w:lang w:val="en-GB"/>
        </w:rPr>
        <w:t xml:space="preserve"> result of the </w:t>
      </w:r>
      <w:r w:rsidR="00567DBF" w:rsidRPr="0058033D">
        <w:rPr>
          <w:lang w:val="en-GB"/>
        </w:rPr>
        <w:t>government</w:t>
      </w:r>
      <w:r w:rsidR="009B2A1D" w:rsidRPr="0058033D">
        <w:rPr>
          <w:lang w:val="en-GB"/>
        </w:rPr>
        <w:t>’s</w:t>
      </w:r>
      <w:r w:rsidRPr="0058033D">
        <w:rPr>
          <w:lang w:val="en-GB"/>
        </w:rPr>
        <w:t xml:space="preserve"> decision to transfer </w:t>
      </w:r>
      <w:r w:rsidR="008F1238">
        <w:rPr>
          <w:lang w:val="en-GB"/>
        </w:rPr>
        <w:t>its</w:t>
      </w:r>
      <w:r w:rsidRPr="0058033D">
        <w:rPr>
          <w:lang w:val="en-GB"/>
        </w:rPr>
        <w:t xml:space="preserve"> contribution to TNO and some </w:t>
      </w:r>
      <w:r w:rsidR="009B2A1D" w:rsidRPr="0058033D">
        <w:rPr>
          <w:lang w:val="en-GB"/>
        </w:rPr>
        <w:t>large technological institutions (GTI</w:t>
      </w:r>
      <w:r w:rsidRPr="0058033D">
        <w:rPr>
          <w:lang w:val="en-GB"/>
        </w:rPr>
        <w:t>s</w:t>
      </w:r>
      <w:r w:rsidR="009B2A1D" w:rsidRPr="0058033D">
        <w:rPr>
          <w:lang w:val="en-GB"/>
        </w:rPr>
        <w:t>)</w:t>
      </w:r>
      <w:r w:rsidRPr="0058033D">
        <w:rPr>
          <w:lang w:val="en-GB"/>
        </w:rPr>
        <w:t xml:space="preserve"> to items 12 and 13 of the EZ budget from 2011.</w:t>
      </w:r>
      <w:r w:rsidRPr="0058033D">
        <w:rPr>
          <w:rStyle w:val="Voetnootmarkering"/>
          <w:lang w:val="en-GB"/>
        </w:rPr>
        <w:footnoteReference w:id="10"/>
      </w:r>
    </w:p>
    <w:p w14:paraId="5D32DC67" w14:textId="77777777" w:rsidR="004F2274" w:rsidRPr="0058033D" w:rsidRDefault="004F2274" w:rsidP="00D73C59">
      <w:pPr>
        <w:rPr>
          <w:color w:val="000000"/>
          <w:lang w:val="en-GB"/>
        </w:rPr>
      </w:pPr>
    </w:p>
    <w:p w14:paraId="033E45F8" w14:textId="7FC2035D" w:rsidR="004F2274" w:rsidRPr="0058033D" w:rsidRDefault="004F2274" w:rsidP="00D73C59">
      <w:pPr>
        <w:rPr>
          <w:i/>
          <w:color w:val="000000"/>
          <w:lang w:val="en-GB"/>
        </w:rPr>
      </w:pPr>
      <w:r w:rsidRPr="0058033D">
        <w:rPr>
          <w:i/>
          <w:color w:val="000000"/>
          <w:lang w:val="en-GB"/>
        </w:rPr>
        <w:t xml:space="preserve">Figure 2: Budgets in billions (2013) </w:t>
      </w:r>
      <w:r w:rsidR="009B2A1D" w:rsidRPr="0058033D">
        <w:rPr>
          <w:i/>
          <w:color w:val="000000"/>
          <w:lang w:val="en-GB"/>
        </w:rPr>
        <w:t>for</w:t>
      </w:r>
      <w:r w:rsidRPr="0058033D">
        <w:rPr>
          <w:i/>
          <w:color w:val="000000"/>
          <w:lang w:val="en-GB"/>
        </w:rPr>
        <w:t xml:space="preserve"> indirect (tax) and direct (spending) incentives </w:t>
      </w:r>
    </w:p>
    <w:p w14:paraId="070EF9D0" w14:textId="51FCCD2B" w:rsidR="004F2274" w:rsidRPr="0058033D" w:rsidRDefault="001B564F" w:rsidP="00D73C59">
      <w:pPr>
        <w:keepNext/>
        <w:jc w:val="center"/>
        <w:rPr>
          <w:lang w:val="en-GB"/>
        </w:rPr>
      </w:pPr>
      <w:r>
        <w:rPr>
          <w:noProof/>
          <w:sz w:val="24"/>
        </w:rPr>
        <w:drawing>
          <wp:inline distT="0" distB="0" distL="0" distR="0" wp14:anchorId="12AFEFDA" wp14:editId="4B3F2F0C">
            <wp:extent cx="4286250" cy="1847850"/>
            <wp:effectExtent l="0" t="0" r="0" b="0"/>
            <wp:docPr id="1" name="Grafie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ek 1"/>
                    <pic:cNvPicPr>
                      <a:picLocks noChangeArrowheads="1"/>
                    </pic:cNvPicPr>
                  </pic:nvPicPr>
                  <pic:blipFill>
                    <a:blip r:embed="rId9">
                      <a:extLst>
                        <a:ext uri="{28A0092B-C50C-407E-A947-70E740481C1C}">
                          <a14:useLocalDpi xmlns:a14="http://schemas.microsoft.com/office/drawing/2010/main" val="0"/>
                        </a:ext>
                      </a:extLst>
                    </a:blip>
                    <a:srcRect b="-162"/>
                    <a:stretch>
                      <a:fillRect/>
                    </a:stretch>
                  </pic:blipFill>
                  <pic:spPr bwMode="auto">
                    <a:xfrm>
                      <a:off x="0" y="0"/>
                      <a:ext cx="4286250" cy="1847850"/>
                    </a:xfrm>
                    <a:prstGeom prst="rect">
                      <a:avLst/>
                    </a:prstGeom>
                    <a:noFill/>
                    <a:ln>
                      <a:noFill/>
                    </a:ln>
                  </pic:spPr>
                </pic:pic>
              </a:graphicData>
            </a:graphic>
          </wp:inline>
        </w:drawing>
      </w:r>
    </w:p>
    <w:p w14:paraId="64925550" w14:textId="77777777" w:rsidR="004F2274" w:rsidRPr="0058033D" w:rsidRDefault="004F2274" w:rsidP="00D73C59">
      <w:pPr>
        <w:rPr>
          <w:lang w:val="en-GB"/>
        </w:rPr>
      </w:pPr>
    </w:p>
    <w:p w14:paraId="5CDFCA19" w14:textId="79B5666D" w:rsidR="004F2274" w:rsidRPr="0058033D" w:rsidRDefault="004F2274" w:rsidP="00D73C59">
      <w:pPr>
        <w:rPr>
          <w:color w:val="1F497D"/>
          <w:lang w:val="en-GB"/>
        </w:rPr>
      </w:pPr>
      <w:r w:rsidRPr="0058033D">
        <w:rPr>
          <w:lang w:val="en-GB"/>
        </w:rPr>
        <w:t>The share of direct business subsidies has fallen sharply in the period, in line with political decisions. The share of subsidy instruments has fallen from a peak of almost 7% of the total R&amp;D policy budget in 2010 to over 4.5% in 2013. Much of this is ongoing payments on programmes that have now ended (‘phasing out’ of old policy).</w:t>
      </w:r>
    </w:p>
    <w:p w14:paraId="10590F28" w14:textId="77777777" w:rsidR="004F2274" w:rsidRPr="0058033D" w:rsidRDefault="004F2274" w:rsidP="00D73C59">
      <w:pPr>
        <w:rPr>
          <w:lang w:val="en-GB"/>
        </w:rPr>
      </w:pPr>
    </w:p>
    <w:p w14:paraId="43A71E7D" w14:textId="2197863D" w:rsidR="004F2274" w:rsidRPr="0058033D" w:rsidRDefault="004F2274" w:rsidP="00D73C59">
      <w:pPr>
        <w:rPr>
          <w:color w:val="1F497D"/>
          <w:lang w:val="en-GB"/>
        </w:rPr>
      </w:pPr>
      <w:r w:rsidRPr="0058033D">
        <w:rPr>
          <w:lang w:val="en-GB"/>
        </w:rPr>
        <w:t>The other forms of policy have a minor impact on the budget. Although the relative significance of financing instruments (seed capital/loan/guarantee/credit) has increased from some 2.6% of the budget in 2010 to 3.7% in 2013, it is a relatively limited part of the total. The budget</w:t>
      </w:r>
      <w:r w:rsidR="0032596A" w:rsidRPr="0058033D">
        <w:rPr>
          <w:lang w:val="en-GB"/>
        </w:rPr>
        <w:t>ary</w:t>
      </w:r>
      <w:r w:rsidRPr="0058033D">
        <w:rPr>
          <w:lang w:val="en-GB"/>
        </w:rPr>
        <w:t xml:space="preserve"> impact of the financing instruments only give</w:t>
      </w:r>
      <w:r w:rsidR="0032596A" w:rsidRPr="0058033D">
        <w:rPr>
          <w:lang w:val="en-GB"/>
        </w:rPr>
        <w:t>s</w:t>
      </w:r>
      <w:r w:rsidRPr="0058033D">
        <w:rPr>
          <w:lang w:val="en-GB"/>
        </w:rPr>
        <w:t xml:space="preserve"> a limited indication of the policy effort, howe</w:t>
      </w:r>
      <w:r w:rsidR="0032596A" w:rsidRPr="0058033D">
        <w:rPr>
          <w:lang w:val="en-GB"/>
        </w:rPr>
        <w:t xml:space="preserve">ver; the public resources </w:t>
      </w:r>
      <w:r w:rsidR="00CA4395">
        <w:rPr>
          <w:lang w:val="en-GB"/>
        </w:rPr>
        <w:t>create</w:t>
      </w:r>
      <w:r w:rsidRPr="0058033D">
        <w:rPr>
          <w:lang w:val="en-GB"/>
        </w:rPr>
        <w:t xml:space="preserve"> lever</w:t>
      </w:r>
      <w:r w:rsidR="0032596A" w:rsidRPr="0058033D">
        <w:rPr>
          <w:lang w:val="en-GB"/>
        </w:rPr>
        <w:t>age</w:t>
      </w:r>
      <w:r w:rsidRPr="0058033D">
        <w:rPr>
          <w:lang w:val="en-GB"/>
        </w:rPr>
        <w:t xml:space="preserve"> for private resources. For example, a limited budget </w:t>
      </w:r>
      <w:r w:rsidR="0032596A" w:rsidRPr="0058033D">
        <w:rPr>
          <w:lang w:val="en-GB"/>
        </w:rPr>
        <w:t xml:space="preserve">of </w:t>
      </w:r>
      <w:r w:rsidRPr="0058033D">
        <w:rPr>
          <w:lang w:val="en-GB"/>
        </w:rPr>
        <w:t xml:space="preserve">guarantees (via banks) </w:t>
      </w:r>
      <w:r w:rsidR="00CA4395">
        <w:rPr>
          <w:lang w:val="en-GB"/>
        </w:rPr>
        <w:t>allows</w:t>
      </w:r>
      <w:r w:rsidRPr="0058033D">
        <w:rPr>
          <w:lang w:val="en-GB"/>
        </w:rPr>
        <w:t xml:space="preserve"> a multiple of credit for enterprises. </w:t>
      </w:r>
    </w:p>
    <w:p w14:paraId="7D497AA5" w14:textId="5ABCC0D2" w:rsidR="004F2274" w:rsidRPr="0058033D" w:rsidRDefault="0058033D" w:rsidP="00D73C59">
      <w:pPr>
        <w:rPr>
          <w:lang w:val="en-GB"/>
        </w:rPr>
      </w:pPr>
      <w:r>
        <w:rPr>
          <w:lang w:val="en-GB"/>
        </w:rPr>
        <w:br w:type="page"/>
      </w:r>
    </w:p>
    <w:tbl>
      <w:tblPr>
        <w:tblW w:w="5225" w:type="pct"/>
        <w:tblBorders>
          <w:top w:val="single" w:sz="8" w:space="0" w:color="4F81BD"/>
          <w:bottom w:val="single" w:sz="8" w:space="0" w:color="4F81BD"/>
        </w:tblBorders>
        <w:tblLook w:val="00A0" w:firstRow="1" w:lastRow="0" w:firstColumn="1" w:lastColumn="0" w:noHBand="0" w:noVBand="0"/>
      </w:tblPr>
      <w:tblGrid>
        <w:gridCol w:w="3872"/>
        <w:gridCol w:w="489"/>
        <w:gridCol w:w="3385"/>
        <w:gridCol w:w="348"/>
      </w:tblGrid>
      <w:tr w:rsidR="004F2274" w:rsidRPr="001B564F" w14:paraId="37114326" w14:textId="77777777" w:rsidTr="0032596A">
        <w:trPr>
          <w:gridAfter w:val="1"/>
          <w:wAfter w:w="216" w:type="pct"/>
          <w:trHeight w:val="238"/>
        </w:trPr>
        <w:tc>
          <w:tcPr>
            <w:tcW w:w="4784" w:type="pct"/>
            <w:gridSpan w:val="3"/>
            <w:tcBorders>
              <w:top w:val="single" w:sz="8" w:space="0" w:color="4F81BD"/>
              <w:left w:val="nil"/>
              <w:bottom w:val="single" w:sz="8" w:space="0" w:color="4F81BD"/>
              <w:right w:val="nil"/>
            </w:tcBorders>
          </w:tcPr>
          <w:p w14:paraId="06F318F6" w14:textId="64534D0C" w:rsidR="004F2274" w:rsidRPr="0058033D" w:rsidRDefault="004F2274" w:rsidP="0032596A">
            <w:pPr>
              <w:rPr>
                <w:b/>
                <w:bCs/>
                <w:color w:val="1F497D"/>
                <w:lang w:val="en-GB" w:eastAsia="en-US"/>
              </w:rPr>
            </w:pPr>
            <w:r w:rsidRPr="0058033D">
              <w:rPr>
                <w:b/>
                <w:bCs/>
                <w:color w:val="000000"/>
                <w:lang w:val="en-GB"/>
              </w:rPr>
              <w:t xml:space="preserve">Table 2: </w:t>
            </w:r>
            <w:r w:rsidR="0032596A" w:rsidRPr="0058033D">
              <w:rPr>
                <w:b/>
                <w:bCs/>
                <w:color w:val="000000"/>
                <w:lang w:val="en-GB"/>
              </w:rPr>
              <w:t>innovation and enterprise p</w:t>
            </w:r>
            <w:r w:rsidRPr="0058033D">
              <w:rPr>
                <w:b/>
                <w:bCs/>
                <w:color w:val="000000"/>
                <w:lang w:val="en-GB"/>
              </w:rPr>
              <w:t>olicy budget (2013): use by SME</w:t>
            </w:r>
            <w:r w:rsidR="008F1238">
              <w:rPr>
                <w:b/>
                <w:bCs/>
                <w:color w:val="000000"/>
                <w:lang w:val="en-GB"/>
              </w:rPr>
              <w:t>s</w:t>
            </w:r>
          </w:p>
        </w:tc>
      </w:tr>
      <w:tr w:rsidR="004F2274" w:rsidRPr="0058033D" w14:paraId="19CC9869" w14:textId="77777777" w:rsidTr="0032596A">
        <w:trPr>
          <w:gridAfter w:val="1"/>
          <w:wAfter w:w="216" w:type="pct"/>
          <w:trHeight w:val="230"/>
        </w:trPr>
        <w:tc>
          <w:tcPr>
            <w:tcW w:w="2392" w:type="pct"/>
            <w:shd w:val="clear" w:color="auto" w:fill="D3DFEE"/>
          </w:tcPr>
          <w:p w14:paraId="2C49E1F9" w14:textId="77777777" w:rsidR="004F2274" w:rsidRPr="0058033D" w:rsidRDefault="004F2274" w:rsidP="00A14D20">
            <w:pPr>
              <w:rPr>
                <w:b/>
                <w:bCs/>
                <w:color w:val="1F497D"/>
                <w:sz w:val="16"/>
                <w:lang w:val="en-GB" w:eastAsia="en-US"/>
              </w:rPr>
            </w:pPr>
          </w:p>
        </w:tc>
        <w:tc>
          <w:tcPr>
            <w:tcW w:w="2393" w:type="pct"/>
            <w:gridSpan w:val="2"/>
            <w:shd w:val="clear" w:color="auto" w:fill="D3DFEE"/>
          </w:tcPr>
          <w:p w14:paraId="296EC6C7" w14:textId="77777777" w:rsidR="004F2274" w:rsidRPr="0058033D" w:rsidRDefault="004F2274" w:rsidP="00567BCC">
            <w:pPr>
              <w:jc w:val="center"/>
              <w:rPr>
                <w:color w:val="1F497D"/>
                <w:sz w:val="16"/>
                <w:lang w:val="en-GB" w:eastAsia="en-US"/>
              </w:rPr>
            </w:pPr>
            <w:r w:rsidRPr="0058033D">
              <w:rPr>
                <w:rFonts w:cs="Arial"/>
                <w:color w:val="000000"/>
                <w:sz w:val="16"/>
                <w:lang w:val="en-GB"/>
              </w:rPr>
              <w:t>SME share (%)</w:t>
            </w:r>
          </w:p>
        </w:tc>
      </w:tr>
      <w:tr w:rsidR="004F2274" w:rsidRPr="0058033D" w14:paraId="05C1999B" w14:textId="77777777" w:rsidTr="0032596A">
        <w:trPr>
          <w:trHeight w:val="230"/>
        </w:trPr>
        <w:tc>
          <w:tcPr>
            <w:tcW w:w="2694" w:type="pct"/>
            <w:gridSpan w:val="2"/>
          </w:tcPr>
          <w:p w14:paraId="58FFBEFF" w14:textId="77777777" w:rsidR="004F2274" w:rsidRPr="0058033D" w:rsidRDefault="004F2274" w:rsidP="00396D1B">
            <w:pPr>
              <w:rPr>
                <w:bCs/>
                <w:color w:val="1F497D"/>
                <w:sz w:val="16"/>
                <w:lang w:val="en-GB" w:eastAsia="en-US"/>
              </w:rPr>
            </w:pPr>
            <w:r w:rsidRPr="0058033D">
              <w:rPr>
                <w:rFonts w:cs="Arial"/>
                <w:bCs/>
                <w:color w:val="000000"/>
                <w:sz w:val="16"/>
                <w:lang w:val="en-GB"/>
              </w:rPr>
              <w:t>Tax facilities for enterprises</w:t>
            </w:r>
          </w:p>
        </w:tc>
        <w:tc>
          <w:tcPr>
            <w:tcW w:w="2306" w:type="pct"/>
            <w:gridSpan w:val="2"/>
          </w:tcPr>
          <w:p w14:paraId="664F2815"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91</w:t>
            </w:r>
          </w:p>
        </w:tc>
      </w:tr>
      <w:tr w:rsidR="004F2274" w:rsidRPr="0058033D" w14:paraId="3B842859" w14:textId="77777777" w:rsidTr="0032596A">
        <w:trPr>
          <w:trHeight w:val="238"/>
        </w:trPr>
        <w:tc>
          <w:tcPr>
            <w:tcW w:w="2694" w:type="pct"/>
            <w:gridSpan w:val="2"/>
            <w:shd w:val="clear" w:color="auto" w:fill="D3DFEE"/>
          </w:tcPr>
          <w:p w14:paraId="6F2E78F7" w14:textId="5148A299" w:rsidR="004F2274" w:rsidRPr="0058033D" w:rsidRDefault="0032596A" w:rsidP="0032596A">
            <w:pPr>
              <w:tabs>
                <w:tab w:val="left" w:pos="426"/>
              </w:tabs>
              <w:rPr>
                <w:rFonts w:cs="Arial"/>
                <w:bCs/>
                <w:i/>
                <w:color w:val="000000"/>
                <w:sz w:val="16"/>
                <w:lang w:val="en-GB"/>
              </w:rPr>
            </w:pPr>
            <w:r w:rsidRPr="0058033D">
              <w:rPr>
                <w:rFonts w:cs="Arial"/>
                <w:bCs/>
                <w:i/>
                <w:color w:val="000000"/>
                <w:sz w:val="16"/>
                <w:lang w:val="en-GB"/>
              </w:rPr>
              <w:t>incl.</w:t>
            </w:r>
            <w:r w:rsidRPr="0058033D">
              <w:rPr>
                <w:rFonts w:cs="Arial"/>
                <w:bCs/>
                <w:i/>
                <w:color w:val="000000"/>
                <w:sz w:val="16"/>
                <w:lang w:val="en-GB"/>
              </w:rPr>
              <w:tab/>
            </w:r>
            <w:r w:rsidR="004F2274" w:rsidRPr="0058033D">
              <w:rPr>
                <w:rFonts w:cs="Arial"/>
                <w:bCs/>
                <w:i/>
                <w:color w:val="000000"/>
                <w:sz w:val="16"/>
                <w:lang w:val="en-GB"/>
              </w:rPr>
              <w:t>- Self-employed individuals allowance</w:t>
            </w:r>
          </w:p>
          <w:p w14:paraId="64E39BA2" w14:textId="6A92B8CC" w:rsidR="004F2274" w:rsidRPr="0058033D" w:rsidRDefault="004F2274" w:rsidP="0032596A">
            <w:pPr>
              <w:tabs>
                <w:tab w:val="left" w:pos="426"/>
              </w:tabs>
              <w:rPr>
                <w:bCs/>
                <w:i/>
                <w:color w:val="1F497D"/>
                <w:sz w:val="16"/>
                <w:lang w:val="en-GB" w:eastAsia="en-US"/>
              </w:rPr>
            </w:pPr>
            <w:r w:rsidRPr="0058033D">
              <w:rPr>
                <w:rFonts w:cs="Arial"/>
                <w:bCs/>
                <w:i/>
                <w:color w:val="000000"/>
                <w:sz w:val="16"/>
                <w:lang w:val="en-GB"/>
              </w:rPr>
              <w:t xml:space="preserve"> </w:t>
            </w:r>
            <w:r w:rsidR="0032596A" w:rsidRPr="0058033D">
              <w:rPr>
                <w:rFonts w:cs="Arial"/>
                <w:bCs/>
                <w:i/>
                <w:color w:val="000000"/>
                <w:sz w:val="16"/>
                <w:lang w:val="en-GB"/>
              </w:rPr>
              <w:tab/>
            </w:r>
            <w:r w:rsidRPr="0058033D">
              <w:rPr>
                <w:rFonts w:cs="Arial"/>
                <w:bCs/>
                <w:i/>
                <w:color w:val="000000"/>
                <w:sz w:val="16"/>
                <w:lang w:val="en-GB"/>
              </w:rPr>
              <w:t>- Low VAT rate on food and accommodation *</w:t>
            </w:r>
          </w:p>
        </w:tc>
        <w:tc>
          <w:tcPr>
            <w:tcW w:w="2306" w:type="pct"/>
            <w:gridSpan w:val="2"/>
            <w:shd w:val="clear" w:color="auto" w:fill="D3DFEE"/>
          </w:tcPr>
          <w:p w14:paraId="0AD67218" w14:textId="77777777" w:rsidR="004F2274" w:rsidRPr="0058033D" w:rsidRDefault="004F2274" w:rsidP="00567BCC">
            <w:pPr>
              <w:jc w:val="center"/>
              <w:rPr>
                <w:i/>
                <w:color w:val="365F91"/>
                <w:sz w:val="16"/>
                <w:lang w:val="en-GB" w:eastAsia="en-US"/>
              </w:rPr>
            </w:pPr>
            <w:r w:rsidRPr="0058033D">
              <w:rPr>
                <w:i/>
                <w:color w:val="365F91"/>
                <w:sz w:val="16"/>
                <w:lang w:val="en-GB" w:eastAsia="en-US"/>
              </w:rPr>
              <w:t>100</w:t>
            </w:r>
          </w:p>
          <w:p w14:paraId="5FE3A6D5" w14:textId="77777777" w:rsidR="004F2274" w:rsidRPr="0058033D" w:rsidRDefault="004F2274" w:rsidP="00567BCC">
            <w:pPr>
              <w:jc w:val="center"/>
              <w:rPr>
                <w:i/>
                <w:color w:val="365F91"/>
                <w:sz w:val="16"/>
                <w:lang w:val="en-GB" w:eastAsia="en-US"/>
              </w:rPr>
            </w:pPr>
            <w:r w:rsidRPr="0058033D">
              <w:rPr>
                <w:i/>
                <w:color w:val="365F91"/>
                <w:sz w:val="16"/>
                <w:lang w:val="en-GB" w:eastAsia="en-US"/>
              </w:rPr>
              <w:t xml:space="preserve"> 75</w:t>
            </w:r>
          </w:p>
        </w:tc>
      </w:tr>
      <w:tr w:rsidR="004F2274" w:rsidRPr="0058033D" w14:paraId="47FDB4E0" w14:textId="77777777" w:rsidTr="0032596A">
        <w:trPr>
          <w:trHeight w:val="238"/>
        </w:trPr>
        <w:tc>
          <w:tcPr>
            <w:tcW w:w="2694" w:type="pct"/>
            <w:gridSpan w:val="2"/>
          </w:tcPr>
          <w:p w14:paraId="580CB88B" w14:textId="77777777" w:rsidR="004F2274" w:rsidRPr="0058033D" w:rsidRDefault="004F2274" w:rsidP="0032596A">
            <w:pPr>
              <w:tabs>
                <w:tab w:val="left" w:pos="426"/>
              </w:tabs>
              <w:rPr>
                <w:bCs/>
                <w:color w:val="1F497D"/>
                <w:sz w:val="16"/>
                <w:lang w:val="en-GB" w:eastAsia="en-US"/>
              </w:rPr>
            </w:pPr>
            <w:r w:rsidRPr="0058033D">
              <w:rPr>
                <w:rFonts w:cs="Arial"/>
                <w:bCs/>
                <w:color w:val="000000"/>
                <w:sz w:val="16"/>
                <w:lang w:val="en-GB"/>
              </w:rPr>
              <w:t xml:space="preserve">Tax facilities for innovation </w:t>
            </w:r>
          </w:p>
        </w:tc>
        <w:tc>
          <w:tcPr>
            <w:tcW w:w="2306" w:type="pct"/>
            <w:gridSpan w:val="2"/>
          </w:tcPr>
          <w:p w14:paraId="7B10A102"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54 </w:t>
            </w:r>
          </w:p>
        </w:tc>
      </w:tr>
      <w:tr w:rsidR="004F2274" w:rsidRPr="0058033D" w14:paraId="02F0A006" w14:textId="77777777" w:rsidTr="0032596A">
        <w:trPr>
          <w:trHeight w:val="230"/>
        </w:trPr>
        <w:tc>
          <w:tcPr>
            <w:tcW w:w="2694" w:type="pct"/>
            <w:gridSpan w:val="2"/>
            <w:shd w:val="clear" w:color="auto" w:fill="D3DFEE"/>
          </w:tcPr>
          <w:p w14:paraId="6B10C59F" w14:textId="19C8558F" w:rsidR="004F2274" w:rsidRPr="0058033D" w:rsidRDefault="004F2274" w:rsidP="0032596A">
            <w:pPr>
              <w:tabs>
                <w:tab w:val="left" w:pos="426"/>
              </w:tabs>
              <w:rPr>
                <w:rFonts w:cs="Arial"/>
                <w:bCs/>
                <w:i/>
                <w:color w:val="000000"/>
                <w:sz w:val="16"/>
                <w:lang w:val="en-GB"/>
              </w:rPr>
            </w:pPr>
            <w:r w:rsidRPr="0058033D">
              <w:rPr>
                <w:rFonts w:cs="Arial"/>
                <w:bCs/>
                <w:i/>
                <w:color w:val="000000"/>
                <w:sz w:val="16"/>
                <w:lang w:val="en-GB"/>
              </w:rPr>
              <w:t xml:space="preserve">incl. </w:t>
            </w:r>
            <w:r w:rsidR="0032596A" w:rsidRPr="0058033D">
              <w:rPr>
                <w:rFonts w:cs="Arial"/>
                <w:bCs/>
                <w:i/>
                <w:color w:val="000000"/>
                <w:sz w:val="16"/>
                <w:lang w:val="en-GB"/>
              </w:rPr>
              <w:tab/>
            </w:r>
            <w:r w:rsidRPr="0058033D">
              <w:rPr>
                <w:rFonts w:cs="Arial"/>
                <w:bCs/>
                <w:i/>
                <w:color w:val="000000"/>
                <w:sz w:val="16"/>
                <w:lang w:val="en-GB"/>
              </w:rPr>
              <w:t>- WBSO &amp; RDA</w:t>
            </w:r>
          </w:p>
          <w:p w14:paraId="7D7A5334" w14:textId="3587148F" w:rsidR="004F2274" w:rsidRPr="0058033D" w:rsidRDefault="004F2274" w:rsidP="0032596A">
            <w:pPr>
              <w:tabs>
                <w:tab w:val="left" w:pos="426"/>
              </w:tabs>
              <w:rPr>
                <w:bCs/>
                <w:i/>
                <w:color w:val="1F497D"/>
                <w:sz w:val="16"/>
                <w:lang w:val="en-GB" w:eastAsia="en-US"/>
              </w:rPr>
            </w:pPr>
            <w:r w:rsidRPr="0058033D">
              <w:rPr>
                <w:rFonts w:cs="Arial"/>
                <w:bCs/>
                <w:i/>
                <w:color w:val="000000"/>
                <w:sz w:val="16"/>
                <w:lang w:val="en-GB"/>
              </w:rPr>
              <w:t xml:space="preserve"> </w:t>
            </w:r>
            <w:r w:rsidR="0032596A" w:rsidRPr="0058033D">
              <w:rPr>
                <w:rFonts w:cs="Arial"/>
                <w:bCs/>
                <w:i/>
                <w:color w:val="000000"/>
                <w:sz w:val="16"/>
                <w:lang w:val="en-GB"/>
              </w:rPr>
              <w:tab/>
            </w:r>
            <w:r w:rsidRPr="0058033D">
              <w:rPr>
                <w:rFonts w:cs="Arial"/>
                <w:bCs/>
                <w:i/>
                <w:color w:val="000000"/>
                <w:sz w:val="16"/>
                <w:lang w:val="en-GB"/>
              </w:rPr>
              <w:t>- Innovation box</w:t>
            </w:r>
          </w:p>
        </w:tc>
        <w:tc>
          <w:tcPr>
            <w:tcW w:w="2306" w:type="pct"/>
            <w:gridSpan w:val="2"/>
            <w:shd w:val="clear" w:color="auto" w:fill="D3DFEE"/>
          </w:tcPr>
          <w:p w14:paraId="58D6E834" w14:textId="77777777" w:rsidR="004F2274" w:rsidRPr="0058033D" w:rsidRDefault="004F2274" w:rsidP="00567BCC">
            <w:pPr>
              <w:jc w:val="center"/>
              <w:rPr>
                <w:i/>
                <w:color w:val="365F91"/>
                <w:sz w:val="16"/>
                <w:lang w:val="en-GB" w:eastAsia="en-US"/>
              </w:rPr>
            </w:pPr>
            <w:r w:rsidRPr="0058033D">
              <w:rPr>
                <w:i/>
                <w:color w:val="365F91"/>
                <w:sz w:val="16"/>
                <w:lang w:val="en-GB" w:eastAsia="en-US"/>
              </w:rPr>
              <w:t xml:space="preserve"> 65</w:t>
            </w:r>
          </w:p>
          <w:p w14:paraId="4796E589" w14:textId="77777777" w:rsidR="004F2274" w:rsidRPr="0058033D" w:rsidRDefault="004F2274" w:rsidP="00567BCC">
            <w:pPr>
              <w:jc w:val="center"/>
              <w:rPr>
                <w:i/>
                <w:color w:val="365F91"/>
                <w:sz w:val="16"/>
                <w:lang w:val="en-GB" w:eastAsia="en-US"/>
              </w:rPr>
            </w:pPr>
            <w:r w:rsidRPr="0058033D">
              <w:rPr>
                <w:i/>
                <w:color w:val="365F91"/>
                <w:sz w:val="16"/>
                <w:lang w:val="en-GB" w:eastAsia="en-US"/>
              </w:rPr>
              <w:t xml:space="preserve"> 40</w:t>
            </w:r>
          </w:p>
        </w:tc>
      </w:tr>
      <w:tr w:rsidR="004F2274" w:rsidRPr="0058033D" w14:paraId="4C5A23F2" w14:textId="77777777" w:rsidTr="0032596A">
        <w:trPr>
          <w:trHeight w:val="238"/>
        </w:trPr>
        <w:tc>
          <w:tcPr>
            <w:tcW w:w="2694" w:type="pct"/>
            <w:gridSpan w:val="2"/>
          </w:tcPr>
          <w:p w14:paraId="6437C531" w14:textId="77777777" w:rsidR="004F2274" w:rsidRPr="0058033D" w:rsidRDefault="004F2274" w:rsidP="00A14D20">
            <w:pPr>
              <w:rPr>
                <w:bCs/>
                <w:color w:val="1F497D"/>
                <w:sz w:val="16"/>
                <w:lang w:val="en-GB" w:eastAsia="en-US"/>
              </w:rPr>
            </w:pPr>
            <w:r w:rsidRPr="0058033D">
              <w:rPr>
                <w:rFonts w:cs="Arial"/>
                <w:bCs/>
                <w:color w:val="000000"/>
                <w:sz w:val="16"/>
                <w:lang w:val="en-GB"/>
              </w:rPr>
              <w:t>Loans</w:t>
            </w:r>
          </w:p>
        </w:tc>
        <w:tc>
          <w:tcPr>
            <w:tcW w:w="2306" w:type="pct"/>
            <w:gridSpan w:val="2"/>
          </w:tcPr>
          <w:p w14:paraId="4A94DFCA"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100 </w:t>
            </w:r>
          </w:p>
        </w:tc>
      </w:tr>
      <w:tr w:rsidR="004F2274" w:rsidRPr="0058033D" w14:paraId="6B82A360" w14:textId="77777777" w:rsidTr="0032596A">
        <w:trPr>
          <w:trHeight w:val="238"/>
        </w:trPr>
        <w:tc>
          <w:tcPr>
            <w:tcW w:w="2694" w:type="pct"/>
            <w:gridSpan w:val="2"/>
            <w:shd w:val="clear" w:color="auto" w:fill="D3DFEE"/>
          </w:tcPr>
          <w:p w14:paraId="3921D368" w14:textId="77777777" w:rsidR="004F2274" w:rsidRPr="0058033D" w:rsidRDefault="004F2274" w:rsidP="00A14D20">
            <w:pPr>
              <w:rPr>
                <w:bCs/>
                <w:color w:val="1F497D"/>
                <w:sz w:val="16"/>
                <w:lang w:val="en-GB" w:eastAsia="en-US"/>
              </w:rPr>
            </w:pPr>
            <w:r w:rsidRPr="0058033D">
              <w:rPr>
                <w:rFonts w:cs="Arial"/>
                <w:bCs/>
                <w:color w:val="000000"/>
                <w:sz w:val="16"/>
                <w:lang w:val="en-GB"/>
              </w:rPr>
              <w:t>Guarantees</w:t>
            </w:r>
          </w:p>
        </w:tc>
        <w:tc>
          <w:tcPr>
            <w:tcW w:w="2306" w:type="pct"/>
            <w:gridSpan w:val="2"/>
            <w:shd w:val="clear" w:color="auto" w:fill="D3DFEE"/>
          </w:tcPr>
          <w:p w14:paraId="61B8041C"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99 </w:t>
            </w:r>
          </w:p>
        </w:tc>
      </w:tr>
      <w:tr w:rsidR="004F2274" w:rsidRPr="0058033D" w14:paraId="1EEEB31C" w14:textId="77777777" w:rsidTr="0032596A">
        <w:trPr>
          <w:trHeight w:val="230"/>
        </w:trPr>
        <w:tc>
          <w:tcPr>
            <w:tcW w:w="2694" w:type="pct"/>
            <w:gridSpan w:val="2"/>
          </w:tcPr>
          <w:p w14:paraId="0DC287B9" w14:textId="77777777" w:rsidR="004F2274" w:rsidRPr="0058033D" w:rsidRDefault="004F2274" w:rsidP="00A14D20">
            <w:pPr>
              <w:rPr>
                <w:bCs/>
                <w:color w:val="1F497D"/>
                <w:sz w:val="16"/>
                <w:lang w:val="en-GB" w:eastAsia="en-US"/>
              </w:rPr>
            </w:pPr>
            <w:r w:rsidRPr="0058033D">
              <w:rPr>
                <w:rFonts w:cs="Arial"/>
                <w:bCs/>
                <w:color w:val="000000"/>
                <w:sz w:val="16"/>
                <w:lang w:val="en-GB"/>
              </w:rPr>
              <w:t>Subsidies</w:t>
            </w:r>
          </w:p>
        </w:tc>
        <w:tc>
          <w:tcPr>
            <w:tcW w:w="2306" w:type="pct"/>
            <w:gridSpan w:val="2"/>
          </w:tcPr>
          <w:p w14:paraId="7ADD82C5"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72 </w:t>
            </w:r>
          </w:p>
        </w:tc>
      </w:tr>
      <w:tr w:rsidR="004F2274" w:rsidRPr="0058033D" w14:paraId="73DDADEE" w14:textId="77777777" w:rsidTr="0032596A">
        <w:trPr>
          <w:trHeight w:val="468"/>
        </w:trPr>
        <w:tc>
          <w:tcPr>
            <w:tcW w:w="2694" w:type="pct"/>
            <w:gridSpan w:val="2"/>
            <w:shd w:val="clear" w:color="auto" w:fill="D3DFEE"/>
          </w:tcPr>
          <w:p w14:paraId="4659F03E" w14:textId="6ABFAE08" w:rsidR="004F2274" w:rsidRPr="0058033D" w:rsidRDefault="004F2274" w:rsidP="0032596A">
            <w:pPr>
              <w:tabs>
                <w:tab w:val="left" w:pos="426"/>
              </w:tabs>
              <w:rPr>
                <w:rFonts w:cs="Arial"/>
                <w:bCs/>
                <w:i/>
                <w:color w:val="000000"/>
                <w:sz w:val="16"/>
                <w:lang w:val="en-GB"/>
              </w:rPr>
            </w:pPr>
            <w:r w:rsidRPr="0058033D">
              <w:rPr>
                <w:rFonts w:cs="Arial"/>
                <w:bCs/>
                <w:i/>
                <w:color w:val="000000"/>
                <w:sz w:val="16"/>
                <w:lang w:val="en-GB"/>
              </w:rPr>
              <w:t>incl.</w:t>
            </w:r>
            <w:r w:rsidR="0032596A" w:rsidRPr="0058033D">
              <w:rPr>
                <w:rFonts w:cs="Arial"/>
                <w:bCs/>
                <w:i/>
                <w:color w:val="000000"/>
                <w:sz w:val="16"/>
                <w:lang w:val="en-GB"/>
              </w:rPr>
              <w:tab/>
            </w:r>
            <w:r w:rsidRPr="0058033D">
              <w:rPr>
                <w:rFonts w:cs="Arial"/>
                <w:bCs/>
                <w:i/>
                <w:color w:val="000000"/>
                <w:sz w:val="16"/>
                <w:lang w:val="en-GB"/>
              </w:rPr>
              <w:t>- MIT</w:t>
            </w:r>
          </w:p>
          <w:p w14:paraId="036267C6" w14:textId="388306FF" w:rsidR="004F2274" w:rsidRPr="0058033D" w:rsidRDefault="004F2274" w:rsidP="0032596A">
            <w:pPr>
              <w:tabs>
                <w:tab w:val="left" w:pos="426"/>
              </w:tabs>
              <w:rPr>
                <w:bCs/>
                <w:i/>
                <w:color w:val="1F497D"/>
                <w:sz w:val="16"/>
                <w:lang w:val="en-GB" w:eastAsia="en-US"/>
              </w:rPr>
            </w:pPr>
            <w:r w:rsidRPr="0058033D">
              <w:rPr>
                <w:rFonts w:cs="Arial"/>
                <w:bCs/>
                <w:i/>
                <w:color w:val="000000"/>
                <w:sz w:val="16"/>
                <w:lang w:val="en-GB"/>
              </w:rPr>
              <w:t xml:space="preserve"> </w:t>
            </w:r>
            <w:r w:rsidR="0032596A" w:rsidRPr="0058033D">
              <w:rPr>
                <w:rFonts w:cs="Arial"/>
                <w:bCs/>
                <w:i/>
                <w:color w:val="000000"/>
                <w:sz w:val="16"/>
                <w:lang w:val="en-GB"/>
              </w:rPr>
              <w:tab/>
            </w:r>
            <w:r w:rsidRPr="0058033D">
              <w:rPr>
                <w:rFonts w:cs="Arial"/>
                <w:bCs/>
                <w:i/>
                <w:color w:val="000000"/>
                <w:sz w:val="16"/>
                <w:lang w:val="en-GB"/>
              </w:rPr>
              <w:t>- ICT innovation *</w:t>
            </w:r>
          </w:p>
        </w:tc>
        <w:tc>
          <w:tcPr>
            <w:tcW w:w="2306" w:type="pct"/>
            <w:gridSpan w:val="2"/>
            <w:shd w:val="clear" w:color="auto" w:fill="D3DFEE"/>
          </w:tcPr>
          <w:p w14:paraId="7133C3F5" w14:textId="77777777" w:rsidR="004F2274" w:rsidRPr="0058033D" w:rsidRDefault="004F2274" w:rsidP="00567BCC">
            <w:pPr>
              <w:jc w:val="center"/>
              <w:rPr>
                <w:i/>
                <w:color w:val="365F91"/>
                <w:sz w:val="16"/>
                <w:lang w:val="en-GB" w:eastAsia="en-US"/>
              </w:rPr>
            </w:pPr>
            <w:r w:rsidRPr="0058033D">
              <w:rPr>
                <w:i/>
                <w:color w:val="365F91"/>
                <w:sz w:val="16"/>
                <w:lang w:val="en-GB" w:eastAsia="en-US"/>
              </w:rPr>
              <w:t xml:space="preserve"> 100 </w:t>
            </w:r>
          </w:p>
          <w:p w14:paraId="69F19493" w14:textId="77777777" w:rsidR="004F2274" w:rsidRPr="0058033D" w:rsidRDefault="004F2274" w:rsidP="00567BCC">
            <w:pPr>
              <w:jc w:val="center"/>
              <w:rPr>
                <w:i/>
                <w:color w:val="365F91"/>
                <w:sz w:val="16"/>
                <w:lang w:val="en-GB" w:eastAsia="en-US"/>
              </w:rPr>
            </w:pPr>
            <w:r w:rsidRPr="0058033D">
              <w:rPr>
                <w:i/>
                <w:color w:val="365F91"/>
                <w:sz w:val="16"/>
                <w:lang w:val="en-GB" w:eastAsia="en-US"/>
              </w:rPr>
              <w:t xml:space="preserve"> 70 </w:t>
            </w:r>
          </w:p>
        </w:tc>
      </w:tr>
      <w:tr w:rsidR="004F2274" w:rsidRPr="0058033D" w14:paraId="5B4DFD12" w14:textId="77777777" w:rsidTr="0032596A">
        <w:trPr>
          <w:trHeight w:val="238"/>
        </w:trPr>
        <w:tc>
          <w:tcPr>
            <w:tcW w:w="2694" w:type="pct"/>
            <w:gridSpan w:val="2"/>
          </w:tcPr>
          <w:p w14:paraId="1A667E32" w14:textId="77777777" w:rsidR="004F2274" w:rsidRPr="0058033D" w:rsidRDefault="004F2274" w:rsidP="00A14D20">
            <w:pPr>
              <w:rPr>
                <w:bCs/>
                <w:color w:val="1F497D"/>
                <w:sz w:val="16"/>
                <w:lang w:val="en-GB" w:eastAsia="en-US"/>
              </w:rPr>
            </w:pPr>
            <w:r w:rsidRPr="0058033D">
              <w:rPr>
                <w:rFonts w:cs="Arial"/>
                <w:bCs/>
                <w:color w:val="000000"/>
                <w:sz w:val="16"/>
                <w:lang w:val="en-GB"/>
              </w:rPr>
              <w:t xml:space="preserve">Other </w:t>
            </w:r>
            <w:r w:rsidRPr="0058033D">
              <w:rPr>
                <w:rFonts w:cs="Arial"/>
                <w:bCs/>
                <w:color w:val="000000"/>
                <w:sz w:val="16"/>
                <w:vertAlign w:val="superscript"/>
                <w:lang w:val="en-GB"/>
              </w:rPr>
              <w:t>1</w:t>
            </w:r>
          </w:p>
        </w:tc>
        <w:tc>
          <w:tcPr>
            <w:tcW w:w="2306" w:type="pct"/>
            <w:gridSpan w:val="2"/>
          </w:tcPr>
          <w:p w14:paraId="69040C05"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64 </w:t>
            </w:r>
          </w:p>
        </w:tc>
      </w:tr>
      <w:tr w:rsidR="004F2274" w:rsidRPr="0058033D" w14:paraId="26994BF5" w14:textId="77777777" w:rsidTr="0032596A">
        <w:trPr>
          <w:trHeight w:val="238"/>
        </w:trPr>
        <w:tc>
          <w:tcPr>
            <w:tcW w:w="2694" w:type="pct"/>
            <w:gridSpan w:val="2"/>
            <w:shd w:val="clear" w:color="auto" w:fill="D3DFEE"/>
          </w:tcPr>
          <w:p w14:paraId="59F292E6" w14:textId="77777777" w:rsidR="004F2274" w:rsidRPr="0058033D" w:rsidRDefault="004F2274" w:rsidP="00A14D20">
            <w:pPr>
              <w:rPr>
                <w:rFonts w:cs="Arial"/>
                <w:bCs/>
                <w:color w:val="000000"/>
                <w:sz w:val="16"/>
                <w:lang w:val="en-GB"/>
              </w:rPr>
            </w:pPr>
          </w:p>
        </w:tc>
        <w:tc>
          <w:tcPr>
            <w:tcW w:w="2306" w:type="pct"/>
            <w:gridSpan w:val="2"/>
            <w:shd w:val="clear" w:color="auto" w:fill="D3DFEE"/>
          </w:tcPr>
          <w:p w14:paraId="49FA68F5" w14:textId="77777777" w:rsidR="004F2274" w:rsidRPr="0058033D" w:rsidRDefault="004F2274" w:rsidP="00567BCC">
            <w:pPr>
              <w:jc w:val="center"/>
              <w:rPr>
                <w:color w:val="365F91"/>
                <w:sz w:val="16"/>
                <w:lang w:val="en-GB" w:eastAsia="en-US"/>
              </w:rPr>
            </w:pPr>
          </w:p>
        </w:tc>
      </w:tr>
      <w:tr w:rsidR="004F2274" w:rsidRPr="0058033D" w14:paraId="0756D4F2" w14:textId="77777777" w:rsidTr="0032596A">
        <w:trPr>
          <w:trHeight w:val="238"/>
        </w:trPr>
        <w:tc>
          <w:tcPr>
            <w:tcW w:w="2694" w:type="pct"/>
            <w:gridSpan w:val="2"/>
            <w:tcBorders>
              <w:bottom w:val="single" w:sz="8" w:space="0" w:color="4F81BD"/>
            </w:tcBorders>
          </w:tcPr>
          <w:p w14:paraId="6203BE62" w14:textId="77777777" w:rsidR="004F2274" w:rsidRPr="0058033D" w:rsidRDefault="004F2274" w:rsidP="00A14D20">
            <w:pPr>
              <w:rPr>
                <w:rFonts w:cs="Arial"/>
                <w:bCs/>
                <w:color w:val="000000"/>
                <w:sz w:val="16"/>
                <w:lang w:val="en-GB"/>
              </w:rPr>
            </w:pPr>
            <w:r w:rsidRPr="0058033D">
              <w:rPr>
                <w:rFonts w:cs="Arial"/>
                <w:bCs/>
                <w:color w:val="000000"/>
                <w:sz w:val="16"/>
                <w:lang w:val="en-GB"/>
              </w:rPr>
              <w:t>Total (weighted average)</w:t>
            </w:r>
          </w:p>
        </w:tc>
        <w:tc>
          <w:tcPr>
            <w:tcW w:w="2306" w:type="pct"/>
            <w:gridSpan w:val="2"/>
            <w:tcBorders>
              <w:bottom w:val="single" w:sz="8" w:space="0" w:color="4F81BD"/>
            </w:tcBorders>
          </w:tcPr>
          <w:p w14:paraId="44ABA146" w14:textId="77777777" w:rsidR="004F2274" w:rsidRPr="0058033D" w:rsidRDefault="004F2274" w:rsidP="00567BCC">
            <w:pPr>
              <w:jc w:val="center"/>
              <w:rPr>
                <w:color w:val="365F91"/>
                <w:sz w:val="16"/>
                <w:lang w:val="en-GB" w:eastAsia="en-US"/>
              </w:rPr>
            </w:pPr>
            <w:r w:rsidRPr="0058033D">
              <w:rPr>
                <w:color w:val="365F91"/>
                <w:sz w:val="16"/>
                <w:lang w:val="en-GB" w:eastAsia="en-US"/>
              </w:rPr>
              <w:t xml:space="preserve"> 79</w:t>
            </w:r>
          </w:p>
        </w:tc>
      </w:tr>
    </w:tbl>
    <w:p w14:paraId="29340B93" w14:textId="77777777" w:rsidR="004F2274" w:rsidRPr="0058033D" w:rsidRDefault="004F2274" w:rsidP="00D73C59">
      <w:pPr>
        <w:rPr>
          <w:rFonts w:cs="Arial"/>
          <w:bCs/>
          <w:color w:val="000000"/>
          <w:sz w:val="13"/>
          <w:lang w:val="en-GB"/>
        </w:rPr>
      </w:pPr>
      <w:r w:rsidRPr="0058033D">
        <w:rPr>
          <w:rFonts w:cs="Arial"/>
          <w:bCs/>
          <w:color w:val="000000"/>
          <w:sz w:val="13"/>
          <w:lang w:val="en-GB"/>
        </w:rPr>
        <w:t>1) Consists of budgets for Agencies, contributions to organizations and other direct expenditure.</w:t>
      </w:r>
    </w:p>
    <w:p w14:paraId="4CACE111" w14:textId="11B186F3" w:rsidR="004F2274" w:rsidRPr="0058033D" w:rsidRDefault="00E11039" w:rsidP="00D73C59">
      <w:pPr>
        <w:rPr>
          <w:rFonts w:cs="Arial"/>
          <w:bCs/>
          <w:color w:val="000000"/>
          <w:sz w:val="13"/>
          <w:lang w:val="en-GB"/>
        </w:rPr>
      </w:pPr>
      <w:r w:rsidRPr="0058033D">
        <w:rPr>
          <w:rFonts w:cs="Arial"/>
          <w:bCs/>
          <w:color w:val="000000"/>
          <w:sz w:val="13"/>
          <w:lang w:val="en-GB"/>
        </w:rPr>
        <w:t>*</w:t>
      </w:r>
      <w:r w:rsidR="004F2274" w:rsidRPr="0058033D">
        <w:rPr>
          <w:rFonts w:cs="Arial"/>
          <w:bCs/>
          <w:color w:val="000000"/>
          <w:sz w:val="13"/>
          <w:lang w:val="en-GB"/>
        </w:rPr>
        <w:t xml:space="preserve">estimate. </w:t>
      </w:r>
    </w:p>
    <w:p w14:paraId="1F431AC6" w14:textId="1D6727D1" w:rsidR="004F2274" w:rsidRPr="0058033D" w:rsidRDefault="004F2274" w:rsidP="00D73C59">
      <w:pPr>
        <w:rPr>
          <w:sz w:val="13"/>
          <w:lang w:val="en-GB"/>
        </w:rPr>
      </w:pPr>
      <w:r w:rsidRPr="0058033D">
        <w:rPr>
          <w:rFonts w:cs="Arial"/>
          <w:bCs/>
          <w:color w:val="000000"/>
          <w:sz w:val="13"/>
          <w:lang w:val="en-GB"/>
        </w:rPr>
        <w:t xml:space="preserve">Source: RVO.nl &amp; Dialogic; </w:t>
      </w:r>
      <w:r w:rsidR="00CA4395" w:rsidRPr="0058033D">
        <w:rPr>
          <w:rFonts w:cs="Arial"/>
          <w:bCs/>
          <w:color w:val="000000"/>
          <w:sz w:val="13"/>
          <w:lang w:val="en-GB"/>
        </w:rPr>
        <w:t xml:space="preserve">Ministry of Economic Affairs </w:t>
      </w:r>
      <w:r w:rsidR="00CA4395">
        <w:rPr>
          <w:rFonts w:cs="Arial"/>
          <w:bCs/>
          <w:color w:val="000000"/>
          <w:sz w:val="13"/>
          <w:lang w:val="en-GB"/>
        </w:rPr>
        <w:t>calculations</w:t>
      </w:r>
      <w:r w:rsidRPr="0058033D">
        <w:rPr>
          <w:rFonts w:cs="Arial"/>
          <w:bCs/>
          <w:color w:val="000000"/>
          <w:sz w:val="13"/>
          <w:lang w:val="en-GB"/>
        </w:rPr>
        <w:t xml:space="preserve"> </w:t>
      </w:r>
    </w:p>
    <w:p w14:paraId="6C66F059" w14:textId="77777777" w:rsidR="004F2274" w:rsidRPr="0058033D" w:rsidRDefault="004F2274" w:rsidP="00D73C59">
      <w:pPr>
        <w:rPr>
          <w:color w:val="000000"/>
          <w:lang w:val="en-GB"/>
        </w:rPr>
      </w:pPr>
    </w:p>
    <w:p w14:paraId="441F7F0B" w14:textId="68A67EB5" w:rsidR="004F2274" w:rsidRPr="0058033D" w:rsidRDefault="004F2274" w:rsidP="00D6590D">
      <w:pPr>
        <w:rPr>
          <w:color w:val="000000"/>
          <w:lang w:val="en-GB"/>
        </w:rPr>
      </w:pPr>
      <w:r w:rsidRPr="0058033D">
        <w:rPr>
          <w:color w:val="000000"/>
          <w:lang w:val="en-GB"/>
        </w:rPr>
        <w:t>The analysis in the background study also shows that the policy is largely generic in nature and that small and medium-sized enterprises (SME</w:t>
      </w:r>
      <w:r w:rsidR="008F1238">
        <w:rPr>
          <w:color w:val="000000"/>
          <w:lang w:val="en-GB"/>
        </w:rPr>
        <w:t>s</w:t>
      </w:r>
      <w:r w:rsidRPr="0058033D">
        <w:rPr>
          <w:color w:val="000000"/>
          <w:lang w:val="en-GB"/>
        </w:rPr>
        <w:t>) benefit to a large extent from the policy</w:t>
      </w:r>
      <w:r w:rsidR="00A01AE2" w:rsidRPr="0058033D">
        <w:rPr>
          <w:color w:val="000000"/>
          <w:lang w:val="en-GB"/>
        </w:rPr>
        <w:t xml:space="preserve"> funding</w:t>
      </w:r>
      <w:r w:rsidRPr="0058033D">
        <w:rPr>
          <w:color w:val="000000"/>
          <w:lang w:val="en-GB"/>
        </w:rPr>
        <w:t>. Including the tax facilities</w:t>
      </w:r>
      <w:r w:rsidR="00A01AE2" w:rsidRPr="0058033D">
        <w:rPr>
          <w:color w:val="000000"/>
          <w:lang w:val="en-GB"/>
        </w:rPr>
        <w:t>,</w:t>
      </w:r>
      <w:r w:rsidRPr="0058033D">
        <w:rPr>
          <w:color w:val="000000"/>
          <w:lang w:val="en-GB"/>
        </w:rPr>
        <w:t xml:space="preserve"> roughly three-quarters of the policy funding goes to SMEs. Table 2 summarizes this. The instruments of enterprise policy are, therefore, easily accessible to SMEs and there are also relatively many SME-related policy instruments. Often these </w:t>
      </w:r>
      <w:r w:rsidR="00CA4395" w:rsidRPr="0058033D">
        <w:rPr>
          <w:color w:val="000000"/>
          <w:lang w:val="en-GB"/>
        </w:rPr>
        <w:t xml:space="preserve">instruments </w:t>
      </w:r>
      <w:r w:rsidRPr="0058033D">
        <w:rPr>
          <w:color w:val="000000"/>
          <w:lang w:val="en-GB"/>
        </w:rPr>
        <w:t xml:space="preserve">are </w:t>
      </w:r>
      <w:r w:rsidR="00A01AE2" w:rsidRPr="0058033D">
        <w:rPr>
          <w:color w:val="000000"/>
          <w:lang w:val="en-GB"/>
        </w:rPr>
        <w:t>not focused on SMEs as a whole</w:t>
      </w:r>
      <w:r w:rsidRPr="0058033D">
        <w:rPr>
          <w:color w:val="000000"/>
          <w:lang w:val="en-GB"/>
        </w:rPr>
        <w:t xml:space="preserve"> but</w:t>
      </w:r>
      <w:r w:rsidR="008F1238">
        <w:rPr>
          <w:color w:val="000000"/>
          <w:lang w:val="en-GB"/>
        </w:rPr>
        <w:t>,</w:t>
      </w:r>
      <w:r w:rsidRPr="0058033D">
        <w:rPr>
          <w:color w:val="000000"/>
          <w:lang w:val="en-GB"/>
        </w:rPr>
        <w:t xml:space="preserve"> within SMEs</w:t>
      </w:r>
      <w:r w:rsidR="008F1238">
        <w:rPr>
          <w:color w:val="000000"/>
          <w:lang w:val="en-GB"/>
        </w:rPr>
        <w:t>,</w:t>
      </w:r>
      <w:r w:rsidRPr="0058033D">
        <w:rPr>
          <w:color w:val="000000"/>
          <w:lang w:val="en-GB"/>
        </w:rPr>
        <w:t xml:space="preserve"> </w:t>
      </w:r>
      <w:r w:rsidR="00A01AE2" w:rsidRPr="0058033D">
        <w:rPr>
          <w:color w:val="000000"/>
          <w:lang w:val="en-GB"/>
        </w:rPr>
        <w:t xml:space="preserve">the target group varies </w:t>
      </w:r>
      <w:r w:rsidRPr="0058033D">
        <w:rPr>
          <w:color w:val="000000"/>
          <w:lang w:val="en-GB"/>
        </w:rPr>
        <w:t xml:space="preserve">by type of business and </w:t>
      </w:r>
      <w:r w:rsidR="008F1238">
        <w:rPr>
          <w:color w:val="000000"/>
          <w:lang w:val="en-GB"/>
        </w:rPr>
        <w:t xml:space="preserve">has </w:t>
      </w:r>
      <w:r w:rsidRPr="0058033D">
        <w:rPr>
          <w:color w:val="000000"/>
          <w:lang w:val="en-GB"/>
        </w:rPr>
        <w:t>a wide range of issues. The SME target groups include sole traders, family businesses, starters, growers, innovative SMEs, multi-national SMEs and knowledge</w:t>
      </w:r>
      <w:r w:rsidR="00A01AE2" w:rsidRPr="0058033D">
        <w:rPr>
          <w:color w:val="000000"/>
          <w:lang w:val="en-GB"/>
        </w:rPr>
        <w:t>-</w:t>
      </w:r>
      <w:r w:rsidRPr="0058033D">
        <w:rPr>
          <w:color w:val="000000"/>
          <w:lang w:val="en-GB"/>
        </w:rPr>
        <w:t xml:space="preserve">intensive R&amp;D enterprises. </w:t>
      </w:r>
      <w:r w:rsidR="008F1238">
        <w:rPr>
          <w:color w:val="000000"/>
          <w:lang w:val="en-GB"/>
        </w:rPr>
        <w:t>SMEs</w:t>
      </w:r>
      <w:r w:rsidRPr="0058033D">
        <w:rPr>
          <w:color w:val="000000"/>
          <w:lang w:val="en-GB"/>
        </w:rPr>
        <w:t xml:space="preserve"> consist of a range of business and so, therefore, does the instrument mix. </w:t>
      </w:r>
    </w:p>
    <w:p w14:paraId="07599474" w14:textId="77777777" w:rsidR="004F2274" w:rsidRPr="0058033D" w:rsidRDefault="004F2274" w:rsidP="00D73C59">
      <w:pPr>
        <w:rPr>
          <w:color w:val="000000"/>
          <w:lang w:val="en-GB"/>
        </w:rPr>
      </w:pPr>
    </w:p>
    <w:p w14:paraId="12A0D63F" w14:textId="02DED38C" w:rsidR="004F2274" w:rsidRPr="0058033D" w:rsidRDefault="004F2274" w:rsidP="00D73C59">
      <w:pPr>
        <w:rPr>
          <w:color w:val="000000"/>
          <w:lang w:val="en-GB"/>
        </w:rPr>
      </w:pPr>
      <w:r w:rsidRPr="0058033D">
        <w:rPr>
          <w:color w:val="000000"/>
          <w:lang w:val="en-GB"/>
        </w:rPr>
        <w:t xml:space="preserve">Although the specific </w:t>
      </w:r>
      <w:r w:rsidR="008F1238">
        <w:rPr>
          <w:color w:val="000000"/>
          <w:lang w:val="en-GB"/>
        </w:rPr>
        <w:t>route</w:t>
      </w:r>
      <w:r w:rsidRPr="0058033D">
        <w:rPr>
          <w:color w:val="000000"/>
          <w:lang w:val="en-GB"/>
        </w:rPr>
        <w:t xml:space="preserve"> of enterprise policy has received a lot of attention in public debate, in budgetary terms it is of modest size. The background study notes that policy has become more generic in the period. It should be noted, however, that the specific policy </w:t>
      </w:r>
      <w:r w:rsidR="00A01AE2" w:rsidRPr="0058033D">
        <w:rPr>
          <w:color w:val="000000"/>
          <w:lang w:val="en-GB"/>
        </w:rPr>
        <w:t>is</w:t>
      </w:r>
      <w:r w:rsidRPr="0058033D">
        <w:rPr>
          <w:color w:val="000000"/>
          <w:lang w:val="en-GB"/>
        </w:rPr>
        <w:t xml:space="preserve"> characterized mainly by the use of non-financial policy interventions (as described above</w:t>
      </w:r>
      <w:r w:rsidR="00A01AE2" w:rsidRPr="0058033D">
        <w:rPr>
          <w:color w:val="000000"/>
          <w:lang w:val="en-GB"/>
        </w:rPr>
        <w:t>)</w:t>
      </w:r>
      <w:r w:rsidRPr="0058033D">
        <w:rPr>
          <w:color w:val="000000"/>
          <w:lang w:val="en-GB"/>
        </w:rPr>
        <w:t xml:space="preserve"> that inevitably receive only limited attention in the background study.</w:t>
      </w:r>
    </w:p>
    <w:p w14:paraId="3F47F9E4" w14:textId="77777777" w:rsidR="004F2274" w:rsidRPr="0058033D" w:rsidRDefault="004F2274" w:rsidP="00D73C59">
      <w:pPr>
        <w:rPr>
          <w:i/>
          <w:color w:val="1F497D"/>
          <w:lang w:val="en-GB"/>
        </w:rPr>
      </w:pPr>
    </w:p>
    <w:p w14:paraId="474A72D9" w14:textId="77777777" w:rsidR="004F2274" w:rsidRPr="0058033D" w:rsidRDefault="004F2274" w:rsidP="00D73C59">
      <w:pPr>
        <w:rPr>
          <w:i/>
          <w:lang w:val="en-GB"/>
        </w:rPr>
      </w:pPr>
      <w:r w:rsidRPr="0058033D">
        <w:rPr>
          <w:i/>
          <w:lang w:val="en-GB"/>
        </w:rPr>
        <w:t>Effectiveness of the policy mix</w:t>
      </w:r>
    </w:p>
    <w:p w14:paraId="0E24D291" w14:textId="0CECD299" w:rsidR="004F2274" w:rsidRPr="0058033D" w:rsidRDefault="004F2274" w:rsidP="00D73C59">
      <w:pPr>
        <w:rPr>
          <w:lang w:val="en-GB"/>
        </w:rPr>
      </w:pPr>
      <w:r w:rsidRPr="0058033D">
        <w:rPr>
          <w:lang w:val="en-GB"/>
        </w:rPr>
        <w:t xml:space="preserve">The background study notes from the available evaluations that the regulations </w:t>
      </w:r>
      <w:r w:rsidR="00CA4395">
        <w:rPr>
          <w:lang w:val="en-GB"/>
        </w:rPr>
        <w:t xml:space="preserve">for </w:t>
      </w:r>
      <w:r w:rsidRPr="0058033D">
        <w:rPr>
          <w:lang w:val="en-GB"/>
        </w:rPr>
        <w:t xml:space="preserve">promoting R&amp;D and innovation and the few capital market interventions have been shown to be effective. Substantial additional effects of the policy have been established for the tax incentives for innovation (WBSO) and for innovation credits. </w:t>
      </w:r>
      <w:r w:rsidR="00C6623F" w:rsidRPr="0058033D">
        <w:rPr>
          <w:lang w:val="en-GB"/>
        </w:rPr>
        <w:t>A comparative i</w:t>
      </w:r>
      <w:r w:rsidRPr="0058033D">
        <w:rPr>
          <w:lang w:val="en-GB"/>
        </w:rPr>
        <w:t xml:space="preserve">nternational </w:t>
      </w:r>
      <w:r w:rsidR="00C6623F" w:rsidRPr="0058033D">
        <w:rPr>
          <w:lang w:val="en-GB"/>
        </w:rPr>
        <w:t>study</w:t>
      </w:r>
      <w:r w:rsidRPr="0058033D">
        <w:rPr>
          <w:lang w:val="en-GB"/>
        </w:rPr>
        <w:t xml:space="preserve"> recently made by the Netherlands Bureau for Economic Policy Analysis (CPB) for the EC also show</w:t>
      </w:r>
      <w:r w:rsidR="00C6623F" w:rsidRPr="0058033D">
        <w:rPr>
          <w:lang w:val="en-GB"/>
        </w:rPr>
        <w:t>s</w:t>
      </w:r>
      <w:r w:rsidRPr="0058033D">
        <w:rPr>
          <w:lang w:val="en-GB"/>
        </w:rPr>
        <w:t xml:space="preserve"> that R&amp;D tax incentives attract additional private R&amp;D investment and are effective, although the estimates vary.</w:t>
      </w:r>
      <w:r w:rsidRPr="0058033D">
        <w:rPr>
          <w:rStyle w:val="Voetnootmarkering"/>
          <w:lang w:val="en-GB"/>
        </w:rPr>
        <w:footnoteReference w:id="11"/>
      </w:r>
      <w:r w:rsidRPr="0058033D">
        <w:rPr>
          <w:lang w:val="en-GB"/>
        </w:rPr>
        <w:t xml:space="preserve"> This international benchmark also shows that encouraging investment in research and development work (as done by the WBSO and RDA) seems more effectiv</w:t>
      </w:r>
      <w:r w:rsidR="00CA4395">
        <w:rPr>
          <w:lang w:val="en-GB"/>
        </w:rPr>
        <w:t xml:space="preserve">e than offering a cut in </w:t>
      </w:r>
      <w:r w:rsidRPr="0058033D">
        <w:rPr>
          <w:lang w:val="en-GB"/>
        </w:rPr>
        <w:t xml:space="preserve">taxes </w:t>
      </w:r>
      <w:r w:rsidR="00CA4395">
        <w:rPr>
          <w:lang w:val="en-GB"/>
        </w:rPr>
        <w:t>on profits</w:t>
      </w:r>
      <w:r w:rsidR="00CA4395" w:rsidRPr="0058033D">
        <w:rPr>
          <w:lang w:val="en-GB"/>
        </w:rPr>
        <w:t xml:space="preserve"> </w:t>
      </w:r>
      <w:r w:rsidRPr="0058033D">
        <w:rPr>
          <w:lang w:val="en-GB"/>
        </w:rPr>
        <w:t>(as in the Innovation Box). This is because it has been shown that instrument</w:t>
      </w:r>
      <w:r w:rsidR="00C6623F" w:rsidRPr="0058033D">
        <w:rPr>
          <w:lang w:val="en-GB"/>
        </w:rPr>
        <w:t>s</w:t>
      </w:r>
      <w:r w:rsidRPr="0058033D">
        <w:rPr>
          <w:lang w:val="en-GB"/>
        </w:rPr>
        <w:t xml:space="preserve"> such as the WBSO act</w:t>
      </w:r>
      <w:r w:rsidR="00C6623F" w:rsidRPr="0058033D">
        <w:rPr>
          <w:lang w:val="en-GB"/>
        </w:rPr>
        <w:t>ually lead</w:t>
      </w:r>
      <w:r w:rsidRPr="0058033D">
        <w:rPr>
          <w:lang w:val="en-GB"/>
        </w:rPr>
        <w:t xml:space="preserve"> to additional investment in knowledge. Th</w:t>
      </w:r>
      <w:r w:rsidR="00C6623F" w:rsidRPr="0058033D">
        <w:rPr>
          <w:lang w:val="en-GB"/>
        </w:rPr>
        <w:t xml:space="preserve">e effect of </w:t>
      </w:r>
      <w:r w:rsidRPr="0058033D">
        <w:rPr>
          <w:lang w:val="en-GB"/>
        </w:rPr>
        <w:t>the Innovation Box</w:t>
      </w:r>
      <w:r w:rsidR="00C6623F" w:rsidRPr="0058033D">
        <w:rPr>
          <w:lang w:val="en-GB"/>
        </w:rPr>
        <w:t xml:space="preserve"> is not yet known</w:t>
      </w:r>
      <w:r w:rsidRPr="0058033D">
        <w:rPr>
          <w:lang w:val="en-GB"/>
        </w:rPr>
        <w:t xml:space="preserve">, as the instrument has not yet been evaluated; the Ministry of Finance plans an evaluation this year. </w:t>
      </w:r>
    </w:p>
    <w:p w14:paraId="35AEAF16" w14:textId="77777777" w:rsidR="004F2274" w:rsidRPr="0058033D" w:rsidRDefault="004F2274" w:rsidP="00D73C59">
      <w:pPr>
        <w:rPr>
          <w:lang w:val="en-GB"/>
        </w:rPr>
      </w:pPr>
    </w:p>
    <w:p w14:paraId="097FB17E" w14:textId="3E042D81" w:rsidR="004F2274" w:rsidRPr="0058033D" w:rsidRDefault="004F2274" w:rsidP="00D73C59">
      <w:pPr>
        <w:rPr>
          <w:lang w:val="en-GB"/>
        </w:rPr>
      </w:pPr>
      <w:r w:rsidRPr="0058033D">
        <w:rPr>
          <w:lang w:val="en-GB"/>
        </w:rPr>
        <w:t xml:space="preserve">The background study concludes that measures addressing knowledge transfer between research institutions and enterprises, a key objective of the policy and a significant </w:t>
      </w:r>
      <w:r w:rsidR="00667F66" w:rsidRPr="0058033D">
        <w:rPr>
          <w:lang w:val="en-GB"/>
        </w:rPr>
        <w:t>way</w:t>
      </w:r>
      <w:r w:rsidRPr="0058033D">
        <w:rPr>
          <w:lang w:val="en-GB"/>
        </w:rPr>
        <w:t xml:space="preserve"> to create innovation, achieve additional</w:t>
      </w:r>
      <w:r w:rsidR="00022C8A" w:rsidRPr="0058033D">
        <w:rPr>
          <w:lang w:val="en-GB"/>
        </w:rPr>
        <w:t>it</w:t>
      </w:r>
      <w:r w:rsidRPr="0058033D">
        <w:rPr>
          <w:lang w:val="en-GB"/>
        </w:rPr>
        <w:t xml:space="preserve">y to a greater or lesser extent. In other words, the target group acts as intended but would not have done so or would have done so less without the spur of policy. The instruments that focus explicitly on this (such as STW) are reasonably successful. For methodological reasons, the analyses of all evaluations in this area are limited to the </w:t>
      </w:r>
      <w:r w:rsidR="00480D7E" w:rsidRPr="0058033D">
        <w:rPr>
          <w:lang w:val="en-GB"/>
        </w:rPr>
        <w:t>policy</w:t>
      </w:r>
      <w:r w:rsidR="00480D7E">
        <w:rPr>
          <w:lang w:val="en-GB"/>
        </w:rPr>
        <w:t>’s</w:t>
      </w:r>
      <w:r w:rsidR="00480D7E" w:rsidRPr="0058033D">
        <w:rPr>
          <w:lang w:val="en-GB"/>
        </w:rPr>
        <w:t xml:space="preserve"> </w:t>
      </w:r>
      <w:r w:rsidRPr="0058033D">
        <w:rPr>
          <w:lang w:val="en-GB"/>
        </w:rPr>
        <w:t>first order effects (direct output of the policy intervention, such as the number of participating enterprises and the amount of R&amp;D</w:t>
      </w:r>
      <w:r w:rsidR="00022C8A" w:rsidRPr="0058033D">
        <w:rPr>
          <w:lang w:val="en-GB"/>
        </w:rPr>
        <w:t xml:space="preserve"> supported</w:t>
      </w:r>
      <w:r w:rsidRPr="0058033D">
        <w:rPr>
          <w:lang w:val="en-GB"/>
        </w:rPr>
        <w:t xml:space="preserve">), since </w:t>
      </w:r>
      <w:r w:rsidR="00022C8A" w:rsidRPr="0058033D">
        <w:rPr>
          <w:lang w:val="en-GB"/>
        </w:rPr>
        <w:t xml:space="preserve">it is difficult to establish </w:t>
      </w:r>
      <w:r w:rsidRPr="0058033D">
        <w:rPr>
          <w:lang w:val="en-GB"/>
        </w:rPr>
        <w:t>higher order effects (for example, on productivity growth) from research. All in all, the background study notes that the legitimacy, economic rational</w:t>
      </w:r>
      <w:r w:rsidR="00480D7E">
        <w:rPr>
          <w:lang w:val="en-GB"/>
        </w:rPr>
        <w:t>e</w:t>
      </w:r>
      <w:r w:rsidRPr="0058033D">
        <w:rPr>
          <w:lang w:val="en-GB"/>
        </w:rPr>
        <w:t xml:space="preserve"> and effectiveness of the policy mix in promoting innovation is in order. </w:t>
      </w:r>
    </w:p>
    <w:p w14:paraId="02C8E1BB" w14:textId="77777777" w:rsidR="004F2274" w:rsidRPr="0058033D" w:rsidRDefault="004F2274" w:rsidP="00D73C59">
      <w:pPr>
        <w:rPr>
          <w:lang w:val="en-GB"/>
        </w:rPr>
      </w:pPr>
    </w:p>
    <w:p w14:paraId="6F8863D3" w14:textId="0C7E44E6" w:rsidR="004F2274" w:rsidRPr="0058033D" w:rsidRDefault="004F2274" w:rsidP="00D73C59">
      <w:pPr>
        <w:rPr>
          <w:lang w:val="en-GB"/>
        </w:rPr>
      </w:pPr>
      <w:r w:rsidRPr="0058033D">
        <w:rPr>
          <w:lang w:val="en-GB"/>
        </w:rPr>
        <w:t xml:space="preserve">According to the background study, the part of the policy mix </w:t>
      </w:r>
      <w:r w:rsidR="00133286" w:rsidRPr="0058033D">
        <w:rPr>
          <w:lang w:val="en-GB"/>
        </w:rPr>
        <w:t>designed</w:t>
      </w:r>
      <w:r w:rsidRPr="0058033D">
        <w:rPr>
          <w:lang w:val="en-GB"/>
        </w:rPr>
        <w:t xml:space="preserve"> to increase access to capital market financing (with guarantees and credit facilities) also succeeds in achieving additionality at the supported enterprises. Enterprises </w:t>
      </w:r>
      <w:r w:rsidR="001579C6">
        <w:rPr>
          <w:lang w:val="en-GB"/>
        </w:rPr>
        <w:t>attract</w:t>
      </w:r>
      <w:r w:rsidRPr="0058033D">
        <w:rPr>
          <w:lang w:val="en-GB"/>
        </w:rPr>
        <w:t xml:space="preserve"> additional financing for their business activities on the capita</w:t>
      </w:r>
      <w:r w:rsidR="00133286" w:rsidRPr="0058033D">
        <w:rPr>
          <w:lang w:val="en-GB"/>
        </w:rPr>
        <w:t>l market</w:t>
      </w:r>
      <w:r w:rsidRPr="0058033D">
        <w:rPr>
          <w:lang w:val="en-GB"/>
        </w:rPr>
        <w:t xml:space="preserve"> which would not have been </w:t>
      </w:r>
      <w:r w:rsidR="001579C6">
        <w:rPr>
          <w:lang w:val="en-GB"/>
        </w:rPr>
        <w:t>obtained</w:t>
      </w:r>
      <w:r w:rsidRPr="0058033D">
        <w:rPr>
          <w:lang w:val="en-GB"/>
        </w:rPr>
        <w:t xml:space="preserve"> without government support. The background study concludes that the package of measures to support demand for financing of enterprises across the board, especially the elements for SMEs and starters, is in good shape and assists enterprises is attracting additional financing from banks and other private </w:t>
      </w:r>
      <w:r w:rsidR="00480D7E">
        <w:rPr>
          <w:lang w:val="en-GB"/>
        </w:rPr>
        <w:t>sources</w:t>
      </w:r>
      <w:r w:rsidRPr="0058033D">
        <w:rPr>
          <w:lang w:val="en-GB"/>
        </w:rPr>
        <w:t>.</w:t>
      </w:r>
    </w:p>
    <w:p w14:paraId="5E6A8BE4" w14:textId="77777777" w:rsidR="004F2274" w:rsidRPr="0058033D" w:rsidRDefault="004F2274" w:rsidP="00D73C59">
      <w:pPr>
        <w:rPr>
          <w:lang w:val="en-GB"/>
        </w:rPr>
      </w:pPr>
    </w:p>
    <w:p w14:paraId="38858C82" w14:textId="33F903E6" w:rsidR="004F2274" w:rsidRPr="0058033D" w:rsidRDefault="004F2274" w:rsidP="00D73C59">
      <w:pPr>
        <w:rPr>
          <w:lang w:val="en-GB"/>
        </w:rPr>
      </w:pPr>
      <w:r w:rsidRPr="0058033D">
        <w:rPr>
          <w:lang w:val="en-GB"/>
        </w:rPr>
        <w:t xml:space="preserve">Little is known about the additionality </w:t>
      </w:r>
      <w:r w:rsidR="00133286" w:rsidRPr="0058033D">
        <w:rPr>
          <w:lang w:val="en-GB"/>
        </w:rPr>
        <w:t>from</w:t>
      </w:r>
      <w:r w:rsidRPr="0058033D">
        <w:rPr>
          <w:lang w:val="en-GB"/>
        </w:rPr>
        <w:t xml:space="preserve"> the fiscal policy focusing on promoting enterprise. The background study notes that additionality seems likely in some areas (such as ‘corporate governance’ and the ‘transparency benchmark’) but not in the area of tax incentives to businesses and negative additionality has actually been observed in </w:t>
      </w:r>
      <w:r w:rsidR="00133286" w:rsidRPr="0058033D">
        <w:rPr>
          <w:lang w:val="en-GB"/>
        </w:rPr>
        <w:t>one case</w:t>
      </w:r>
      <w:r w:rsidRPr="0058033D">
        <w:rPr>
          <w:lang w:val="en-GB"/>
        </w:rPr>
        <w:t xml:space="preserve"> (the co-workin</w:t>
      </w:r>
      <w:r w:rsidR="00133286" w:rsidRPr="0058033D">
        <w:rPr>
          <w:lang w:val="en-GB"/>
        </w:rPr>
        <w:t>g partner’s relief for the self-</w:t>
      </w:r>
      <w:r w:rsidRPr="0058033D">
        <w:rPr>
          <w:lang w:val="en-GB"/>
        </w:rPr>
        <w:t xml:space="preserve">employed). </w:t>
      </w:r>
      <w:r w:rsidR="00133286" w:rsidRPr="0058033D">
        <w:rPr>
          <w:lang w:val="en-GB"/>
        </w:rPr>
        <w:t>The background study notes that it is uncertain and doubtful whether all o</w:t>
      </w:r>
      <w:r w:rsidRPr="0058033D">
        <w:rPr>
          <w:lang w:val="en-GB"/>
        </w:rPr>
        <w:t xml:space="preserve">f the major tax incentives to businesses (some €4.5 billion in 2014) contribute to the objectives of the enterprise policy (promoting innovation and enterprise); these are mainly the tax facilities for </w:t>
      </w:r>
      <w:r w:rsidR="00133286" w:rsidRPr="0058033D">
        <w:rPr>
          <w:lang w:val="en-GB"/>
        </w:rPr>
        <w:t xml:space="preserve">the </w:t>
      </w:r>
      <w:r w:rsidRPr="0058033D">
        <w:rPr>
          <w:lang w:val="en-GB"/>
        </w:rPr>
        <w:t xml:space="preserve">self-employed and the low VAT rate </w:t>
      </w:r>
      <w:r w:rsidR="004C6C06">
        <w:rPr>
          <w:lang w:val="en-GB"/>
        </w:rPr>
        <w:t>on</w:t>
      </w:r>
      <w:r w:rsidRPr="0058033D">
        <w:rPr>
          <w:lang w:val="en-GB"/>
        </w:rPr>
        <w:t xml:space="preserve"> food in the hospitality industry and accommodation (see annexe 2). The Income Tax and Benefits Committee (</w:t>
      </w:r>
      <w:r w:rsidRPr="003F022A">
        <w:rPr>
          <w:i/>
          <w:lang w:val="en-GB"/>
        </w:rPr>
        <w:t xml:space="preserve">Commissie </w:t>
      </w:r>
      <w:r w:rsidR="003F022A" w:rsidRPr="003F022A">
        <w:rPr>
          <w:i/>
          <w:lang w:val="en-GB"/>
        </w:rPr>
        <w:t>Van</w:t>
      </w:r>
      <w:r w:rsidRPr="003F022A">
        <w:rPr>
          <w:i/>
          <w:lang w:val="en-GB"/>
        </w:rPr>
        <w:t xml:space="preserve"> Dijkhuizen</w:t>
      </w:r>
      <w:r w:rsidRPr="003F022A">
        <w:rPr>
          <w:lang w:val="en-GB"/>
        </w:rPr>
        <w:t xml:space="preserve">) had previously noted that the </w:t>
      </w:r>
      <w:r w:rsidR="00133286" w:rsidRPr="003F022A">
        <w:rPr>
          <w:lang w:val="en-GB"/>
        </w:rPr>
        <w:t>former</w:t>
      </w:r>
      <w:r w:rsidRPr="003F022A">
        <w:rPr>
          <w:lang w:val="en-GB"/>
        </w:rPr>
        <w:t xml:space="preserve"> (including the self-employed individuals allowance) created some stimulus in the sense that it encouraged enterprise</w:t>
      </w:r>
      <w:r w:rsidRPr="0058033D">
        <w:rPr>
          <w:lang w:val="en-GB"/>
        </w:rPr>
        <w:t xml:space="preserve"> – as seen in the growing number of self-employed people (with or without staff) </w:t>
      </w:r>
      <w:r w:rsidR="004C6C06" w:rsidRPr="0058033D">
        <w:rPr>
          <w:lang w:val="en-GB"/>
        </w:rPr>
        <w:t>–</w:t>
      </w:r>
      <w:r w:rsidRPr="0058033D">
        <w:rPr>
          <w:lang w:val="en-GB"/>
        </w:rPr>
        <w:t xml:space="preserve"> but that it was doubtful whether these facilities encouraged businesses to grow. </w:t>
      </w:r>
      <w:r w:rsidR="00133286" w:rsidRPr="0058033D">
        <w:rPr>
          <w:lang w:val="en-GB"/>
        </w:rPr>
        <w:t xml:space="preserve">This </w:t>
      </w:r>
      <w:r w:rsidRPr="0058033D">
        <w:rPr>
          <w:lang w:val="en-GB"/>
        </w:rPr>
        <w:t>is needed to achieve productivity growth. The low VAT rate is meant (in line with EU legislation) as financial encouragement for relatively labour</w:t>
      </w:r>
      <w:r w:rsidR="004C6C06">
        <w:rPr>
          <w:lang w:val="en-GB"/>
        </w:rPr>
        <w:t>-</w:t>
      </w:r>
      <w:r w:rsidRPr="0058033D">
        <w:rPr>
          <w:lang w:val="en-GB"/>
        </w:rPr>
        <w:t>intensive (but knowledge</w:t>
      </w:r>
      <w:r w:rsidR="004C6C06">
        <w:rPr>
          <w:lang w:val="en-GB"/>
        </w:rPr>
        <w:t>-</w:t>
      </w:r>
      <w:r w:rsidRPr="0058033D">
        <w:rPr>
          <w:lang w:val="en-GB"/>
        </w:rPr>
        <w:t xml:space="preserve">extensive) sectors, such as hospitality. </w:t>
      </w:r>
    </w:p>
    <w:p w14:paraId="766C3988" w14:textId="77777777" w:rsidR="004F2274" w:rsidRPr="0058033D" w:rsidRDefault="004F2274" w:rsidP="00D73C59">
      <w:pPr>
        <w:rPr>
          <w:lang w:val="en-GB"/>
        </w:rPr>
      </w:pPr>
    </w:p>
    <w:p w14:paraId="30E7FC3C" w14:textId="2FDCED77" w:rsidR="004F2274" w:rsidRPr="0058033D" w:rsidRDefault="004F2274" w:rsidP="00D73C59">
      <w:pPr>
        <w:rPr>
          <w:lang w:val="en-GB"/>
        </w:rPr>
      </w:pPr>
      <w:r w:rsidRPr="0058033D">
        <w:rPr>
          <w:lang w:val="en-GB"/>
        </w:rPr>
        <w:t xml:space="preserve">Very little evaluation research has been done into the parts of policy focusing on human capital or </w:t>
      </w:r>
      <w:r w:rsidR="00D738F7" w:rsidRPr="0058033D">
        <w:rPr>
          <w:lang w:val="en-GB"/>
        </w:rPr>
        <w:t xml:space="preserve">on </w:t>
      </w:r>
      <w:r w:rsidRPr="0058033D">
        <w:rPr>
          <w:lang w:val="en-GB"/>
        </w:rPr>
        <w:t>sustainable use of materials and energy. Often no mo</w:t>
      </w:r>
      <w:r w:rsidR="008F1238">
        <w:rPr>
          <w:lang w:val="en-GB"/>
        </w:rPr>
        <w:t>re is done than progress reporting</w:t>
      </w:r>
      <w:r w:rsidRPr="0058033D">
        <w:rPr>
          <w:lang w:val="en-GB"/>
        </w:rPr>
        <w:t xml:space="preserve"> and monitoring of developments. This is because the effects will only become clear over time (human capital) or because no measuring systems </w:t>
      </w:r>
      <w:r w:rsidR="008F1238">
        <w:rPr>
          <w:lang w:val="en-GB"/>
        </w:rPr>
        <w:t xml:space="preserve">are </w:t>
      </w:r>
      <w:r w:rsidR="008F1238" w:rsidRPr="0058033D">
        <w:rPr>
          <w:lang w:val="en-GB"/>
        </w:rPr>
        <w:t xml:space="preserve">available </w:t>
      </w:r>
      <w:r w:rsidRPr="0058033D">
        <w:rPr>
          <w:lang w:val="en-GB"/>
        </w:rPr>
        <w:t xml:space="preserve">(BBE and Green Deals). There are few empirical facts available on the additional effects </w:t>
      </w:r>
      <w:r w:rsidR="00D738F7" w:rsidRPr="0058033D">
        <w:rPr>
          <w:lang w:val="en-GB"/>
        </w:rPr>
        <w:t>on</w:t>
      </w:r>
      <w:r w:rsidRPr="0058033D">
        <w:rPr>
          <w:lang w:val="en-GB"/>
        </w:rPr>
        <w:t xml:space="preserve"> human capital, such as </w:t>
      </w:r>
      <w:r w:rsidR="004C6C06">
        <w:rPr>
          <w:lang w:val="en-GB"/>
        </w:rPr>
        <w:t>increased</w:t>
      </w:r>
      <w:r w:rsidRPr="0058033D">
        <w:rPr>
          <w:lang w:val="en-GB"/>
        </w:rPr>
        <w:t xml:space="preserve"> enrolment for technical studies in higher education, although the background study states that they seem to be positive. According to the background study, the effectiveness of this pillar is difficult to measure as </w:t>
      </w:r>
      <w:r w:rsidR="00D738F7" w:rsidRPr="0058033D">
        <w:rPr>
          <w:lang w:val="en-GB"/>
        </w:rPr>
        <w:t xml:space="preserve">the </w:t>
      </w:r>
      <w:r w:rsidRPr="0058033D">
        <w:rPr>
          <w:lang w:val="en-GB"/>
        </w:rPr>
        <w:t xml:space="preserve">effects </w:t>
      </w:r>
      <w:r w:rsidR="00D738F7" w:rsidRPr="0058033D">
        <w:rPr>
          <w:lang w:val="en-GB"/>
        </w:rPr>
        <w:t xml:space="preserve">are long term </w:t>
      </w:r>
      <w:r w:rsidRPr="0058033D">
        <w:rPr>
          <w:lang w:val="en-GB"/>
        </w:rPr>
        <w:t xml:space="preserve">(education and labour market) and the ‘soft’ objectives (co-operation, image) are difficult to quantify. There are almost no hard evaluations of the part of enterprise policy that focuses on sustainable use of materials and energy (BBE, Green Deals) and reports </w:t>
      </w:r>
      <w:r w:rsidR="008F1238">
        <w:rPr>
          <w:lang w:val="en-GB"/>
        </w:rPr>
        <w:t>of</w:t>
      </w:r>
      <w:r w:rsidRPr="0058033D">
        <w:rPr>
          <w:lang w:val="en-GB"/>
        </w:rPr>
        <w:t xml:space="preserve"> progress on policy</w:t>
      </w:r>
      <w:r w:rsidR="00D738F7" w:rsidRPr="0058033D">
        <w:rPr>
          <w:lang w:val="en-GB"/>
        </w:rPr>
        <w:t xml:space="preserve"> have been used</w:t>
      </w:r>
      <w:r w:rsidRPr="0058033D">
        <w:rPr>
          <w:lang w:val="en-GB"/>
        </w:rPr>
        <w:t xml:space="preserve">. The progress report </w:t>
      </w:r>
      <w:r w:rsidR="008F1238">
        <w:rPr>
          <w:lang w:val="en-GB"/>
        </w:rPr>
        <w:t>states</w:t>
      </w:r>
      <w:r w:rsidRPr="0058033D">
        <w:rPr>
          <w:lang w:val="en-GB"/>
        </w:rPr>
        <w:t xml:space="preserve"> that some additionality has been noted for the Green Deals; thanks to this approach almost 70% of the 151 initiatives were </w:t>
      </w:r>
      <w:r w:rsidR="0058033D" w:rsidRPr="0058033D">
        <w:rPr>
          <w:lang w:val="en-GB"/>
        </w:rPr>
        <w:t>accelerated</w:t>
      </w:r>
      <w:r w:rsidR="00887C23" w:rsidRPr="0058033D">
        <w:rPr>
          <w:lang w:val="en-GB"/>
        </w:rPr>
        <w:t xml:space="preserve"> or </w:t>
      </w:r>
      <w:r w:rsidR="004C6C06">
        <w:rPr>
          <w:lang w:val="en-GB"/>
        </w:rPr>
        <w:t>supplemental</w:t>
      </w:r>
      <w:r w:rsidRPr="0058033D">
        <w:rPr>
          <w:lang w:val="en-GB"/>
        </w:rPr>
        <w:t xml:space="preserve">, but </w:t>
      </w:r>
      <w:r w:rsidR="00C90E01" w:rsidRPr="0058033D">
        <w:rPr>
          <w:lang w:val="en-GB"/>
        </w:rPr>
        <w:t xml:space="preserve">the effects </w:t>
      </w:r>
      <w:r w:rsidRPr="0058033D">
        <w:rPr>
          <w:lang w:val="en-GB"/>
        </w:rPr>
        <w:t xml:space="preserve">on greening the economy are not known. The extent of additionality of the BBE programme </w:t>
      </w:r>
      <w:r w:rsidR="004C6C06">
        <w:rPr>
          <w:lang w:val="en-GB"/>
        </w:rPr>
        <w:t>was</w:t>
      </w:r>
      <w:r w:rsidRPr="0058033D">
        <w:rPr>
          <w:lang w:val="en-GB"/>
        </w:rPr>
        <w:t xml:space="preserve"> not established in the evaluation.</w:t>
      </w:r>
    </w:p>
    <w:p w14:paraId="4EC45DF1" w14:textId="77777777" w:rsidR="004F2274" w:rsidRPr="0058033D" w:rsidRDefault="004F2274" w:rsidP="00D73C59">
      <w:pPr>
        <w:rPr>
          <w:i/>
          <w:lang w:val="en-GB"/>
        </w:rPr>
      </w:pPr>
    </w:p>
    <w:p w14:paraId="5E54BFB7" w14:textId="77777777" w:rsidR="004F2274" w:rsidRPr="0058033D" w:rsidRDefault="004F2274" w:rsidP="00D73C59">
      <w:pPr>
        <w:rPr>
          <w:i/>
          <w:lang w:val="en-GB"/>
        </w:rPr>
      </w:pPr>
      <w:r w:rsidRPr="0058033D">
        <w:rPr>
          <w:i/>
          <w:lang w:val="en-GB"/>
        </w:rPr>
        <w:t>Efficiency</w:t>
      </w:r>
    </w:p>
    <w:p w14:paraId="744BAF29" w14:textId="498EC020" w:rsidR="004F2274" w:rsidRPr="0058033D" w:rsidRDefault="00F958FE" w:rsidP="00D73C59">
      <w:pPr>
        <w:rPr>
          <w:color w:val="1F497D"/>
          <w:lang w:val="en-GB"/>
        </w:rPr>
      </w:pPr>
      <w:r w:rsidRPr="0058033D">
        <w:rPr>
          <w:lang w:val="en-GB"/>
        </w:rPr>
        <w:t>After studying the available evaluations, t</w:t>
      </w:r>
      <w:r w:rsidR="004F2274" w:rsidRPr="0058033D">
        <w:rPr>
          <w:lang w:val="en-GB"/>
        </w:rPr>
        <w:t>he background study established that implementation has been efficient both in promoting innovation and the business climate, with relatively low implementation costs and administrative burden: ‘</w:t>
      </w:r>
      <w:r w:rsidR="004F2274" w:rsidRPr="0058033D">
        <w:rPr>
          <w:i/>
          <w:lang w:val="en-GB"/>
        </w:rPr>
        <w:t>micro-efficiency</w:t>
      </w:r>
      <w:r w:rsidR="004F2274" w:rsidRPr="0058033D">
        <w:rPr>
          <w:lang w:val="en-GB"/>
        </w:rPr>
        <w:t>’. The background study note</w:t>
      </w:r>
      <w:r w:rsidR="004C6C06">
        <w:rPr>
          <w:lang w:val="en-GB"/>
        </w:rPr>
        <w:t>s</w:t>
      </w:r>
      <w:r w:rsidR="004F2274" w:rsidRPr="0058033D">
        <w:rPr>
          <w:lang w:val="en-GB"/>
        </w:rPr>
        <w:t xml:space="preserve"> that in general small complex measures often have relatively high implementation costs. </w:t>
      </w:r>
    </w:p>
    <w:p w14:paraId="168BB660" w14:textId="77777777" w:rsidR="004F2274" w:rsidRPr="0058033D" w:rsidRDefault="004F2274" w:rsidP="00D73C59">
      <w:pPr>
        <w:rPr>
          <w:lang w:val="en-GB"/>
        </w:rPr>
      </w:pPr>
    </w:p>
    <w:p w14:paraId="08E04BBB" w14:textId="65627153" w:rsidR="004F2274" w:rsidRPr="0058033D" w:rsidRDefault="004F2274" w:rsidP="00D73C59">
      <w:pPr>
        <w:rPr>
          <w:color w:val="1F497D"/>
          <w:lang w:val="en-GB"/>
        </w:rPr>
      </w:pPr>
      <w:r w:rsidRPr="0058033D">
        <w:rPr>
          <w:lang w:val="en-GB"/>
        </w:rPr>
        <w:t xml:space="preserve">The background study also notes that no attention is given to the </w:t>
      </w:r>
      <w:r w:rsidRPr="0058033D">
        <w:rPr>
          <w:i/>
          <w:lang w:val="en-GB"/>
        </w:rPr>
        <w:t>macro-efficiency</w:t>
      </w:r>
      <w:r w:rsidRPr="0058033D">
        <w:rPr>
          <w:lang w:val="en-GB"/>
        </w:rPr>
        <w:t xml:space="preserve"> of policy (efficiency in a broad sense) in evaluations or policy communication</w:t>
      </w:r>
      <w:r w:rsidR="008F1238">
        <w:rPr>
          <w:lang w:val="en-GB"/>
        </w:rPr>
        <w:t xml:space="preserve"> addressing</w:t>
      </w:r>
      <w:r w:rsidRPr="0058033D">
        <w:rPr>
          <w:lang w:val="en-GB"/>
        </w:rPr>
        <w:t xml:space="preserve"> the question of whether the costs of the policy outweigh </w:t>
      </w:r>
      <w:r w:rsidR="00F958FE" w:rsidRPr="0058033D">
        <w:rPr>
          <w:lang w:val="en-GB"/>
        </w:rPr>
        <w:t>its</w:t>
      </w:r>
      <w:r w:rsidRPr="0058033D">
        <w:rPr>
          <w:lang w:val="en-GB"/>
        </w:rPr>
        <w:t xml:space="preserve"> social benefits. This is mainly because it is difficult and complex to establish the social benefits of policy by research. The policy costs c</w:t>
      </w:r>
      <w:r w:rsidR="00F958FE" w:rsidRPr="0058033D">
        <w:rPr>
          <w:lang w:val="en-GB"/>
        </w:rPr>
        <w:t>an often be properly identified</w:t>
      </w:r>
      <w:r w:rsidRPr="0058033D">
        <w:rPr>
          <w:lang w:val="en-GB"/>
        </w:rPr>
        <w:t xml:space="preserve"> but measuring and establishing the external effects of the policy </w:t>
      </w:r>
      <w:r w:rsidR="004C6C06">
        <w:rPr>
          <w:lang w:val="en-GB"/>
        </w:rPr>
        <w:t>are</w:t>
      </w:r>
      <w:r w:rsidRPr="0058033D">
        <w:rPr>
          <w:lang w:val="en-GB"/>
        </w:rPr>
        <w:t xml:space="preserve"> still in </w:t>
      </w:r>
      <w:r w:rsidR="004C6C06">
        <w:rPr>
          <w:lang w:val="en-GB"/>
        </w:rPr>
        <w:t xml:space="preserve">their </w:t>
      </w:r>
      <w:r w:rsidRPr="0058033D">
        <w:rPr>
          <w:lang w:val="en-GB"/>
        </w:rPr>
        <w:t>infancy. There is often no empirical information on elasticit</w:t>
      </w:r>
      <w:r w:rsidR="00F958FE" w:rsidRPr="0058033D">
        <w:rPr>
          <w:lang w:val="en-GB"/>
        </w:rPr>
        <w:t>ie</w:t>
      </w:r>
      <w:r w:rsidRPr="0058033D">
        <w:rPr>
          <w:lang w:val="en-GB"/>
        </w:rPr>
        <w:t xml:space="preserve">s or the size of the external effects and the estimates vary widely, certainly in the area of innovation policy. </w:t>
      </w:r>
      <w:r w:rsidR="009973A3" w:rsidRPr="0058033D">
        <w:rPr>
          <w:lang w:val="en-GB"/>
        </w:rPr>
        <w:t xml:space="preserve">Academic </w:t>
      </w:r>
      <w:r w:rsidRPr="0058033D">
        <w:rPr>
          <w:lang w:val="en-GB"/>
        </w:rPr>
        <w:t xml:space="preserve">initiatives (including by the Royal Netherlands Academy of Arts and Sciences </w:t>
      </w:r>
      <w:r w:rsidR="009973A3" w:rsidRPr="0058033D">
        <w:rPr>
          <w:lang w:val="en-GB"/>
        </w:rPr>
        <w:t>(</w:t>
      </w:r>
      <w:r w:rsidRPr="0058033D">
        <w:rPr>
          <w:lang w:val="en-GB"/>
        </w:rPr>
        <w:t>KNAW</w:t>
      </w:r>
      <w:r w:rsidR="009973A3" w:rsidRPr="0058033D">
        <w:rPr>
          <w:lang w:val="en-GB"/>
        </w:rPr>
        <w:t>)</w:t>
      </w:r>
      <w:r w:rsidRPr="0058033D">
        <w:rPr>
          <w:lang w:val="en-GB"/>
        </w:rPr>
        <w:t xml:space="preserve">, CPB and University of Amsterdam) have </w:t>
      </w:r>
      <w:r w:rsidR="009973A3" w:rsidRPr="0058033D">
        <w:rPr>
          <w:lang w:val="en-GB"/>
        </w:rPr>
        <w:t xml:space="preserve">recently </w:t>
      </w:r>
      <w:r w:rsidRPr="0058033D">
        <w:rPr>
          <w:lang w:val="en-GB"/>
        </w:rPr>
        <w:t>started to use the available empirical research in this area to arrive at a more considered estimate.</w:t>
      </w:r>
      <w:r w:rsidRPr="0058033D">
        <w:rPr>
          <w:rStyle w:val="Voetnootmarkering"/>
          <w:lang w:val="en-GB"/>
        </w:rPr>
        <w:footnoteReference w:id="12"/>
      </w:r>
      <w:r w:rsidRPr="0058033D">
        <w:rPr>
          <w:lang w:val="en-GB"/>
        </w:rPr>
        <w:t xml:space="preserve"> </w:t>
      </w:r>
      <w:r w:rsidR="004C6C06">
        <w:rPr>
          <w:lang w:val="en-GB"/>
        </w:rPr>
        <w:t>Currently</w:t>
      </w:r>
      <w:r w:rsidRPr="0058033D">
        <w:rPr>
          <w:lang w:val="en-GB"/>
        </w:rPr>
        <w:t xml:space="preserve">, there are few factual and reliable estimates </w:t>
      </w:r>
      <w:r w:rsidR="008F1238">
        <w:rPr>
          <w:lang w:val="en-GB"/>
        </w:rPr>
        <w:t>of</w:t>
      </w:r>
      <w:r w:rsidRPr="0058033D">
        <w:rPr>
          <w:lang w:val="en-GB"/>
        </w:rPr>
        <w:t xml:space="preserve"> the macro-efficiency of this policy area.</w:t>
      </w:r>
    </w:p>
    <w:p w14:paraId="1FC60A05" w14:textId="77777777" w:rsidR="004F2274" w:rsidRPr="0058033D" w:rsidRDefault="004F2274" w:rsidP="00D73C59">
      <w:pPr>
        <w:rPr>
          <w:color w:val="1F497D"/>
          <w:lang w:val="en-GB"/>
        </w:rPr>
      </w:pPr>
    </w:p>
    <w:p w14:paraId="0B7B276E" w14:textId="0CA2756A" w:rsidR="004F2274" w:rsidRPr="0058033D" w:rsidRDefault="004F2274" w:rsidP="00D73C59">
      <w:pPr>
        <w:rPr>
          <w:i/>
          <w:lang w:val="en-GB"/>
        </w:rPr>
      </w:pPr>
      <w:r w:rsidRPr="0058033D">
        <w:rPr>
          <w:i/>
          <w:lang w:val="en-GB"/>
        </w:rPr>
        <w:t>Monitoring &amp; measuring effects</w:t>
      </w:r>
    </w:p>
    <w:p w14:paraId="0EA450A0" w14:textId="16700829" w:rsidR="004F2274" w:rsidRPr="0058033D" w:rsidRDefault="004F2274" w:rsidP="00D73C59">
      <w:pPr>
        <w:rPr>
          <w:lang w:val="en-GB"/>
        </w:rPr>
      </w:pPr>
      <w:r w:rsidRPr="0058033D">
        <w:rPr>
          <w:lang w:val="en-GB"/>
        </w:rPr>
        <w:t>EZ significantly increased its efforts in the area of monitoring and measuring the effects in this policy area on the introduction of the new enterprise policy, but also in response to earlier criticism from the Court of Audit (AR), CPB and the Advisory council for science, technology and innovation (AWTI). A majo</w:t>
      </w:r>
      <w:r w:rsidR="004C6C06">
        <w:rPr>
          <w:lang w:val="en-GB"/>
        </w:rPr>
        <w:t>r milestone was the publication</w:t>
      </w:r>
      <w:r w:rsidRPr="0058033D">
        <w:rPr>
          <w:lang w:val="en-GB"/>
        </w:rPr>
        <w:t xml:space="preserve"> of the report by the Committee of Dutch evaluation experts led by the late Prof</w:t>
      </w:r>
      <w:r w:rsidR="00C72F9F">
        <w:rPr>
          <w:lang w:val="en-GB"/>
        </w:rPr>
        <w:t>.</w:t>
      </w:r>
      <w:r w:rsidRPr="0058033D">
        <w:rPr>
          <w:lang w:val="en-GB"/>
        </w:rPr>
        <w:t xml:space="preserve"> Jules Theeuwes </w:t>
      </w:r>
      <w:r w:rsidR="00BC5FA7" w:rsidRPr="0058033D">
        <w:rPr>
          <w:lang w:val="en-GB"/>
        </w:rPr>
        <w:t>which made</w:t>
      </w:r>
      <w:r w:rsidRPr="0058033D">
        <w:rPr>
          <w:lang w:val="en-GB"/>
        </w:rPr>
        <w:t xml:space="preserve"> recommendations on the approach to evaluations</w:t>
      </w:r>
      <w:r w:rsidRPr="0058033D">
        <w:rPr>
          <w:rStyle w:val="Voetnootmarkering"/>
          <w:lang w:val="en-GB"/>
        </w:rPr>
        <w:footnoteReference w:id="13"/>
      </w:r>
      <w:r w:rsidRPr="0058033D">
        <w:rPr>
          <w:lang w:val="en-GB"/>
        </w:rPr>
        <w:t xml:space="preserve"> which have been adopted by EZ.</w:t>
      </w:r>
      <w:r w:rsidRPr="0058033D">
        <w:rPr>
          <w:rStyle w:val="Voetnootmarkering"/>
          <w:lang w:val="en-GB"/>
        </w:rPr>
        <w:footnoteReference w:id="14"/>
      </w:r>
    </w:p>
    <w:p w14:paraId="50B5BD4D" w14:textId="77777777" w:rsidR="004F2274" w:rsidRPr="0058033D" w:rsidRDefault="004F2274" w:rsidP="00D73C59">
      <w:pPr>
        <w:rPr>
          <w:lang w:val="en-GB"/>
        </w:rPr>
      </w:pPr>
    </w:p>
    <w:p w14:paraId="672C0F22" w14:textId="1B3AA5C3" w:rsidR="004F2274" w:rsidRPr="0058033D" w:rsidRDefault="004F2274" w:rsidP="00D73C59">
      <w:pPr>
        <w:rPr>
          <w:lang w:val="en-GB"/>
        </w:rPr>
      </w:pPr>
      <w:r w:rsidRPr="0058033D">
        <w:rPr>
          <w:lang w:val="en-GB"/>
        </w:rPr>
        <w:t xml:space="preserve">The background study </w:t>
      </w:r>
      <w:r w:rsidR="008F1238">
        <w:rPr>
          <w:lang w:val="en-GB"/>
        </w:rPr>
        <w:t>has</w:t>
      </w:r>
      <w:r w:rsidRPr="0058033D">
        <w:rPr>
          <w:lang w:val="en-GB"/>
        </w:rPr>
        <w:t xml:space="preserve"> a favourable opinion </w:t>
      </w:r>
      <w:r w:rsidR="008F1238">
        <w:rPr>
          <w:lang w:val="en-GB"/>
        </w:rPr>
        <w:t>of</w:t>
      </w:r>
      <w:r w:rsidRPr="0058033D">
        <w:rPr>
          <w:lang w:val="en-GB"/>
        </w:rPr>
        <w:t xml:space="preserve"> progress on efforts in monitoring and measuring </w:t>
      </w:r>
      <w:r w:rsidR="008F1238">
        <w:rPr>
          <w:lang w:val="en-GB"/>
        </w:rPr>
        <w:t>the</w:t>
      </w:r>
      <w:r w:rsidRPr="0058033D">
        <w:rPr>
          <w:lang w:val="en-GB"/>
        </w:rPr>
        <w:t xml:space="preserve"> effects of the enterprise policy. Almost two in three financial instruments in the two items were recently evaluated. The instruments which still have to be evaluated only started recently (and so will be addressed later) or concern the phasing out of lapsed policies. The background study notes that the number of evaluations per year and their quality has improved since the implementation of the recommendations of the Theeuwes Committee in 2012. About a third of all evaluations also make actual use of control groups; where this is not done, it is often because the necessary data are </w:t>
      </w:r>
      <w:r w:rsidR="009B7A5A" w:rsidRPr="0058033D">
        <w:rPr>
          <w:lang w:val="en-GB"/>
        </w:rPr>
        <w:t>lacking</w:t>
      </w:r>
      <w:r w:rsidRPr="0058033D">
        <w:rPr>
          <w:lang w:val="en-GB"/>
        </w:rPr>
        <w:t xml:space="preserve"> or an instrument is not suitable for working with control groups. Since the publication of the Theeuwes Committee </w:t>
      </w:r>
      <w:r w:rsidR="009B7A5A" w:rsidRPr="0058033D">
        <w:rPr>
          <w:lang w:val="en-GB"/>
        </w:rPr>
        <w:t xml:space="preserve">report, </w:t>
      </w:r>
      <w:r w:rsidRPr="0058033D">
        <w:rPr>
          <w:lang w:val="en-GB"/>
        </w:rPr>
        <w:t xml:space="preserve">evaluation methods (‘regression discontinuity’ and ‘propensity score matching’) which were not </w:t>
      </w:r>
      <w:r w:rsidR="004C6C06" w:rsidRPr="0058033D">
        <w:rPr>
          <w:lang w:val="en-GB"/>
        </w:rPr>
        <w:t xml:space="preserve">previously </w:t>
      </w:r>
      <w:r w:rsidR="009B7A5A" w:rsidRPr="0058033D">
        <w:rPr>
          <w:lang w:val="en-GB"/>
        </w:rPr>
        <w:t>used have also been applied to items 12 and 13</w:t>
      </w:r>
      <w:r w:rsidRPr="0058033D">
        <w:rPr>
          <w:lang w:val="en-GB"/>
        </w:rPr>
        <w:t xml:space="preserve">. The share of evaluations using regression and correlation analyses also increased substantially. </w:t>
      </w:r>
    </w:p>
    <w:p w14:paraId="204D753A" w14:textId="77777777" w:rsidR="004F2274" w:rsidRPr="0058033D" w:rsidRDefault="004F2274" w:rsidP="00D73C59">
      <w:pPr>
        <w:rPr>
          <w:lang w:val="en-GB"/>
        </w:rPr>
      </w:pPr>
    </w:p>
    <w:p w14:paraId="5696FECC" w14:textId="10ADCE91" w:rsidR="004F2274" w:rsidRPr="0058033D" w:rsidRDefault="004F2274" w:rsidP="00D73C59">
      <w:pPr>
        <w:rPr>
          <w:lang w:val="en-GB"/>
        </w:rPr>
      </w:pPr>
      <w:r w:rsidRPr="0058033D">
        <w:rPr>
          <w:lang w:val="en-GB"/>
        </w:rPr>
        <w:t>According to the OECD, the Netherlands now has a well-developed evaluation culture in the areas of science, technology and innovation and</w:t>
      </w:r>
      <w:r w:rsidR="0030117A" w:rsidRPr="0058033D">
        <w:rPr>
          <w:lang w:val="en-GB"/>
        </w:rPr>
        <w:t>,</w:t>
      </w:r>
      <w:r w:rsidRPr="0058033D">
        <w:rPr>
          <w:lang w:val="en-GB"/>
        </w:rPr>
        <w:t xml:space="preserve"> in contrast with other countries</w:t>
      </w:r>
      <w:r w:rsidR="0030117A" w:rsidRPr="0058033D">
        <w:rPr>
          <w:lang w:val="en-GB"/>
        </w:rPr>
        <w:t>,</w:t>
      </w:r>
      <w:r w:rsidRPr="0058033D">
        <w:rPr>
          <w:lang w:val="en-GB"/>
        </w:rPr>
        <w:t xml:space="preserve"> </w:t>
      </w:r>
      <w:r w:rsidR="0030117A" w:rsidRPr="0058033D">
        <w:rPr>
          <w:lang w:val="en-GB"/>
        </w:rPr>
        <w:t xml:space="preserve">uses </w:t>
      </w:r>
      <w:r w:rsidRPr="0058033D">
        <w:rPr>
          <w:lang w:val="en-GB"/>
        </w:rPr>
        <w:t xml:space="preserve">advanced evaluation methods. Consequently the OECD recently characterized the current </w:t>
      </w:r>
      <w:r w:rsidR="008F1238" w:rsidRPr="0058033D">
        <w:rPr>
          <w:lang w:val="en-GB"/>
        </w:rPr>
        <w:t xml:space="preserve">approach to </w:t>
      </w:r>
      <w:r w:rsidR="008F1238">
        <w:rPr>
          <w:lang w:val="en-GB"/>
        </w:rPr>
        <w:t>evaluating</w:t>
      </w:r>
      <w:r w:rsidRPr="0058033D">
        <w:rPr>
          <w:lang w:val="en-GB"/>
        </w:rPr>
        <w:t xml:space="preserve"> enterprise policy as a strength of Dutch innovation policy.</w:t>
      </w:r>
      <w:r w:rsidRPr="0058033D">
        <w:rPr>
          <w:rStyle w:val="Voetnootmarkering"/>
          <w:lang w:val="en-GB"/>
        </w:rPr>
        <w:footnoteReference w:id="15"/>
      </w:r>
      <w:r w:rsidRPr="0058033D">
        <w:rPr>
          <w:lang w:val="en-GB"/>
        </w:rPr>
        <w:t xml:space="preserve"> The background study </w:t>
      </w:r>
      <w:r w:rsidR="00A13210" w:rsidRPr="0058033D">
        <w:rPr>
          <w:lang w:val="en-GB"/>
        </w:rPr>
        <w:t xml:space="preserve">also </w:t>
      </w:r>
      <w:r w:rsidRPr="0058033D">
        <w:rPr>
          <w:lang w:val="en-GB"/>
        </w:rPr>
        <w:t>notes that EZ is in the lead in this area internationally.</w:t>
      </w:r>
    </w:p>
    <w:p w14:paraId="79B9B1F2" w14:textId="77777777" w:rsidR="004F2274" w:rsidRPr="0058033D" w:rsidRDefault="004F2274" w:rsidP="00D73C59">
      <w:pPr>
        <w:rPr>
          <w:lang w:val="en-GB"/>
        </w:rPr>
      </w:pPr>
    </w:p>
    <w:p w14:paraId="63EC88F3" w14:textId="17ECCEC2" w:rsidR="004F2274" w:rsidRPr="0058033D" w:rsidRDefault="004F2274" w:rsidP="00D73C59">
      <w:pPr>
        <w:rPr>
          <w:lang w:val="en-GB"/>
        </w:rPr>
      </w:pPr>
      <w:r w:rsidRPr="0058033D">
        <w:rPr>
          <w:lang w:val="en-GB"/>
        </w:rPr>
        <w:t xml:space="preserve">The background study notes that </w:t>
      </w:r>
      <w:r w:rsidR="00830053" w:rsidRPr="0058033D">
        <w:rPr>
          <w:lang w:val="en-GB"/>
        </w:rPr>
        <w:t xml:space="preserve">often only the first order effects (the direct output of the policy intervention) of </w:t>
      </w:r>
      <w:r w:rsidRPr="0058033D">
        <w:rPr>
          <w:lang w:val="en-GB"/>
        </w:rPr>
        <w:t>individual financial policy instruments (one actor, one intervention, one aim) can be evaluated and that integrated policy approaches are difficult to evaluate with current evaluation methods. The Theeuwes Committee reached the same conclusion; internationally</w:t>
      </w:r>
      <w:r w:rsidR="00830053" w:rsidRPr="0058033D">
        <w:rPr>
          <w:lang w:val="en-GB"/>
        </w:rPr>
        <w:t>,</w:t>
      </w:r>
      <w:r w:rsidRPr="0058033D">
        <w:rPr>
          <w:lang w:val="en-GB"/>
        </w:rPr>
        <w:t xml:space="preserve"> too, no evaluation techniques </w:t>
      </w:r>
      <w:r w:rsidR="004C6C06" w:rsidRPr="0058033D">
        <w:rPr>
          <w:lang w:val="en-GB"/>
        </w:rPr>
        <w:t xml:space="preserve">are </w:t>
      </w:r>
      <w:r w:rsidRPr="0058033D">
        <w:rPr>
          <w:lang w:val="en-GB"/>
        </w:rPr>
        <w:t>yet available for properly and quantitatively evaluating an integrated network approach or complete policy mix.</w:t>
      </w:r>
      <w:r w:rsidRPr="0058033D">
        <w:rPr>
          <w:rStyle w:val="Voetnootmarkering"/>
          <w:lang w:val="en-GB"/>
        </w:rPr>
        <w:footnoteReference w:id="16"/>
      </w:r>
      <w:r w:rsidRPr="0058033D">
        <w:rPr>
          <w:lang w:val="en-GB"/>
        </w:rPr>
        <w:t xml:space="preserve"> In addition both the Theeuwes Committee and the background study note that with the current state of the methodology and </w:t>
      </w:r>
      <w:r w:rsidRPr="001579C6">
        <w:rPr>
          <w:lang w:val="en-GB"/>
        </w:rPr>
        <w:t>science</w:t>
      </w:r>
      <w:r w:rsidRPr="0058033D">
        <w:rPr>
          <w:lang w:val="en-GB"/>
        </w:rPr>
        <w:t xml:space="preserve"> </w:t>
      </w:r>
      <w:r w:rsidR="00830053" w:rsidRPr="0058033D">
        <w:rPr>
          <w:lang w:val="en-GB"/>
        </w:rPr>
        <w:t xml:space="preserve">it is unrealistic </w:t>
      </w:r>
      <w:r w:rsidRPr="0058033D">
        <w:rPr>
          <w:lang w:val="en-GB"/>
        </w:rPr>
        <w:t>to expect that evaluations can be used to establish the effects of policy instruments on general macro-objectives (‘outcome’, such as productivity or welfare). This is methodologically complex since many (exogenous) factors may influence the ‘outcome’, the period over which real effects occur is often long and longitudinal micro-time series are often unavailable.</w:t>
      </w:r>
      <w:r w:rsidRPr="0058033D">
        <w:rPr>
          <w:rStyle w:val="Voetnootmarkering"/>
          <w:lang w:val="en-GB"/>
        </w:rPr>
        <w:footnoteReference w:id="17"/>
      </w:r>
      <w:r w:rsidRPr="0058033D">
        <w:rPr>
          <w:lang w:val="en-GB"/>
        </w:rPr>
        <w:t xml:space="preserve"> This is</w:t>
      </w:r>
      <w:r w:rsidR="008F1238" w:rsidRPr="008F1238">
        <w:rPr>
          <w:lang w:val="en-GB"/>
        </w:rPr>
        <w:t xml:space="preserve"> </w:t>
      </w:r>
      <w:r w:rsidR="008F1238" w:rsidRPr="0058033D">
        <w:rPr>
          <w:lang w:val="en-GB"/>
        </w:rPr>
        <w:t>not</w:t>
      </w:r>
      <w:r w:rsidRPr="0058033D">
        <w:rPr>
          <w:lang w:val="en-GB"/>
        </w:rPr>
        <w:t xml:space="preserve">, however, a </w:t>
      </w:r>
      <w:r w:rsidR="00830053" w:rsidRPr="0058033D">
        <w:rPr>
          <w:lang w:val="en-GB"/>
        </w:rPr>
        <w:t>specifically</w:t>
      </w:r>
      <w:r w:rsidRPr="0058033D">
        <w:rPr>
          <w:lang w:val="en-GB"/>
        </w:rPr>
        <w:t xml:space="preserve"> Dutch phenomenon as it also applies to other countries and international research organizations. </w:t>
      </w:r>
    </w:p>
    <w:p w14:paraId="044EABD2" w14:textId="77777777" w:rsidR="004F2274" w:rsidRPr="0058033D" w:rsidRDefault="004F2274" w:rsidP="00D73C59">
      <w:pPr>
        <w:rPr>
          <w:lang w:val="en-GB"/>
        </w:rPr>
      </w:pPr>
    </w:p>
    <w:p w14:paraId="59224D16" w14:textId="7FEF7FA6" w:rsidR="004F2274" w:rsidRPr="0058033D" w:rsidRDefault="004F2274" w:rsidP="00D73C59">
      <w:pPr>
        <w:rPr>
          <w:lang w:val="en-GB"/>
        </w:rPr>
      </w:pPr>
      <w:r w:rsidRPr="0058033D">
        <w:rPr>
          <w:lang w:val="en-GB"/>
        </w:rPr>
        <w:t xml:space="preserve">There are, therefore, methodical limits to a policy review designed to establish the effectiveness and efficiency of a complete policy mix and integrated network approach using evaluations of individual instruments. That such effects on the ‘outcome’ cannot be established well from evaluations, does not, however, mean that nothing is known; academic economics literature often </w:t>
      </w:r>
      <w:r w:rsidR="00830053" w:rsidRPr="0058033D">
        <w:rPr>
          <w:lang w:val="en-GB"/>
        </w:rPr>
        <w:t xml:space="preserve">gives indications </w:t>
      </w:r>
      <w:r w:rsidRPr="0058033D">
        <w:rPr>
          <w:lang w:val="en-GB"/>
        </w:rPr>
        <w:t>(albeit with a wide empirical range) o</w:t>
      </w:r>
      <w:r w:rsidR="008F1238">
        <w:rPr>
          <w:lang w:val="en-GB"/>
        </w:rPr>
        <w:t>f</w:t>
      </w:r>
      <w:r w:rsidRPr="0058033D">
        <w:rPr>
          <w:lang w:val="en-GB"/>
        </w:rPr>
        <w:t xml:space="preserve"> the relationship between the direct output of policy (such as R&amp;D expenditure) and the ‘outcome’ (productivity).</w:t>
      </w:r>
      <w:r w:rsidRPr="0058033D">
        <w:rPr>
          <w:rStyle w:val="Voetnootmarkering"/>
          <w:lang w:val="en-GB"/>
        </w:rPr>
        <w:footnoteReference w:id="18"/>
      </w:r>
      <w:r w:rsidRPr="0058033D">
        <w:rPr>
          <w:lang w:val="en-GB"/>
        </w:rPr>
        <w:t xml:space="preserve"> In this sense, the reasoning for establishing the effectiveness of the policy is indirect: the policy influences the ‘output’ (such as additional private R&amp;D), and it is known from the </w:t>
      </w:r>
      <w:r w:rsidR="004C6C06" w:rsidRPr="0058033D">
        <w:rPr>
          <w:lang w:val="en-GB"/>
        </w:rPr>
        <w:t xml:space="preserve">academic </w:t>
      </w:r>
      <w:r w:rsidRPr="0058033D">
        <w:rPr>
          <w:lang w:val="en-GB"/>
        </w:rPr>
        <w:t xml:space="preserve">literature that more private R&amp;D expenditure makes a positive contribution to productivity growth. </w:t>
      </w:r>
    </w:p>
    <w:p w14:paraId="13F42EDE" w14:textId="77777777" w:rsidR="004F2274" w:rsidRPr="0058033D" w:rsidRDefault="004F2274" w:rsidP="00D73C59">
      <w:pPr>
        <w:rPr>
          <w:b/>
          <w:color w:val="1F497D"/>
          <w:lang w:val="en-GB"/>
        </w:rPr>
      </w:pPr>
    </w:p>
    <w:p w14:paraId="19B6C761" w14:textId="77777777" w:rsidR="004F2274" w:rsidRPr="0058033D" w:rsidRDefault="004F2274" w:rsidP="00D73C59">
      <w:pPr>
        <w:rPr>
          <w:b/>
          <w:lang w:val="en-GB"/>
        </w:rPr>
      </w:pPr>
      <w:r w:rsidRPr="0058033D">
        <w:rPr>
          <w:b/>
          <w:lang w:val="en-GB"/>
        </w:rPr>
        <w:t>A view to the future</w:t>
      </w:r>
    </w:p>
    <w:p w14:paraId="140B87B8" w14:textId="3EE1539F" w:rsidR="004F2274" w:rsidRPr="0058033D" w:rsidRDefault="004F2274" w:rsidP="00D73C59">
      <w:pPr>
        <w:contextualSpacing/>
        <w:rPr>
          <w:color w:val="1F497D"/>
          <w:lang w:val="en-GB"/>
        </w:rPr>
      </w:pPr>
      <w:r w:rsidRPr="0058033D">
        <w:rPr>
          <w:lang w:val="en-GB"/>
        </w:rPr>
        <w:t>The background study assesses the legitimacy and effectiveness of the policy mix in the enterprise policy implemented in 2010 and also the efficiency of the imp</w:t>
      </w:r>
      <w:r w:rsidR="0065068F" w:rsidRPr="0058033D">
        <w:rPr>
          <w:lang w:val="en-GB"/>
        </w:rPr>
        <w:t>lementation as broadly positive</w:t>
      </w:r>
      <w:r w:rsidRPr="0058033D">
        <w:rPr>
          <w:lang w:val="en-GB"/>
        </w:rPr>
        <w:t xml:space="preserve"> but offers a number of suggestions that could further improve the return and quality. What lessons does the policy review have for the </w:t>
      </w:r>
      <w:r w:rsidR="00567DBF" w:rsidRPr="0058033D">
        <w:rPr>
          <w:lang w:val="en-GB"/>
        </w:rPr>
        <w:t>government</w:t>
      </w:r>
      <w:r w:rsidRPr="0058033D">
        <w:rPr>
          <w:lang w:val="en-GB"/>
        </w:rPr>
        <w:t xml:space="preserve"> reorienting the policy mix and policy approach? This question is answered after descriptions of the main policy changes, including a quantification of the savings and intensification</w:t>
      </w:r>
      <w:r w:rsidR="00F63D9D">
        <w:rPr>
          <w:lang w:val="en-GB"/>
        </w:rPr>
        <w:t>s</w:t>
      </w:r>
      <w:r w:rsidRPr="0058033D">
        <w:rPr>
          <w:lang w:val="en-GB"/>
        </w:rPr>
        <w:t xml:space="preserve"> in the relevant period.</w:t>
      </w:r>
      <w:r w:rsidRPr="0058033D">
        <w:rPr>
          <w:rStyle w:val="Voetnootmarkering"/>
          <w:lang w:val="en-GB"/>
        </w:rPr>
        <w:footnoteReference w:id="19"/>
      </w:r>
    </w:p>
    <w:p w14:paraId="19624928" w14:textId="77777777" w:rsidR="004F2274" w:rsidRPr="0058033D" w:rsidRDefault="004F2274" w:rsidP="00D73C59">
      <w:pPr>
        <w:ind w:left="426"/>
        <w:contextualSpacing/>
        <w:rPr>
          <w:color w:val="1F497D"/>
          <w:lang w:val="en-GB"/>
        </w:rPr>
      </w:pPr>
    </w:p>
    <w:p w14:paraId="6A9D368E" w14:textId="77777777" w:rsidR="004F2274" w:rsidRPr="0058033D" w:rsidRDefault="004F2274" w:rsidP="00D73C59">
      <w:pPr>
        <w:contextualSpacing/>
        <w:rPr>
          <w:i/>
          <w:lang w:val="en-GB"/>
        </w:rPr>
      </w:pPr>
      <w:r w:rsidRPr="0058033D">
        <w:rPr>
          <w:i/>
          <w:lang w:val="en-GB"/>
        </w:rPr>
        <w:t>Policy in flux</w:t>
      </w:r>
    </w:p>
    <w:p w14:paraId="2C42DA2D" w14:textId="13E98E40" w:rsidR="004F2274" w:rsidRPr="0058033D" w:rsidRDefault="004F2274" w:rsidP="00D73C59">
      <w:pPr>
        <w:contextualSpacing/>
        <w:rPr>
          <w:lang w:val="en-GB"/>
        </w:rPr>
      </w:pPr>
      <w:r w:rsidRPr="0058033D">
        <w:rPr>
          <w:lang w:val="en-GB"/>
        </w:rPr>
        <w:t xml:space="preserve">A review of the future of policy must </w:t>
      </w:r>
      <w:r w:rsidR="0065068F" w:rsidRPr="0058033D">
        <w:rPr>
          <w:lang w:val="en-GB"/>
        </w:rPr>
        <w:t xml:space="preserve">also </w:t>
      </w:r>
      <w:r w:rsidRPr="0058033D">
        <w:rPr>
          <w:lang w:val="en-GB"/>
        </w:rPr>
        <w:t xml:space="preserve">look to the past. It was stated above that a substantial change of course started with the introduction of the enterprise policy. The OECD, and the AWTI, gave positive assessments of the policy transition </w:t>
      </w:r>
      <w:r w:rsidR="0065068F" w:rsidRPr="0058033D">
        <w:rPr>
          <w:lang w:val="en-GB"/>
        </w:rPr>
        <w:t xml:space="preserve">started </w:t>
      </w:r>
      <w:r w:rsidRPr="0058033D">
        <w:rPr>
          <w:lang w:val="en-GB"/>
        </w:rPr>
        <w:t>in this area but pointed out that the changes made, the new arrangements and the network and integrated approach need time and space to flourish and bear fruit.</w:t>
      </w:r>
      <w:r w:rsidRPr="0058033D">
        <w:rPr>
          <w:rStyle w:val="Voetnootmarkering"/>
          <w:lang w:val="en-GB"/>
        </w:rPr>
        <w:footnoteReference w:id="20"/>
      </w:r>
      <w:r w:rsidRPr="0058033D">
        <w:rPr>
          <w:lang w:val="en-GB"/>
        </w:rPr>
        <w:t xml:space="preserve"> In some ways, there has been a break with the established system </w:t>
      </w:r>
      <w:r w:rsidR="0065068F" w:rsidRPr="0058033D">
        <w:rPr>
          <w:lang w:val="en-GB"/>
        </w:rPr>
        <w:t>of</w:t>
      </w:r>
      <w:r w:rsidRPr="0058033D">
        <w:rPr>
          <w:lang w:val="en-GB"/>
        </w:rPr>
        <w:t xml:space="preserve"> enterprise policy since 2010, with substantial changes to existing institutions and financing structures. Institutional modernization requires a transitional period </w:t>
      </w:r>
      <w:r w:rsidR="008F1238">
        <w:rPr>
          <w:lang w:val="en-GB"/>
        </w:rPr>
        <w:t>during</w:t>
      </w:r>
      <w:r w:rsidRPr="0058033D">
        <w:rPr>
          <w:lang w:val="en-GB"/>
        </w:rPr>
        <w:t xml:space="preserve"> which the players in the field have to adapt to the new policy frameworks. Such a period naturally involves some turbulence</w:t>
      </w:r>
      <w:r w:rsidR="004C6C06">
        <w:rPr>
          <w:lang w:val="en-GB"/>
        </w:rPr>
        <w:t>:</w:t>
      </w:r>
      <w:r w:rsidRPr="0058033D">
        <w:rPr>
          <w:lang w:val="en-GB"/>
        </w:rPr>
        <w:t xml:space="preserve"> the new enterprise policy also faced this in the early stages. </w:t>
      </w:r>
    </w:p>
    <w:p w14:paraId="1BB8BC1A" w14:textId="77777777" w:rsidR="004F2274" w:rsidRPr="0058033D" w:rsidRDefault="004F2274" w:rsidP="00D73C59">
      <w:pPr>
        <w:contextualSpacing/>
        <w:rPr>
          <w:lang w:val="en-GB"/>
        </w:rPr>
      </w:pPr>
    </w:p>
    <w:p w14:paraId="1914FD6D" w14:textId="20DF9FA0" w:rsidR="004F2274" w:rsidRPr="0058033D" w:rsidRDefault="004F2274" w:rsidP="00D73C59">
      <w:pPr>
        <w:contextualSpacing/>
        <w:rPr>
          <w:color w:val="1F497D"/>
          <w:lang w:val="en-GB"/>
        </w:rPr>
      </w:pPr>
      <w:r w:rsidRPr="0058033D">
        <w:rPr>
          <w:lang w:val="en-GB"/>
        </w:rPr>
        <w:t xml:space="preserve">Effective and efficient policy, and success of public-private partnerships, also requires (after a transitional period) a stable policy framework for the medium term and is not helped by </w:t>
      </w:r>
      <w:r w:rsidR="0065068F" w:rsidRPr="0058033D">
        <w:rPr>
          <w:lang w:val="en-GB"/>
        </w:rPr>
        <w:t>constant debate</w:t>
      </w:r>
      <w:r w:rsidRPr="0058033D">
        <w:rPr>
          <w:lang w:val="en-GB"/>
        </w:rPr>
        <w:t xml:space="preserve">, changes and alterations to policy frameworks, strategy and mix once established. Both the OECD and the AWTI, and the background study, point this out. The enterprise policy is a long-term </w:t>
      </w:r>
      <w:r w:rsidR="0065068F" w:rsidRPr="0058033D">
        <w:rPr>
          <w:lang w:val="en-GB"/>
        </w:rPr>
        <w:t xml:space="preserve">strategy </w:t>
      </w:r>
      <w:r w:rsidRPr="0058033D">
        <w:rPr>
          <w:lang w:val="en-GB"/>
        </w:rPr>
        <w:t xml:space="preserve">in which the real effects on the economy </w:t>
      </w:r>
      <w:r w:rsidR="0065068F" w:rsidRPr="0058033D">
        <w:rPr>
          <w:i/>
          <w:lang w:val="en-GB"/>
        </w:rPr>
        <w:t>can</w:t>
      </w:r>
      <w:r w:rsidRPr="0058033D">
        <w:rPr>
          <w:i/>
          <w:lang w:val="en-GB"/>
        </w:rPr>
        <w:t xml:space="preserve"> </w:t>
      </w:r>
      <w:r w:rsidRPr="0058033D">
        <w:rPr>
          <w:lang w:val="en-GB"/>
        </w:rPr>
        <w:t xml:space="preserve">only become clear in the medium term. In the meantime, it is important to monitor whether target groups are acting in line with the policy objectives, the desired transition and intended effects. </w:t>
      </w:r>
    </w:p>
    <w:p w14:paraId="554AF91E" w14:textId="77777777" w:rsidR="004F2274" w:rsidRPr="0058033D" w:rsidRDefault="004F2274" w:rsidP="00D73C59">
      <w:pPr>
        <w:ind w:left="426"/>
        <w:contextualSpacing/>
        <w:rPr>
          <w:color w:val="1F497D"/>
          <w:lang w:val="en-GB"/>
        </w:rPr>
      </w:pPr>
    </w:p>
    <w:p w14:paraId="3843C86B" w14:textId="77777777" w:rsidR="004F2274" w:rsidRPr="0058033D" w:rsidRDefault="004F2274" w:rsidP="00D73C59">
      <w:pPr>
        <w:contextualSpacing/>
        <w:rPr>
          <w:i/>
          <w:iCs/>
          <w:lang w:val="en-GB"/>
        </w:rPr>
      </w:pPr>
      <w:r w:rsidRPr="0058033D">
        <w:rPr>
          <w:i/>
          <w:iCs/>
          <w:lang w:val="en-GB"/>
        </w:rPr>
        <w:t>Re-orientation and intensification</w:t>
      </w:r>
    </w:p>
    <w:p w14:paraId="1B6C8684" w14:textId="20C6EFFE" w:rsidR="004F2274" w:rsidRPr="0058033D" w:rsidRDefault="004F2274" w:rsidP="00F02E6A">
      <w:pPr>
        <w:rPr>
          <w:lang w:val="en-GB"/>
        </w:rPr>
      </w:pPr>
      <w:r w:rsidRPr="0058033D">
        <w:rPr>
          <w:lang w:val="en-GB"/>
        </w:rPr>
        <w:t xml:space="preserve">The introduction of the new enterprise policy by the Rutte 1 government and the changes started by the Rutte 2 government </w:t>
      </w:r>
      <w:r w:rsidR="0065068F" w:rsidRPr="0058033D">
        <w:rPr>
          <w:lang w:val="en-GB"/>
        </w:rPr>
        <w:t xml:space="preserve">still </w:t>
      </w:r>
      <w:r w:rsidRPr="0058033D">
        <w:rPr>
          <w:lang w:val="en-GB"/>
        </w:rPr>
        <w:t xml:space="preserve">have to work through into budgets in the coming years. </w:t>
      </w:r>
      <w:r w:rsidR="008F1238">
        <w:rPr>
          <w:lang w:val="en-GB"/>
        </w:rPr>
        <w:t xml:space="preserve">In particular, </w:t>
      </w:r>
      <w:r w:rsidRPr="0058033D">
        <w:rPr>
          <w:lang w:val="en-GB"/>
        </w:rPr>
        <w:t>enterprise policy has cut expenditure for direct subsidies</w:t>
      </w:r>
      <w:r w:rsidR="00EC25F7" w:rsidRPr="00EC25F7">
        <w:rPr>
          <w:lang w:val="en-GB"/>
        </w:rPr>
        <w:t xml:space="preserve"> </w:t>
      </w:r>
      <w:r w:rsidR="00EC25F7" w:rsidRPr="0058033D">
        <w:rPr>
          <w:lang w:val="en-GB"/>
        </w:rPr>
        <w:t>since the Rutte 1 government</w:t>
      </w:r>
      <w:r w:rsidRPr="0058033D">
        <w:rPr>
          <w:lang w:val="en-GB"/>
        </w:rPr>
        <w:t xml:space="preserve">. </w:t>
      </w:r>
    </w:p>
    <w:p w14:paraId="2D714108" w14:textId="77777777" w:rsidR="004F2274" w:rsidRPr="0058033D" w:rsidRDefault="004F2274" w:rsidP="00F02E6A">
      <w:pPr>
        <w:rPr>
          <w:lang w:val="en-GB"/>
        </w:rPr>
      </w:pPr>
    </w:p>
    <w:p w14:paraId="6CD8A9E5" w14:textId="4106D9E1" w:rsidR="004F2274" w:rsidRPr="0058033D" w:rsidRDefault="004F2274" w:rsidP="00F02E6A">
      <w:pPr>
        <w:rPr>
          <w:lang w:val="en-GB"/>
        </w:rPr>
      </w:pPr>
      <w:r w:rsidRPr="0058033D">
        <w:rPr>
          <w:lang w:val="en-GB"/>
        </w:rPr>
        <w:t>In the period 2011-2018, there will be a net saving (savings less intensification</w:t>
      </w:r>
      <w:r w:rsidR="00F63D9D">
        <w:rPr>
          <w:lang w:val="en-GB"/>
        </w:rPr>
        <w:t>s</w:t>
      </w:r>
      <w:r w:rsidRPr="0058033D">
        <w:rPr>
          <w:lang w:val="en-GB"/>
        </w:rPr>
        <w:t xml:space="preserve">) of €150 million on spending (excluding reducing FES spending on knowledge and innovation and </w:t>
      </w:r>
      <w:r w:rsidRPr="003F022A">
        <w:rPr>
          <w:i/>
          <w:lang w:val="en-GB"/>
        </w:rPr>
        <w:t xml:space="preserve">Pieken in </w:t>
      </w:r>
      <w:r w:rsidR="003F022A" w:rsidRPr="003F022A">
        <w:rPr>
          <w:i/>
          <w:lang w:val="en-GB"/>
        </w:rPr>
        <w:t>de</w:t>
      </w:r>
      <w:r w:rsidRPr="003F022A">
        <w:rPr>
          <w:i/>
          <w:lang w:val="en-GB"/>
        </w:rPr>
        <w:t xml:space="preserve"> Delta</w:t>
      </w:r>
      <w:r w:rsidRPr="0058033D">
        <w:rPr>
          <w:rStyle w:val="Voetnootmarkering"/>
          <w:lang w:val="en-GB"/>
        </w:rPr>
        <w:footnoteReference w:id="21"/>
      </w:r>
      <w:r w:rsidRPr="0058033D">
        <w:rPr>
          <w:lang w:val="en-GB"/>
        </w:rPr>
        <w:t xml:space="preserve">). These are mainly savings in direct subsidies to promote innovation, including </w:t>
      </w:r>
      <w:r w:rsidRPr="001579C6">
        <w:rPr>
          <w:lang w:val="en-GB"/>
        </w:rPr>
        <w:t>the end of the Innovation</w:t>
      </w:r>
      <w:r w:rsidRPr="0058033D">
        <w:rPr>
          <w:lang w:val="en-GB"/>
        </w:rPr>
        <w:t xml:space="preserve"> programmes, the contribution to Syntens and a reduction of subsidies for internationalization. The enterprise policy also ensures intensification by the introduction of the TKI supplement for public-private partnerships. </w:t>
      </w:r>
    </w:p>
    <w:p w14:paraId="4EFA95CD" w14:textId="77777777" w:rsidR="004F2274" w:rsidRPr="0058033D" w:rsidRDefault="004F2274" w:rsidP="00F02E6A">
      <w:pPr>
        <w:rPr>
          <w:lang w:val="en-GB"/>
        </w:rPr>
      </w:pPr>
      <w:r w:rsidRPr="0058033D">
        <w:rPr>
          <w:lang w:val="en-GB"/>
        </w:rPr>
        <w:t xml:space="preserve"> </w:t>
      </w:r>
    </w:p>
    <w:p w14:paraId="7E51AA9E" w14:textId="4BC11549" w:rsidR="004F2274" w:rsidRPr="0058033D" w:rsidRDefault="004F2274" w:rsidP="00F02E6A">
      <w:pPr>
        <w:rPr>
          <w:lang w:val="en-GB"/>
        </w:rPr>
      </w:pPr>
      <w:r w:rsidRPr="0058033D">
        <w:rPr>
          <w:lang w:val="en-GB"/>
        </w:rPr>
        <w:t xml:space="preserve">The enterprise policy ensures intensification </w:t>
      </w:r>
      <w:r w:rsidR="004C6C06">
        <w:rPr>
          <w:lang w:val="en-GB"/>
        </w:rPr>
        <w:t>of</w:t>
      </w:r>
      <w:r w:rsidRPr="0058033D">
        <w:rPr>
          <w:lang w:val="en-GB"/>
        </w:rPr>
        <w:t xml:space="preserve"> encouraging innovation </w:t>
      </w:r>
      <w:r w:rsidR="0065068F" w:rsidRPr="0058033D">
        <w:rPr>
          <w:lang w:val="en-GB"/>
        </w:rPr>
        <w:t>by</w:t>
      </w:r>
      <w:r w:rsidRPr="0058033D">
        <w:rPr>
          <w:lang w:val="en-GB"/>
        </w:rPr>
        <w:t xml:space="preserve"> tax measures (lost tax income) of a structural amount of some €200 million in 2018 (excluding the Innovation Box). This was used on balance for the introduction of the RDA in 2012. </w:t>
      </w:r>
    </w:p>
    <w:p w14:paraId="1E0B64BD" w14:textId="77777777" w:rsidR="004F2274" w:rsidRPr="0058033D" w:rsidRDefault="004F2274" w:rsidP="00F02E6A">
      <w:pPr>
        <w:rPr>
          <w:lang w:val="en-GB"/>
        </w:rPr>
      </w:pPr>
      <w:r w:rsidRPr="0058033D">
        <w:rPr>
          <w:lang w:val="en-GB"/>
        </w:rPr>
        <w:t xml:space="preserve"> </w:t>
      </w:r>
    </w:p>
    <w:p w14:paraId="36246B85" w14:textId="14BBD219" w:rsidR="004F2274" w:rsidRPr="0058033D" w:rsidRDefault="004F2274" w:rsidP="00F02E6A">
      <w:pPr>
        <w:rPr>
          <w:lang w:val="en-GB"/>
        </w:rPr>
      </w:pPr>
      <w:r w:rsidRPr="0058033D">
        <w:rPr>
          <w:lang w:val="en-GB"/>
        </w:rPr>
        <w:t>As well as intensification and savings, other budgetary changes have been made. For example, the financing model for applied research institutions has been altered by reducing the fixed basic financing and at the same time creating opportunities for obtaining supplementary financing based on the concrete contribution these institutions deliver to policy strategies focusing on social objectives and public-private research programmes.</w:t>
      </w:r>
      <w:r w:rsidRPr="0058033D">
        <w:rPr>
          <w:rStyle w:val="Voetnootmarkering"/>
          <w:color w:val="000000"/>
          <w:lang w:val="en-GB"/>
        </w:rPr>
        <w:footnoteReference w:id="22"/>
      </w:r>
      <w:r w:rsidRPr="0058033D">
        <w:rPr>
          <w:lang w:val="en-GB"/>
        </w:rPr>
        <w:t xml:space="preserve"> The revolving </w:t>
      </w:r>
      <w:r w:rsidR="00D04E5D">
        <w:rPr>
          <w:i/>
          <w:lang w:val="en-GB"/>
        </w:rPr>
        <w:t>Innovatie</w:t>
      </w:r>
      <w:r w:rsidRPr="00D04E5D">
        <w:rPr>
          <w:i/>
          <w:lang w:val="en-GB"/>
        </w:rPr>
        <w:t xml:space="preserve">fonds </w:t>
      </w:r>
      <w:r w:rsidR="0065068F" w:rsidRPr="00D04E5D">
        <w:rPr>
          <w:i/>
          <w:lang w:val="en-GB"/>
        </w:rPr>
        <w:t>MKB</w:t>
      </w:r>
      <w:r w:rsidRPr="00D04E5D">
        <w:rPr>
          <w:i/>
          <w:lang w:val="en-GB"/>
        </w:rPr>
        <w:t>+</w:t>
      </w:r>
      <w:r w:rsidRPr="0058033D">
        <w:rPr>
          <w:lang w:val="en-GB"/>
        </w:rPr>
        <w:t xml:space="preserve"> (part of the </w:t>
      </w:r>
      <w:r w:rsidRPr="00D04E5D">
        <w:rPr>
          <w:i/>
          <w:lang w:val="en-GB"/>
        </w:rPr>
        <w:t>Toekomstfonds</w:t>
      </w:r>
      <w:r w:rsidRPr="0058033D">
        <w:rPr>
          <w:lang w:val="en-GB"/>
        </w:rPr>
        <w:t xml:space="preserve"> from 2015) </w:t>
      </w:r>
      <w:r w:rsidR="0065068F" w:rsidRPr="0058033D">
        <w:rPr>
          <w:lang w:val="en-GB"/>
        </w:rPr>
        <w:t xml:space="preserve">was </w:t>
      </w:r>
      <w:r w:rsidRPr="0058033D">
        <w:rPr>
          <w:lang w:val="en-GB"/>
        </w:rPr>
        <w:t xml:space="preserve">started and existing resources (such as certain NWO funds) are now earmarked for fundamental research in line with thematic knowledge and innovation </w:t>
      </w:r>
      <w:r w:rsidR="0065068F" w:rsidRPr="0058033D">
        <w:rPr>
          <w:lang w:val="en-GB"/>
        </w:rPr>
        <w:t xml:space="preserve">programmes </w:t>
      </w:r>
      <w:r w:rsidRPr="0058033D">
        <w:rPr>
          <w:lang w:val="en-GB"/>
        </w:rPr>
        <w:t>of the top sectors. This earmarking also applies to some co-financing resources for European programmes.</w:t>
      </w:r>
    </w:p>
    <w:p w14:paraId="2E3DA462" w14:textId="77777777" w:rsidR="004F2274" w:rsidRPr="0058033D" w:rsidRDefault="004F2274" w:rsidP="00D73C59">
      <w:pPr>
        <w:rPr>
          <w:color w:val="1F497D"/>
          <w:lang w:val="en-GB"/>
        </w:rPr>
      </w:pPr>
    </w:p>
    <w:p w14:paraId="0DD81FFE" w14:textId="77777777" w:rsidR="004F2274" w:rsidRPr="0058033D" w:rsidRDefault="004F2274" w:rsidP="00D73C59">
      <w:pPr>
        <w:contextualSpacing/>
        <w:rPr>
          <w:i/>
          <w:lang w:val="en-GB"/>
        </w:rPr>
      </w:pPr>
      <w:r w:rsidRPr="0058033D">
        <w:rPr>
          <w:i/>
          <w:lang w:val="en-GB"/>
        </w:rPr>
        <w:t>Possible reorientation of the policy mix</w:t>
      </w:r>
    </w:p>
    <w:p w14:paraId="37500554" w14:textId="67A50676" w:rsidR="004F2274" w:rsidRPr="0058033D" w:rsidRDefault="004F2274" w:rsidP="00D73C59">
      <w:pPr>
        <w:rPr>
          <w:color w:val="1F497D"/>
          <w:lang w:val="en-GB"/>
        </w:rPr>
      </w:pPr>
      <w:r w:rsidRPr="0058033D">
        <w:rPr>
          <w:color w:val="000000"/>
          <w:lang w:val="en-GB"/>
        </w:rPr>
        <w:t xml:space="preserve">Stable policy frameworks are important for the success of the policy </w:t>
      </w:r>
      <w:r w:rsidR="008F1238">
        <w:rPr>
          <w:color w:val="000000"/>
          <w:lang w:val="en-GB"/>
        </w:rPr>
        <w:t>since</w:t>
      </w:r>
      <w:r w:rsidRPr="0058033D">
        <w:rPr>
          <w:color w:val="000000"/>
          <w:lang w:val="en-GB"/>
        </w:rPr>
        <w:t xml:space="preserve"> enterprises and knowledge institutions have to be able to draw up plans for the medium term. This does not mean that regular critical reviews of policy and </w:t>
      </w:r>
      <w:r w:rsidR="004C6C06">
        <w:rPr>
          <w:color w:val="000000"/>
          <w:lang w:val="en-GB"/>
        </w:rPr>
        <w:t xml:space="preserve">of </w:t>
      </w:r>
      <w:r w:rsidRPr="0058033D">
        <w:rPr>
          <w:color w:val="000000"/>
          <w:lang w:val="en-GB"/>
        </w:rPr>
        <w:t xml:space="preserve">whether </w:t>
      </w:r>
      <w:r w:rsidR="0065068F" w:rsidRPr="0058033D">
        <w:rPr>
          <w:color w:val="000000"/>
          <w:lang w:val="en-GB"/>
        </w:rPr>
        <w:t>it</w:t>
      </w:r>
      <w:r w:rsidRPr="0058033D">
        <w:rPr>
          <w:color w:val="000000"/>
          <w:lang w:val="en-GB"/>
        </w:rPr>
        <w:t xml:space="preserve"> is on course and beginning to bear fruit are not essential. This is done in EZ’s annual </w:t>
      </w:r>
      <w:r w:rsidR="00775F00" w:rsidRPr="0058033D">
        <w:rPr>
          <w:i/>
          <w:color w:val="000000"/>
          <w:lang w:val="en-GB"/>
        </w:rPr>
        <w:t>Monitor Bedrijvenbeleid</w:t>
      </w:r>
      <w:r w:rsidRPr="0058033D">
        <w:rPr>
          <w:color w:val="000000"/>
          <w:lang w:val="en-GB"/>
        </w:rPr>
        <w:t xml:space="preserve"> and this policy review is also </w:t>
      </w:r>
      <w:r w:rsidR="00C2054D" w:rsidRPr="0058033D">
        <w:rPr>
          <w:color w:val="000000"/>
          <w:lang w:val="en-GB"/>
        </w:rPr>
        <w:t>making a contribution</w:t>
      </w:r>
      <w:r w:rsidRPr="0058033D">
        <w:rPr>
          <w:color w:val="000000"/>
          <w:lang w:val="en-GB"/>
        </w:rPr>
        <w:t>. The background study makes a number of observations for</w:t>
      </w:r>
      <w:r w:rsidR="00C2054D" w:rsidRPr="0058033D">
        <w:rPr>
          <w:color w:val="000000"/>
          <w:lang w:val="en-GB"/>
        </w:rPr>
        <w:t xml:space="preserve"> possible reorientation of the balance and composition of the</w:t>
      </w:r>
      <w:r w:rsidRPr="0058033D">
        <w:rPr>
          <w:color w:val="000000"/>
          <w:lang w:val="en-GB"/>
        </w:rPr>
        <w:t xml:space="preserve"> policy mix. Such improvements in the policy mix may potentially lead to a reduction of the cost of the policy and/or an improvement in its social benefits. The background study also makes a number of suggestions to further improve the quality of policy, communication and the policy cycle. Table 1 summarizes the suggestions and they are discussed below as necessary.</w:t>
      </w:r>
    </w:p>
    <w:p w14:paraId="13E927E2" w14:textId="77777777" w:rsidR="004F2274" w:rsidRPr="0058033D" w:rsidRDefault="004F2274" w:rsidP="00D73C59">
      <w:pPr>
        <w:rPr>
          <w:color w:val="1F497D"/>
          <w:u w:val="single"/>
          <w:lang w:val="en-GB"/>
        </w:rPr>
      </w:pPr>
    </w:p>
    <w:p w14:paraId="72ABBDB3" w14:textId="74753EED" w:rsidR="004F2274" w:rsidRPr="0058033D" w:rsidRDefault="001021EB" w:rsidP="00D73C59">
      <w:pPr>
        <w:rPr>
          <w:color w:val="1F497D"/>
          <w:u w:val="single"/>
          <w:lang w:val="en-GB"/>
        </w:rPr>
      </w:pPr>
      <w:r>
        <w:rPr>
          <w:color w:val="1F497D"/>
          <w:u w:val="single"/>
          <w:lang w:val="en-GB"/>
        </w:rPr>
        <w:br w:type="page"/>
      </w:r>
      <w:r w:rsidR="004F2274" w:rsidRPr="0058033D">
        <w:rPr>
          <w:color w:val="1F497D"/>
          <w:u w:val="single"/>
          <w:lang w:val="en-GB"/>
        </w:rPr>
        <w:t>Tax incentives to businesses</w:t>
      </w:r>
    </w:p>
    <w:p w14:paraId="4199697F" w14:textId="572DF3E0" w:rsidR="004F2274" w:rsidRPr="0058033D" w:rsidRDefault="004F2274" w:rsidP="00D73C59">
      <w:pPr>
        <w:rPr>
          <w:color w:val="1F497D"/>
          <w:lang w:val="en-GB"/>
        </w:rPr>
      </w:pPr>
      <w:r w:rsidRPr="0058033D">
        <w:rPr>
          <w:color w:val="000000"/>
          <w:lang w:val="en-GB"/>
        </w:rPr>
        <w:t>The main message from the background study is that the current policy mix for innovation and enterprise is dominated in budgetary terms by tax incentives to businesses, in particular facilities for the self-employed and low VAT rates for specific sectors (see also annexes 1 and 2). At the same time, the background study notes that tax incentives to businesses are difficult to defend in economic theory and also seem to have limited effectiveness in terms of promoting innovation and the business climate. These measures have, however, reduced the burden for specific target groups of enterprises and led to some employment creation, but these are not the primary objectives of the policy in items 12 and 13 of the EZ budget. This does not mean that tax measures do not have an indirect influence on enter</w:t>
      </w:r>
      <w:r w:rsidR="00C2054D" w:rsidRPr="0058033D">
        <w:rPr>
          <w:color w:val="000000"/>
          <w:lang w:val="en-GB"/>
        </w:rPr>
        <w:t xml:space="preserve">prise and innovation; there </w:t>
      </w:r>
      <w:r w:rsidR="009D0806">
        <w:rPr>
          <w:color w:val="000000"/>
          <w:lang w:val="en-GB"/>
        </w:rPr>
        <w:t>are</w:t>
      </w:r>
      <w:r w:rsidRPr="0058033D">
        <w:rPr>
          <w:color w:val="000000"/>
          <w:lang w:val="en-GB"/>
        </w:rPr>
        <w:t xml:space="preserve"> tax </w:t>
      </w:r>
      <w:r w:rsidR="00C2054D" w:rsidRPr="0058033D">
        <w:rPr>
          <w:color w:val="000000"/>
          <w:lang w:val="en-GB"/>
        </w:rPr>
        <w:t xml:space="preserve">considerations </w:t>
      </w:r>
      <w:r w:rsidRPr="0058033D">
        <w:rPr>
          <w:color w:val="000000"/>
          <w:lang w:val="en-GB"/>
        </w:rPr>
        <w:t xml:space="preserve">in the choice between being an employee and self-employment, </w:t>
      </w:r>
      <w:r w:rsidR="00C2054D" w:rsidRPr="0058033D">
        <w:rPr>
          <w:color w:val="000000"/>
          <w:lang w:val="en-GB"/>
        </w:rPr>
        <w:t xml:space="preserve">and </w:t>
      </w:r>
      <w:r w:rsidR="001F6717">
        <w:rPr>
          <w:color w:val="000000"/>
          <w:lang w:val="en-GB"/>
        </w:rPr>
        <w:t>an</w:t>
      </w:r>
      <w:r w:rsidR="008F1238">
        <w:rPr>
          <w:color w:val="000000"/>
          <w:lang w:val="en-GB"/>
        </w:rPr>
        <w:t xml:space="preserve"> </w:t>
      </w:r>
      <w:r w:rsidRPr="0058033D">
        <w:rPr>
          <w:color w:val="000000"/>
          <w:lang w:val="en-GB"/>
        </w:rPr>
        <w:t>entrepreneur</w:t>
      </w:r>
      <w:r w:rsidR="008F1238">
        <w:rPr>
          <w:color w:val="000000"/>
          <w:lang w:val="en-GB"/>
        </w:rPr>
        <w:t xml:space="preserve">’s decision </w:t>
      </w:r>
      <w:r w:rsidRPr="0058033D">
        <w:rPr>
          <w:color w:val="000000"/>
          <w:lang w:val="en-GB"/>
        </w:rPr>
        <w:t xml:space="preserve">to take the risk to innovate or not. </w:t>
      </w:r>
    </w:p>
    <w:p w14:paraId="35711583" w14:textId="77777777" w:rsidR="004F2274" w:rsidRPr="0058033D" w:rsidRDefault="004F2274" w:rsidP="00D73C59">
      <w:pPr>
        <w:rPr>
          <w:color w:val="000000"/>
          <w:lang w:val="en-GB"/>
        </w:rPr>
      </w:pPr>
    </w:p>
    <w:p w14:paraId="4E531D67" w14:textId="0AF1E09D" w:rsidR="004F2274" w:rsidRPr="0058033D" w:rsidRDefault="004F2274" w:rsidP="00D73C59">
      <w:pPr>
        <w:rPr>
          <w:color w:val="000000"/>
          <w:lang w:val="en-GB"/>
        </w:rPr>
      </w:pPr>
      <w:r w:rsidRPr="0058033D">
        <w:rPr>
          <w:color w:val="000000"/>
          <w:lang w:val="en-GB"/>
        </w:rPr>
        <w:t xml:space="preserve">The </w:t>
      </w:r>
      <w:r w:rsidR="00567DBF" w:rsidRPr="0058033D">
        <w:rPr>
          <w:color w:val="000000"/>
          <w:lang w:val="en-GB"/>
        </w:rPr>
        <w:t>government</w:t>
      </w:r>
      <w:r w:rsidRPr="0058033D">
        <w:rPr>
          <w:color w:val="000000"/>
          <w:lang w:val="en-GB"/>
        </w:rPr>
        <w:t xml:space="preserve"> addresses tax incentives to businesses in its response to the interdepartmental policy research </w:t>
      </w:r>
      <w:r w:rsidR="009D0806" w:rsidRPr="0058033D">
        <w:rPr>
          <w:color w:val="000000"/>
          <w:lang w:val="en-GB"/>
        </w:rPr>
        <w:t xml:space="preserve">of self-employment </w:t>
      </w:r>
      <w:r w:rsidRPr="0058033D">
        <w:rPr>
          <w:color w:val="000000"/>
          <w:lang w:val="en-GB"/>
        </w:rPr>
        <w:t>(IBO</w:t>
      </w:r>
      <w:r w:rsidR="009D0806">
        <w:rPr>
          <w:color w:val="000000"/>
          <w:lang w:val="en-GB"/>
        </w:rPr>
        <w:t>-ZZP</w:t>
      </w:r>
      <w:r w:rsidRPr="0058033D">
        <w:rPr>
          <w:color w:val="000000"/>
          <w:lang w:val="en-GB"/>
        </w:rPr>
        <w:t xml:space="preserve">) and in the context of the revision of the tax system, including the way in which the instruments can be focused more effectively on achieving a greater social return in terms of innovation, productivity growth, business climate and employment. Obviously the results and observations on </w:t>
      </w:r>
      <w:r w:rsidR="00C52C6C" w:rsidRPr="0058033D">
        <w:rPr>
          <w:color w:val="000000"/>
          <w:lang w:val="en-GB"/>
        </w:rPr>
        <w:t xml:space="preserve">tax incentives to businesses </w:t>
      </w:r>
      <w:r w:rsidRPr="0058033D">
        <w:rPr>
          <w:color w:val="000000"/>
          <w:lang w:val="en-GB"/>
        </w:rPr>
        <w:t xml:space="preserve">in this policy review should be incorporated in the proposed revision of the tax system. </w:t>
      </w:r>
    </w:p>
    <w:p w14:paraId="659BD7F3" w14:textId="77777777" w:rsidR="004F2274" w:rsidRPr="0058033D" w:rsidRDefault="004F2274" w:rsidP="00D73C59">
      <w:pPr>
        <w:rPr>
          <w:color w:val="1F497D"/>
          <w:u w:val="single"/>
          <w:lang w:val="en-GB"/>
        </w:rPr>
      </w:pPr>
    </w:p>
    <w:p w14:paraId="26B875D2" w14:textId="77777777" w:rsidR="004F2274" w:rsidRPr="0058033D" w:rsidRDefault="004F2274" w:rsidP="00D73C59">
      <w:pPr>
        <w:rPr>
          <w:color w:val="1F497D"/>
          <w:u w:val="single"/>
          <w:lang w:val="en-GB"/>
        </w:rPr>
      </w:pPr>
      <w:r w:rsidRPr="0058033D">
        <w:rPr>
          <w:color w:val="1F497D"/>
          <w:u w:val="single"/>
          <w:lang w:val="en-GB"/>
        </w:rPr>
        <w:t>The SME target group and incentives to businesses</w:t>
      </w:r>
    </w:p>
    <w:p w14:paraId="0D8CCC63" w14:textId="009B9070" w:rsidR="004F2274" w:rsidRPr="0058033D" w:rsidRDefault="004F2274" w:rsidP="00D73C59">
      <w:pPr>
        <w:rPr>
          <w:color w:val="1F497D"/>
          <w:lang w:val="en-GB"/>
        </w:rPr>
      </w:pPr>
      <w:r w:rsidRPr="0058033D">
        <w:rPr>
          <w:color w:val="000000"/>
          <w:lang w:val="en-GB"/>
        </w:rPr>
        <w:t xml:space="preserve">The set of </w:t>
      </w:r>
      <w:r w:rsidR="00F44404" w:rsidRPr="0058033D">
        <w:rPr>
          <w:color w:val="000000"/>
          <w:lang w:val="en-GB"/>
        </w:rPr>
        <w:t xml:space="preserve">enterprise policy </w:t>
      </w:r>
      <w:r w:rsidRPr="0058033D">
        <w:rPr>
          <w:color w:val="000000"/>
          <w:lang w:val="en-GB"/>
        </w:rPr>
        <w:t>instruments seem</w:t>
      </w:r>
      <w:r w:rsidR="009D0806">
        <w:rPr>
          <w:color w:val="000000"/>
          <w:lang w:val="en-GB"/>
        </w:rPr>
        <w:t>s</w:t>
      </w:r>
      <w:r w:rsidRPr="0058033D">
        <w:rPr>
          <w:color w:val="000000"/>
          <w:lang w:val="en-GB"/>
        </w:rPr>
        <w:t xml:space="preserve"> to be easily accessible and beneficial to SMEs. The SME-related instruments f</w:t>
      </w:r>
      <w:r w:rsidR="00F44404" w:rsidRPr="0058033D">
        <w:rPr>
          <w:color w:val="000000"/>
          <w:lang w:val="en-GB"/>
        </w:rPr>
        <w:t xml:space="preserve">ocus </w:t>
      </w:r>
      <w:r w:rsidR="008F1238">
        <w:rPr>
          <w:color w:val="000000"/>
          <w:lang w:val="en-GB"/>
        </w:rPr>
        <w:t>on</w:t>
      </w:r>
      <w:r w:rsidR="00F44404" w:rsidRPr="0058033D">
        <w:rPr>
          <w:color w:val="000000"/>
          <w:lang w:val="en-GB"/>
        </w:rPr>
        <w:t xml:space="preserve"> different types of </w:t>
      </w:r>
      <w:r w:rsidRPr="0058033D">
        <w:rPr>
          <w:color w:val="000000"/>
          <w:lang w:val="en-GB"/>
        </w:rPr>
        <w:t>bu</w:t>
      </w:r>
      <w:r w:rsidR="009D0806">
        <w:rPr>
          <w:color w:val="000000"/>
          <w:lang w:val="en-GB"/>
        </w:rPr>
        <w:t>sinesses and their issues; the SME</w:t>
      </w:r>
      <w:r w:rsidRPr="0058033D">
        <w:rPr>
          <w:color w:val="000000"/>
          <w:lang w:val="en-GB"/>
        </w:rPr>
        <w:t xml:space="preserve"> target group is very heterogeneous and includes sole traders, small-scale self-employment, family enterprises, starters, growers, innovative SMEs, multinational SMEs and knowledge-intensive R&amp;D enterprises. </w:t>
      </w:r>
    </w:p>
    <w:p w14:paraId="6D89B64C" w14:textId="77777777" w:rsidR="004F2274" w:rsidRPr="0058033D" w:rsidRDefault="004F2274" w:rsidP="00D73C59">
      <w:pPr>
        <w:rPr>
          <w:lang w:val="en-GB"/>
        </w:rPr>
      </w:pPr>
    </w:p>
    <w:p w14:paraId="572374A0" w14:textId="62E1C9D0" w:rsidR="004F2274" w:rsidRPr="001579C6" w:rsidRDefault="00F44404" w:rsidP="00D73C59">
      <w:pPr>
        <w:rPr>
          <w:color w:val="000000"/>
          <w:lang w:val="en-GB"/>
        </w:rPr>
      </w:pPr>
      <w:r w:rsidRPr="0058033D">
        <w:rPr>
          <w:lang w:val="en-GB"/>
        </w:rPr>
        <w:t>Generic enterprise policy</w:t>
      </w:r>
      <w:r w:rsidR="004F2274" w:rsidRPr="0058033D">
        <w:rPr>
          <w:lang w:val="en-GB"/>
        </w:rPr>
        <w:t xml:space="preserve"> quickly </w:t>
      </w:r>
      <w:r w:rsidRPr="0058033D">
        <w:rPr>
          <w:lang w:val="en-GB"/>
        </w:rPr>
        <w:t>gains</w:t>
      </w:r>
      <w:r w:rsidR="009D0806">
        <w:rPr>
          <w:lang w:val="en-GB"/>
        </w:rPr>
        <w:t xml:space="preserve"> a high SME</w:t>
      </w:r>
      <w:r w:rsidR="004F2274" w:rsidRPr="0058033D">
        <w:rPr>
          <w:lang w:val="en-GB"/>
        </w:rPr>
        <w:t xml:space="preserve"> content (see table 2)</w:t>
      </w:r>
      <w:r w:rsidRPr="0058033D">
        <w:rPr>
          <w:lang w:val="en-GB"/>
        </w:rPr>
        <w:t xml:space="preserve"> simply because of the composition of the Dutch business population</w:t>
      </w:r>
      <w:r w:rsidR="004F2274" w:rsidRPr="0058033D">
        <w:rPr>
          <w:lang w:val="en-GB"/>
        </w:rPr>
        <w:t>. Clarity on</w:t>
      </w:r>
      <w:r w:rsidR="004F2274" w:rsidRPr="0058033D">
        <w:rPr>
          <w:color w:val="000000"/>
          <w:lang w:val="en-GB"/>
        </w:rPr>
        <w:t xml:space="preserve"> this heterogeneity in both policy and the target group and a clear analysis of issues can enhance transparency on this point. The </w:t>
      </w:r>
      <w:r w:rsidR="004F2274" w:rsidRPr="003F022A">
        <w:rPr>
          <w:color w:val="000000"/>
          <w:lang w:val="en-GB"/>
        </w:rPr>
        <w:t xml:space="preserve">proposed </w:t>
      </w:r>
      <w:r w:rsidR="003F022A" w:rsidRPr="003F022A">
        <w:rPr>
          <w:i/>
          <w:color w:val="000000"/>
          <w:lang w:val="en-GB"/>
        </w:rPr>
        <w:t>De</w:t>
      </w:r>
      <w:r w:rsidRPr="003F022A">
        <w:rPr>
          <w:i/>
          <w:color w:val="000000"/>
          <w:lang w:val="en-GB"/>
        </w:rPr>
        <w:t xml:space="preserve"> Staat </w:t>
      </w:r>
      <w:r w:rsidR="003F022A" w:rsidRPr="003F022A">
        <w:rPr>
          <w:i/>
          <w:color w:val="000000"/>
          <w:lang w:val="en-GB"/>
        </w:rPr>
        <w:t>van</w:t>
      </w:r>
      <w:r w:rsidR="001579C6" w:rsidRPr="003F022A">
        <w:rPr>
          <w:i/>
          <w:color w:val="000000"/>
          <w:lang w:val="en-GB"/>
        </w:rPr>
        <w:t xml:space="preserve"> het</w:t>
      </w:r>
      <w:r w:rsidR="001579C6" w:rsidRPr="001579C6">
        <w:rPr>
          <w:i/>
          <w:color w:val="000000"/>
          <w:lang w:val="en-GB"/>
        </w:rPr>
        <w:t xml:space="preserve"> Mkb</w:t>
      </w:r>
      <w:r w:rsidRPr="001579C6">
        <w:rPr>
          <w:color w:val="000000"/>
          <w:lang w:val="en-GB"/>
        </w:rPr>
        <w:t xml:space="preserve"> monitor </w:t>
      </w:r>
      <w:r w:rsidR="004F2274" w:rsidRPr="001579C6">
        <w:rPr>
          <w:color w:val="000000"/>
          <w:lang w:val="en-GB"/>
        </w:rPr>
        <w:t xml:space="preserve">will be useful for this and also assist in clarifying the policy vision on SMEs. The </w:t>
      </w:r>
      <w:r w:rsidR="00567DBF" w:rsidRPr="001579C6">
        <w:rPr>
          <w:color w:val="000000"/>
          <w:lang w:val="en-GB"/>
        </w:rPr>
        <w:t>government</w:t>
      </w:r>
      <w:r w:rsidR="004F2274" w:rsidRPr="001579C6">
        <w:rPr>
          <w:color w:val="000000"/>
          <w:lang w:val="en-GB"/>
        </w:rPr>
        <w:t xml:space="preserve"> will work on </w:t>
      </w:r>
      <w:r w:rsidR="0058033D" w:rsidRPr="001579C6">
        <w:rPr>
          <w:color w:val="000000"/>
          <w:lang w:val="en-GB"/>
        </w:rPr>
        <w:t>analysing</w:t>
      </w:r>
      <w:r w:rsidR="004F2274" w:rsidRPr="001579C6">
        <w:rPr>
          <w:color w:val="000000"/>
          <w:lang w:val="en-GB"/>
        </w:rPr>
        <w:t xml:space="preserve"> and monitoring issues. </w:t>
      </w:r>
    </w:p>
    <w:p w14:paraId="063DF113" w14:textId="77777777" w:rsidR="004F2274" w:rsidRPr="001579C6" w:rsidRDefault="004F2274" w:rsidP="00D73C59">
      <w:pPr>
        <w:rPr>
          <w:color w:val="000000"/>
          <w:lang w:val="en-GB"/>
        </w:rPr>
      </w:pPr>
    </w:p>
    <w:p w14:paraId="11561C4E" w14:textId="567801BF" w:rsidR="004F2274" w:rsidRPr="0058033D" w:rsidRDefault="004F2274" w:rsidP="00D73C59">
      <w:pPr>
        <w:rPr>
          <w:color w:val="000000"/>
          <w:lang w:val="en-GB"/>
        </w:rPr>
      </w:pPr>
      <w:r w:rsidRPr="001579C6">
        <w:rPr>
          <w:color w:val="000000"/>
          <w:lang w:val="en-GB"/>
        </w:rPr>
        <w:t xml:space="preserve">EZ started the </w:t>
      </w:r>
      <w:r w:rsidR="00F44404" w:rsidRPr="001579C6">
        <w:rPr>
          <w:i/>
          <w:color w:val="000000"/>
          <w:szCs w:val="18"/>
          <w:lang w:val="en-GB"/>
        </w:rPr>
        <w:t>Ambitieus Ondernemerschap</w:t>
      </w:r>
      <w:r w:rsidR="001579C6" w:rsidRPr="001579C6">
        <w:rPr>
          <w:i/>
          <w:color w:val="000000"/>
          <w:lang w:val="en-GB"/>
        </w:rPr>
        <w:t xml:space="preserve"> </w:t>
      </w:r>
      <w:r w:rsidRPr="001579C6">
        <w:rPr>
          <w:color w:val="000000"/>
          <w:lang w:val="en-GB"/>
        </w:rPr>
        <w:t xml:space="preserve">programme in 2014 with </w:t>
      </w:r>
      <w:r w:rsidR="001F6717">
        <w:rPr>
          <w:color w:val="000000"/>
          <w:lang w:val="en-GB"/>
        </w:rPr>
        <w:t>a</w:t>
      </w:r>
      <w:r w:rsidRPr="001579C6">
        <w:rPr>
          <w:color w:val="000000"/>
          <w:lang w:val="en-GB"/>
        </w:rPr>
        <w:t xml:space="preserve"> focus </w:t>
      </w:r>
      <w:r w:rsidR="009D0806" w:rsidRPr="001579C6">
        <w:rPr>
          <w:color w:val="000000"/>
          <w:lang w:val="en-GB"/>
        </w:rPr>
        <w:t xml:space="preserve">on businesses </w:t>
      </w:r>
      <w:r w:rsidRPr="001579C6">
        <w:rPr>
          <w:color w:val="000000"/>
          <w:lang w:val="en-GB"/>
        </w:rPr>
        <w:t>in incentives. This programme</w:t>
      </w:r>
      <w:r w:rsidRPr="0058033D">
        <w:rPr>
          <w:color w:val="000000"/>
          <w:lang w:val="en-GB"/>
        </w:rPr>
        <w:t xml:space="preserve"> </w:t>
      </w:r>
      <w:r w:rsidR="00F44404" w:rsidRPr="0058033D">
        <w:rPr>
          <w:color w:val="000000"/>
          <w:lang w:val="en-GB"/>
        </w:rPr>
        <w:t>concentrates</w:t>
      </w:r>
      <w:r w:rsidRPr="0058033D">
        <w:rPr>
          <w:color w:val="000000"/>
          <w:lang w:val="en-GB"/>
        </w:rPr>
        <w:t xml:space="preserve"> mainly on starters, challengers and growers. It gives start-ups better access to essential growth factors such as capital and knowledge to allow them t</w:t>
      </w:r>
      <w:r w:rsidR="00AE5D32">
        <w:rPr>
          <w:color w:val="000000"/>
          <w:lang w:val="en-GB"/>
        </w:rPr>
        <w:t>o</w:t>
      </w:r>
      <w:r w:rsidRPr="0058033D">
        <w:rPr>
          <w:color w:val="000000"/>
          <w:lang w:val="en-GB"/>
        </w:rPr>
        <w:t xml:space="preserve"> develop as players in the global market. The Minister of Economic Affairs has appointed Ms Kroes as ‘special start-ups envoy’</w:t>
      </w:r>
      <w:r w:rsidR="009D0806">
        <w:rPr>
          <w:color w:val="000000"/>
          <w:lang w:val="en-GB"/>
        </w:rPr>
        <w:t xml:space="preserve"> and with her ‘Start-up-Delta team’</w:t>
      </w:r>
      <w:r w:rsidRPr="0058033D">
        <w:rPr>
          <w:color w:val="000000"/>
          <w:lang w:val="en-GB"/>
        </w:rPr>
        <w:t xml:space="preserve"> she will strengthen the international position of start-ups in the Netherlands and encourage innovative foreign start-ups to set up here. There is also the ‘Take-off STW’ programme and challengers benefit in particular from greater efforts in innovation-based purchasing in the ‘urgent innovation procurement’ programme.</w:t>
      </w:r>
    </w:p>
    <w:p w14:paraId="2F888ADE" w14:textId="77777777" w:rsidR="004F2274" w:rsidRPr="0058033D" w:rsidRDefault="004F2274" w:rsidP="00D73C59">
      <w:pPr>
        <w:rPr>
          <w:color w:val="000000"/>
          <w:lang w:val="en-GB"/>
        </w:rPr>
      </w:pPr>
      <w:r w:rsidRPr="0058033D">
        <w:rPr>
          <w:color w:val="000000"/>
          <w:lang w:val="en-GB"/>
        </w:rPr>
        <w:t xml:space="preserve"> </w:t>
      </w:r>
    </w:p>
    <w:p w14:paraId="244438C6" w14:textId="77777777" w:rsidR="004F2274" w:rsidRPr="0058033D" w:rsidRDefault="004F2274" w:rsidP="00D73C59">
      <w:pPr>
        <w:rPr>
          <w:color w:val="1F497D"/>
          <w:u w:val="single"/>
          <w:lang w:val="en-GB"/>
        </w:rPr>
      </w:pPr>
      <w:r w:rsidRPr="0058033D">
        <w:rPr>
          <w:color w:val="1F497D"/>
          <w:u w:val="single"/>
          <w:lang w:val="en-GB"/>
        </w:rPr>
        <w:t>Instruments with the same objective</w:t>
      </w:r>
    </w:p>
    <w:p w14:paraId="6842BA67" w14:textId="3238E3C5" w:rsidR="004F2274" w:rsidRPr="0058033D" w:rsidRDefault="004F2274" w:rsidP="00D73C59">
      <w:pPr>
        <w:rPr>
          <w:color w:val="1F497D"/>
          <w:lang w:val="en-GB"/>
        </w:rPr>
      </w:pPr>
      <w:r w:rsidRPr="0058033D">
        <w:rPr>
          <w:color w:val="000000"/>
          <w:lang w:val="en-GB"/>
        </w:rPr>
        <w:t>The background study notes that</w:t>
      </w:r>
      <w:r w:rsidR="008F1238">
        <w:rPr>
          <w:color w:val="000000"/>
          <w:lang w:val="en-GB"/>
        </w:rPr>
        <w:t>,</w:t>
      </w:r>
      <w:r w:rsidRPr="0058033D">
        <w:rPr>
          <w:color w:val="000000"/>
          <w:lang w:val="en-GB"/>
        </w:rPr>
        <w:t xml:space="preserve"> </w:t>
      </w:r>
      <w:r w:rsidR="008F1238" w:rsidRPr="0058033D">
        <w:rPr>
          <w:color w:val="000000"/>
          <w:lang w:val="en-GB"/>
        </w:rPr>
        <w:t>in a number of areas</w:t>
      </w:r>
      <w:r w:rsidR="008F1238">
        <w:rPr>
          <w:color w:val="000000"/>
          <w:lang w:val="en-GB"/>
        </w:rPr>
        <w:t>,</w:t>
      </w:r>
      <w:r w:rsidR="008F1238" w:rsidRPr="0058033D">
        <w:rPr>
          <w:color w:val="000000"/>
          <w:lang w:val="en-GB"/>
        </w:rPr>
        <w:t xml:space="preserve"> </w:t>
      </w:r>
      <w:r w:rsidRPr="0058033D">
        <w:rPr>
          <w:color w:val="000000"/>
          <w:lang w:val="en-GB"/>
        </w:rPr>
        <w:t>there are different instruments with the same objective</w:t>
      </w:r>
      <w:r w:rsidR="00F44404" w:rsidRPr="0058033D">
        <w:rPr>
          <w:color w:val="000000"/>
          <w:lang w:val="en-GB"/>
        </w:rPr>
        <w:t>, including for example</w:t>
      </w:r>
      <w:r w:rsidRPr="0058033D">
        <w:rPr>
          <w:color w:val="000000"/>
          <w:lang w:val="en-GB"/>
        </w:rPr>
        <w:t xml:space="preserve"> the financing instruments (such as </w:t>
      </w:r>
      <w:r w:rsidR="00E3780B">
        <w:rPr>
          <w:color w:val="000000"/>
          <w:lang w:val="en-GB"/>
        </w:rPr>
        <w:t xml:space="preserve">the </w:t>
      </w:r>
      <w:r w:rsidRPr="0058033D">
        <w:rPr>
          <w:color w:val="000000"/>
          <w:lang w:val="en-GB"/>
        </w:rPr>
        <w:t>BMKB loan guarante</w:t>
      </w:r>
      <w:r w:rsidR="009D0806">
        <w:rPr>
          <w:color w:val="000000"/>
          <w:lang w:val="en-GB"/>
        </w:rPr>
        <w:t>e scheme, GO, Groeifaciliteit, Qredits</w:t>
      </w:r>
      <w:r w:rsidRPr="0058033D">
        <w:rPr>
          <w:color w:val="000000"/>
          <w:lang w:val="en-GB"/>
        </w:rPr>
        <w:t xml:space="preserve">, Innovation Credit, </w:t>
      </w:r>
      <w:r w:rsidR="00E3780B">
        <w:rPr>
          <w:color w:val="000000"/>
          <w:lang w:val="en-GB"/>
        </w:rPr>
        <w:t xml:space="preserve">and </w:t>
      </w:r>
      <w:r w:rsidRPr="0058033D">
        <w:rPr>
          <w:color w:val="000000"/>
          <w:lang w:val="en-GB"/>
        </w:rPr>
        <w:t>Financing package). The different financing instruments solve a range financing issues for widely-varying target groups (enterprises, banks or other private capital providers). For example, BMKB and GO focus on providers of smaller and la</w:t>
      </w:r>
      <w:r w:rsidR="00F44404" w:rsidRPr="0058033D">
        <w:rPr>
          <w:color w:val="000000"/>
          <w:lang w:val="en-GB"/>
        </w:rPr>
        <w:t>r</w:t>
      </w:r>
      <w:r w:rsidRPr="0058033D">
        <w:rPr>
          <w:color w:val="000000"/>
          <w:lang w:val="en-GB"/>
        </w:rPr>
        <w:t xml:space="preserve">ger credits </w:t>
      </w:r>
      <w:r w:rsidR="009D0806" w:rsidRPr="0058033D">
        <w:rPr>
          <w:color w:val="000000"/>
          <w:lang w:val="en-GB"/>
        </w:rPr>
        <w:t xml:space="preserve">respectively </w:t>
      </w:r>
      <w:r w:rsidRPr="0058033D">
        <w:rPr>
          <w:color w:val="000000"/>
          <w:lang w:val="en-GB"/>
        </w:rPr>
        <w:t>in the relatively lower risk segment of the capital market. The Groeifaciliteit is di</w:t>
      </w:r>
      <w:r w:rsidR="00F44404" w:rsidRPr="0058033D">
        <w:rPr>
          <w:color w:val="000000"/>
          <w:lang w:val="en-GB"/>
        </w:rPr>
        <w:t xml:space="preserve">fferent </w:t>
      </w:r>
      <w:r w:rsidRPr="0058033D">
        <w:rPr>
          <w:color w:val="000000"/>
          <w:lang w:val="en-GB"/>
        </w:rPr>
        <w:t xml:space="preserve">in that it focuses on guarantees in the higher risk </w:t>
      </w:r>
      <w:r w:rsidR="009D0806">
        <w:rPr>
          <w:color w:val="000000"/>
          <w:lang w:val="en-GB"/>
        </w:rPr>
        <w:t>segment of the capital market. Qredits</w:t>
      </w:r>
      <w:r w:rsidRPr="0058033D">
        <w:rPr>
          <w:color w:val="000000"/>
          <w:lang w:val="en-GB"/>
        </w:rPr>
        <w:t xml:space="preserve"> focuses on small credits for small enterprises which (partly because of high transaction costs) cannot call on the banks. It also focuses on permitting a greater private </w:t>
      </w:r>
      <w:r w:rsidR="00F44404" w:rsidRPr="0058033D">
        <w:rPr>
          <w:color w:val="000000"/>
          <w:lang w:val="en-GB"/>
        </w:rPr>
        <w:t>offering</w:t>
      </w:r>
      <w:r w:rsidRPr="0058033D">
        <w:rPr>
          <w:color w:val="000000"/>
          <w:lang w:val="en-GB"/>
        </w:rPr>
        <w:t xml:space="preserve"> on the capital market, such as pension funds and insurance companies, new private forms of financing, subordinated loans and chain financing. All these financing instruments contribute to the policy objective and focus on the diversity of underlying financing issues (customization). This expl</w:t>
      </w:r>
      <w:r w:rsidR="008F1238">
        <w:rPr>
          <w:color w:val="000000"/>
          <w:lang w:val="en-GB"/>
        </w:rPr>
        <w:t>ains the variety of instruments</w:t>
      </w:r>
      <w:r w:rsidR="00E3780B">
        <w:rPr>
          <w:color w:val="000000"/>
          <w:lang w:val="en-GB"/>
        </w:rPr>
        <w:t>,</w:t>
      </w:r>
      <w:r w:rsidRPr="0058033D">
        <w:rPr>
          <w:color w:val="000000"/>
          <w:lang w:val="en-GB"/>
        </w:rPr>
        <w:t xml:space="preserve"> but good and clear analysis of issues and </w:t>
      </w:r>
      <w:r w:rsidR="00F44404" w:rsidRPr="0058033D">
        <w:rPr>
          <w:color w:val="000000"/>
          <w:lang w:val="en-GB"/>
        </w:rPr>
        <w:t>consideration of</w:t>
      </w:r>
      <w:r w:rsidRPr="0058033D">
        <w:rPr>
          <w:color w:val="000000"/>
          <w:lang w:val="en-GB"/>
        </w:rPr>
        <w:t xml:space="preserve"> opportunities for ‘streamlining’ instruments could nevertheless increase transparency and possibly also effectiveness. The </w:t>
      </w:r>
      <w:r w:rsidR="00567DBF" w:rsidRPr="0058033D">
        <w:rPr>
          <w:color w:val="000000"/>
          <w:lang w:val="en-GB"/>
        </w:rPr>
        <w:t>government</w:t>
      </w:r>
      <w:r w:rsidRPr="0058033D">
        <w:rPr>
          <w:color w:val="000000"/>
          <w:lang w:val="en-GB"/>
        </w:rPr>
        <w:t xml:space="preserve"> will carry out such an analysis. The </w:t>
      </w:r>
      <w:r w:rsidR="00567DBF" w:rsidRPr="0058033D">
        <w:rPr>
          <w:color w:val="000000"/>
          <w:lang w:val="en-GB"/>
        </w:rPr>
        <w:t>government</w:t>
      </w:r>
      <w:r w:rsidRPr="0058033D">
        <w:rPr>
          <w:color w:val="000000"/>
          <w:lang w:val="en-GB"/>
        </w:rPr>
        <w:t xml:space="preserve"> attaches importance to an effective and robust set of financing instruments that assist enterprises </w:t>
      </w:r>
      <w:r w:rsidR="009D0806">
        <w:rPr>
          <w:color w:val="000000"/>
          <w:lang w:val="en-GB"/>
        </w:rPr>
        <w:t xml:space="preserve">to </w:t>
      </w:r>
      <w:r w:rsidRPr="0058033D">
        <w:rPr>
          <w:color w:val="000000"/>
          <w:lang w:val="en-GB"/>
        </w:rPr>
        <w:t>achieve their development and growth ambitions</w:t>
      </w:r>
      <w:r w:rsidR="00F44404" w:rsidRPr="0058033D">
        <w:rPr>
          <w:color w:val="000000"/>
          <w:lang w:val="en-GB"/>
        </w:rPr>
        <w:t xml:space="preserve"> and so </w:t>
      </w:r>
      <w:r w:rsidRPr="0058033D">
        <w:rPr>
          <w:color w:val="000000"/>
          <w:lang w:val="en-GB"/>
        </w:rPr>
        <w:t xml:space="preserve">has co-financed and recently expanded the Dutch Venture Initiative. </w:t>
      </w:r>
    </w:p>
    <w:p w14:paraId="62F5DD47" w14:textId="77777777" w:rsidR="004F2274" w:rsidRPr="0058033D" w:rsidRDefault="004F2274" w:rsidP="00D73C59">
      <w:pPr>
        <w:rPr>
          <w:color w:val="1F497D"/>
          <w:lang w:val="en-GB"/>
        </w:rPr>
      </w:pPr>
    </w:p>
    <w:p w14:paraId="0D36E129" w14:textId="77777777" w:rsidR="004F2274" w:rsidRPr="0058033D" w:rsidRDefault="004F2274" w:rsidP="00D73C59">
      <w:pPr>
        <w:rPr>
          <w:color w:val="1F497D"/>
          <w:u w:val="single"/>
          <w:lang w:val="en-GB"/>
        </w:rPr>
      </w:pPr>
      <w:r w:rsidRPr="0058033D">
        <w:rPr>
          <w:color w:val="1F497D"/>
          <w:u w:val="single"/>
          <w:lang w:val="en-GB"/>
        </w:rPr>
        <w:t>Tax incentives for innovation</w:t>
      </w:r>
    </w:p>
    <w:p w14:paraId="0D6898BF" w14:textId="0B562298" w:rsidR="004F2274" w:rsidRPr="0058033D" w:rsidRDefault="004F2274" w:rsidP="00D73C59">
      <w:pPr>
        <w:rPr>
          <w:color w:val="000000"/>
          <w:lang w:val="en-GB"/>
        </w:rPr>
      </w:pPr>
      <w:r w:rsidRPr="0058033D">
        <w:rPr>
          <w:color w:val="000000"/>
          <w:lang w:val="en-GB"/>
        </w:rPr>
        <w:t xml:space="preserve">The background study notes that the tax incentives for innovation (WBSO and RDA) are working well. Evaluation studies and international research show that the tax incentives for innovation are legitimate and effective. Instruments such as the WBSO and RDA seem to be more effective on this point than settlement through profit tax (as in the Innovation Box). </w:t>
      </w:r>
      <w:r w:rsidRPr="0058033D">
        <w:rPr>
          <w:rFonts w:cs="Arial"/>
          <w:lang w:val="en-GB"/>
        </w:rPr>
        <w:t>The Innovation Box will be evaluate</w:t>
      </w:r>
      <w:r w:rsidR="00F44404" w:rsidRPr="0058033D">
        <w:rPr>
          <w:rFonts w:cs="Arial"/>
          <w:lang w:val="en-GB"/>
        </w:rPr>
        <w:t>d for the first time this year, providing</w:t>
      </w:r>
      <w:r w:rsidRPr="0058033D">
        <w:rPr>
          <w:rFonts w:cs="Arial"/>
          <w:lang w:val="en-GB"/>
        </w:rPr>
        <w:t xml:space="preserve"> more information on the efficiency and effectiveness of this instrument.</w:t>
      </w:r>
    </w:p>
    <w:p w14:paraId="00B8895E" w14:textId="77777777" w:rsidR="004F2274" w:rsidRPr="0058033D" w:rsidRDefault="004F2274" w:rsidP="00D73C59">
      <w:pPr>
        <w:rPr>
          <w:color w:val="000000"/>
          <w:lang w:val="en-GB"/>
        </w:rPr>
      </w:pPr>
    </w:p>
    <w:p w14:paraId="427A948B" w14:textId="4E5D981F" w:rsidR="004F2274" w:rsidRPr="0058033D" w:rsidRDefault="004F2274" w:rsidP="00D73C59">
      <w:pPr>
        <w:rPr>
          <w:color w:val="1F497D"/>
          <w:lang w:val="en-GB"/>
        </w:rPr>
      </w:pPr>
      <w:r w:rsidRPr="0058033D">
        <w:rPr>
          <w:color w:val="000000"/>
          <w:lang w:val="en-GB"/>
        </w:rPr>
        <w:t xml:space="preserve">There also seems to be a benefit from integrating the WBSO (labour) and RDA (capital) into a single fiscal instrument to promote private R&amp;D expenditure. As stated in the EZ </w:t>
      </w:r>
      <w:r w:rsidR="009D0806" w:rsidRPr="0058033D">
        <w:rPr>
          <w:color w:val="000000"/>
          <w:lang w:val="en-GB"/>
        </w:rPr>
        <w:t>2015</w:t>
      </w:r>
      <w:r w:rsidR="009D0806">
        <w:rPr>
          <w:color w:val="000000"/>
          <w:lang w:val="en-GB"/>
        </w:rPr>
        <w:t xml:space="preserve"> </w:t>
      </w:r>
      <w:r w:rsidRPr="0058033D">
        <w:rPr>
          <w:color w:val="000000"/>
          <w:lang w:val="en-GB"/>
        </w:rPr>
        <w:t xml:space="preserve">budget, the </w:t>
      </w:r>
      <w:r w:rsidR="00567DBF" w:rsidRPr="0058033D">
        <w:rPr>
          <w:color w:val="000000"/>
          <w:lang w:val="en-GB"/>
        </w:rPr>
        <w:t>government</w:t>
      </w:r>
      <w:r w:rsidRPr="0058033D">
        <w:rPr>
          <w:color w:val="000000"/>
          <w:lang w:val="en-GB"/>
        </w:rPr>
        <w:t xml:space="preserve"> is currently considering this.</w:t>
      </w:r>
    </w:p>
    <w:p w14:paraId="73A17794" w14:textId="77777777" w:rsidR="004F2274" w:rsidRPr="0058033D" w:rsidRDefault="004F2274" w:rsidP="00D73C59">
      <w:pPr>
        <w:rPr>
          <w:color w:val="1F497D"/>
          <w:lang w:val="en-GB"/>
        </w:rPr>
      </w:pPr>
    </w:p>
    <w:p w14:paraId="14756154" w14:textId="77777777" w:rsidR="004F2274" w:rsidRPr="0058033D" w:rsidRDefault="004F2274" w:rsidP="00D73C59">
      <w:pPr>
        <w:rPr>
          <w:color w:val="1F497D"/>
          <w:u w:val="single"/>
          <w:lang w:val="en-GB"/>
        </w:rPr>
      </w:pPr>
      <w:r w:rsidRPr="0058033D">
        <w:rPr>
          <w:color w:val="1F497D"/>
          <w:u w:val="single"/>
          <w:lang w:val="en-GB"/>
        </w:rPr>
        <w:t xml:space="preserve">Scope of the innovation policy </w:t>
      </w:r>
    </w:p>
    <w:p w14:paraId="76239107" w14:textId="77A1ABDC" w:rsidR="004F2274" w:rsidRPr="0058033D" w:rsidRDefault="004F2274" w:rsidP="00D73C59">
      <w:pPr>
        <w:rPr>
          <w:color w:val="000000"/>
          <w:lang w:val="en-GB"/>
        </w:rPr>
      </w:pPr>
      <w:r w:rsidRPr="0058033D">
        <w:rPr>
          <w:color w:val="000000"/>
          <w:lang w:val="en-GB"/>
        </w:rPr>
        <w:t>The background study states that the policy addressing the promotion of innovation has a strong focus on promoting productivity growth and innovation by boosting ‘technological’ R&amp;D. The economic legitimacy (mainly via ‘knowledge spillovers’) of the policy on R&amp;D incentives is not in dispute and good additionality and effectiveness have been demonstrated. The study did, however, note that attention to non-technological aspects of innovation, integration of ICT innovation in regular innovation processes</w:t>
      </w:r>
      <w:r w:rsidRPr="0058033D">
        <w:rPr>
          <w:rStyle w:val="Voetnootmarkering"/>
          <w:color w:val="000000"/>
          <w:lang w:val="en-GB"/>
        </w:rPr>
        <w:footnoteReference w:id="23"/>
      </w:r>
      <w:r w:rsidRPr="0058033D">
        <w:rPr>
          <w:color w:val="000000"/>
          <w:lang w:val="en-GB"/>
        </w:rPr>
        <w:t xml:space="preserve"> and also a greater orientation on the contribution that the policy can </w:t>
      </w:r>
      <w:r w:rsidR="00F44404" w:rsidRPr="0058033D">
        <w:rPr>
          <w:color w:val="000000"/>
          <w:lang w:val="en-GB"/>
        </w:rPr>
        <w:t xml:space="preserve">make to </w:t>
      </w:r>
      <w:r w:rsidRPr="0058033D">
        <w:rPr>
          <w:color w:val="000000"/>
          <w:lang w:val="en-GB"/>
        </w:rPr>
        <w:t>‘social c</w:t>
      </w:r>
      <w:r w:rsidR="00F44404" w:rsidRPr="0058033D">
        <w:rPr>
          <w:color w:val="000000"/>
          <w:lang w:val="en-GB"/>
        </w:rPr>
        <w:t>hallenges’ (including</w:t>
      </w:r>
      <w:r w:rsidRPr="0058033D">
        <w:rPr>
          <w:color w:val="000000"/>
          <w:lang w:val="en-GB"/>
        </w:rPr>
        <w:t xml:space="preserve"> close links with the EU Horizon 2020 programme) </w:t>
      </w:r>
      <w:r w:rsidR="00F44404" w:rsidRPr="0058033D">
        <w:rPr>
          <w:color w:val="000000"/>
          <w:lang w:val="en-GB"/>
        </w:rPr>
        <w:t xml:space="preserve">could further increase </w:t>
      </w:r>
      <w:r w:rsidRPr="0058033D">
        <w:rPr>
          <w:color w:val="000000"/>
          <w:lang w:val="en-GB"/>
        </w:rPr>
        <w:t>the social return of the enterprise policy.</w:t>
      </w:r>
    </w:p>
    <w:p w14:paraId="4D7FBE9D" w14:textId="77777777" w:rsidR="004F2274" w:rsidRPr="0058033D" w:rsidRDefault="004F2274" w:rsidP="00D73C59">
      <w:pPr>
        <w:rPr>
          <w:color w:val="000000"/>
          <w:lang w:val="en-GB"/>
        </w:rPr>
      </w:pPr>
    </w:p>
    <w:p w14:paraId="38C07DA7" w14:textId="40008180" w:rsidR="004F2274" w:rsidRPr="0058033D" w:rsidRDefault="004F2274" w:rsidP="00D73C59">
      <w:pPr>
        <w:rPr>
          <w:color w:val="000000"/>
          <w:lang w:val="en-GB"/>
        </w:rPr>
      </w:pPr>
      <w:r w:rsidRPr="0058033D">
        <w:rPr>
          <w:color w:val="000000"/>
          <w:lang w:val="en-GB"/>
        </w:rPr>
        <w:t xml:space="preserve">The </w:t>
      </w:r>
      <w:r w:rsidR="00567DBF" w:rsidRPr="0058033D">
        <w:rPr>
          <w:color w:val="000000"/>
          <w:lang w:val="en-GB"/>
        </w:rPr>
        <w:t>government</w:t>
      </w:r>
      <w:r w:rsidRPr="0058033D">
        <w:rPr>
          <w:color w:val="000000"/>
          <w:lang w:val="en-GB"/>
        </w:rPr>
        <w:t xml:space="preserve"> supports better links with European programmes</w:t>
      </w:r>
      <w:r w:rsidR="008F1238">
        <w:rPr>
          <w:color w:val="000000"/>
          <w:lang w:val="en-GB"/>
        </w:rPr>
        <w:t>,</w:t>
      </w:r>
      <w:r w:rsidRPr="0058033D">
        <w:rPr>
          <w:color w:val="000000"/>
          <w:lang w:val="en-GB"/>
        </w:rPr>
        <w:t xml:space="preserve"> such as Horizon 2020, Eureka</w:t>
      </w:r>
      <w:r w:rsidR="00185A07">
        <w:rPr>
          <w:color w:val="000000"/>
          <w:lang w:val="en-GB"/>
        </w:rPr>
        <w:t xml:space="preserve"> </w:t>
      </w:r>
      <w:r w:rsidRPr="0058033D">
        <w:rPr>
          <w:color w:val="000000"/>
          <w:lang w:val="en-GB"/>
        </w:rPr>
        <w:t xml:space="preserve">clusters, Eurostars and JTIs, </w:t>
      </w:r>
      <w:r w:rsidR="00C2139F" w:rsidRPr="0058033D">
        <w:rPr>
          <w:color w:val="000000"/>
          <w:lang w:val="en-GB"/>
        </w:rPr>
        <w:t>by</w:t>
      </w:r>
      <w:r w:rsidRPr="0058033D">
        <w:rPr>
          <w:color w:val="000000"/>
          <w:lang w:val="en-GB"/>
        </w:rPr>
        <w:t xml:space="preserve"> co-financing innovative SMEs, nano-electronics and ‘embedded computing systems’.</w:t>
      </w:r>
      <w:r w:rsidR="00C2139F" w:rsidRPr="0058033D">
        <w:rPr>
          <w:color w:val="000000"/>
          <w:lang w:val="en-GB"/>
        </w:rPr>
        <w:t xml:space="preserve"> A</w:t>
      </w:r>
      <w:r w:rsidRPr="0058033D">
        <w:rPr>
          <w:color w:val="000000"/>
          <w:lang w:val="en-GB"/>
        </w:rPr>
        <w:t>t the request of t</w:t>
      </w:r>
      <w:r w:rsidR="00C2139F" w:rsidRPr="0058033D">
        <w:rPr>
          <w:color w:val="000000"/>
          <w:lang w:val="en-GB"/>
        </w:rPr>
        <w:t xml:space="preserve">he Ministry of Economic Affairs, top sectors are </w:t>
      </w:r>
      <w:r w:rsidRPr="0058033D">
        <w:rPr>
          <w:color w:val="000000"/>
          <w:lang w:val="en-GB"/>
        </w:rPr>
        <w:t xml:space="preserve">addressing </w:t>
      </w:r>
      <w:r w:rsidR="001F6717">
        <w:rPr>
          <w:color w:val="000000"/>
          <w:lang w:val="en-GB"/>
        </w:rPr>
        <w:t xml:space="preserve">the </w:t>
      </w:r>
      <w:r w:rsidRPr="0058033D">
        <w:rPr>
          <w:color w:val="000000"/>
          <w:lang w:val="en-GB"/>
        </w:rPr>
        <w:t>link</w:t>
      </w:r>
      <w:r w:rsidR="001F6717">
        <w:rPr>
          <w:color w:val="000000"/>
          <w:lang w:val="en-GB"/>
        </w:rPr>
        <w:t xml:space="preserve">ing of </w:t>
      </w:r>
      <w:r w:rsidRPr="0058033D">
        <w:rPr>
          <w:color w:val="000000"/>
          <w:lang w:val="en-GB"/>
        </w:rPr>
        <w:t>inn</w:t>
      </w:r>
      <w:r w:rsidR="00C2139F" w:rsidRPr="0058033D">
        <w:rPr>
          <w:color w:val="000000"/>
          <w:lang w:val="en-GB"/>
        </w:rPr>
        <w:t xml:space="preserve">ovation programmes on European </w:t>
      </w:r>
      <w:r w:rsidRPr="0058033D">
        <w:rPr>
          <w:color w:val="000000"/>
          <w:lang w:val="en-GB"/>
        </w:rPr>
        <w:t>soci</w:t>
      </w:r>
      <w:r w:rsidR="00C2139F" w:rsidRPr="0058033D">
        <w:rPr>
          <w:color w:val="000000"/>
          <w:lang w:val="en-GB"/>
        </w:rPr>
        <w:t>al</w:t>
      </w:r>
      <w:r w:rsidRPr="0058033D">
        <w:rPr>
          <w:color w:val="000000"/>
          <w:lang w:val="en-GB"/>
        </w:rPr>
        <w:t xml:space="preserve"> themes</w:t>
      </w:r>
      <w:r w:rsidR="00C2139F" w:rsidRPr="0058033D">
        <w:rPr>
          <w:color w:val="000000"/>
          <w:lang w:val="en-GB"/>
        </w:rPr>
        <w:t xml:space="preserve"> in the Innovation Contracts</w:t>
      </w:r>
      <w:r w:rsidRPr="0058033D">
        <w:rPr>
          <w:color w:val="000000"/>
          <w:lang w:val="en-GB"/>
        </w:rPr>
        <w:t xml:space="preserve">. Co-financing has been </w:t>
      </w:r>
      <w:r w:rsidR="00185A07">
        <w:rPr>
          <w:color w:val="000000"/>
          <w:lang w:val="en-GB"/>
        </w:rPr>
        <w:t>made</w:t>
      </w:r>
      <w:r w:rsidRPr="0058033D">
        <w:rPr>
          <w:color w:val="000000"/>
          <w:lang w:val="en-GB"/>
        </w:rPr>
        <w:t xml:space="preserve"> for social challenges via NWO.</w:t>
      </w:r>
      <w:r w:rsidR="00C2139F" w:rsidRPr="0058033D">
        <w:rPr>
          <w:color w:val="000000"/>
          <w:lang w:val="en-GB"/>
        </w:rPr>
        <w:t xml:space="preserve"> T</w:t>
      </w:r>
      <w:r w:rsidRPr="0058033D">
        <w:rPr>
          <w:color w:val="000000"/>
          <w:lang w:val="en-GB"/>
        </w:rPr>
        <w:t xml:space="preserve">he </w:t>
      </w:r>
      <w:r w:rsidR="00567DBF" w:rsidRPr="0058033D">
        <w:rPr>
          <w:color w:val="000000"/>
          <w:lang w:val="en-GB"/>
        </w:rPr>
        <w:t>government</w:t>
      </w:r>
      <w:r w:rsidRPr="0058033D">
        <w:rPr>
          <w:color w:val="000000"/>
          <w:lang w:val="en-GB"/>
        </w:rPr>
        <w:t xml:space="preserve"> is offering public knowledge institutions </w:t>
      </w:r>
      <w:r w:rsidR="00EC5687" w:rsidRPr="0058033D">
        <w:rPr>
          <w:color w:val="000000"/>
          <w:lang w:val="en-GB"/>
        </w:rPr>
        <w:t xml:space="preserve">reimbursement of </w:t>
      </w:r>
      <w:r w:rsidRPr="0058033D">
        <w:rPr>
          <w:color w:val="000000"/>
          <w:lang w:val="en-GB"/>
        </w:rPr>
        <w:t>‘matching’ costs</w:t>
      </w:r>
      <w:r w:rsidR="00C2139F" w:rsidRPr="0058033D">
        <w:rPr>
          <w:color w:val="000000"/>
          <w:lang w:val="en-GB"/>
        </w:rPr>
        <w:t xml:space="preserve"> for participation in EU projects</w:t>
      </w:r>
      <w:r w:rsidRPr="0058033D">
        <w:rPr>
          <w:color w:val="000000"/>
          <w:lang w:val="en-GB"/>
        </w:rPr>
        <w:t>. Since 2011 the return percentage has grown annually.</w:t>
      </w:r>
    </w:p>
    <w:p w14:paraId="4BA149BB" w14:textId="77777777" w:rsidR="004F2274" w:rsidRPr="0058033D" w:rsidRDefault="004F2274" w:rsidP="00D73C59">
      <w:pPr>
        <w:rPr>
          <w:color w:val="1F497D"/>
          <w:lang w:val="en-GB"/>
        </w:rPr>
      </w:pPr>
    </w:p>
    <w:p w14:paraId="05967184" w14:textId="02E0B195" w:rsidR="004F2274" w:rsidRPr="0058033D" w:rsidRDefault="004F2274" w:rsidP="00D73C59">
      <w:pPr>
        <w:rPr>
          <w:color w:val="1F497D"/>
          <w:lang w:val="en-GB"/>
        </w:rPr>
      </w:pPr>
      <w:r w:rsidRPr="0058033D">
        <w:rPr>
          <w:color w:val="000000"/>
          <w:lang w:val="en-GB"/>
        </w:rPr>
        <w:t>Research</w:t>
      </w:r>
      <w:r w:rsidRPr="0058033D">
        <w:rPr>
          <w:rStyle w:val="Voetnootmarkering"/>
          <w:color w:val="000000"/>
          <w:lang w:val="en-GB"/>
        </w:rPr>
        <w:footnoteReference w:id="24"/>
      </w:r>
      <w:r w:rsidRPr="0058033D">
        <w:rPr>
          <w:color w:val="000000"/>
          <w:lang w:val="en-GB"/>
        </w:rPr>
        <w:t xml:space="preserve"> shows that successful innovation processes tackle modernization integrally by</w:t>
      </w:r>
      <w:r w:rsidR="00C2139F" w:rsidRPr="0058033D">
        <w:rPr>
          <w:color w:val="000000"/>
          <w:lang w:val="en-GB"/>
        </w:rPr>
        <w:t xml:space="preserve"> modernizing organization, logistics, marketing, training and suchlike at the same time,</w:t>
      </w:r>
      <w:r w:rsidRPr="0058033D">
        <w:rPr>
          <w:color w:val="000000"/>
          <w:lang w:val="en-GB"/>
        </w:rPr>
        <w:t xml:space="preserve"> in addition to updating the technological and often also </w:t>
      </w:r>
      <w:r w:rsidR="008F1238">
        <w:rPr>
          <w:color w:val="000000"/>
          <w:lang w:val="en-GB"/>
        </w:rPr>
        <w:t xml:space="preserve">the </w:t>
      </w:r>
      <w:r w:rsidRPr="0058033D">
        <w:rPr>
          <w:color w:val="000000"/>
          <w:lang w:val="en-GB"/>
        </w:rPr>
        <w:t>ICT components. The OECD has shown that such non-technological aspects of innovation contribute to greater innovation</w:t>
      </w:r>
      <w:r w:rsidR="00C2139F" w:rsidRPr="0058033D">
        <w:rPr>
          <w:color w:val="000000"/>
          <w:lang w:val="en-GB"/>
        </w:rPr>
        <w:t xml:space="preserve"> and higher productivity gains. </w:t>
      </w:r>
      <w:r w:rsidRPr="0058033D">
        <w:rPr>
          <w:color w:val="000000"/>
          <w:lang w:val="en-GB"/>
        </w:rPr>
        <w:t>Innovating and introducing new products, services, production processes</w:t>
      </w:r>
      <w:r w:rsidR="00C2139F" w:rsidRPr="0058033D">
        <w:rPr>
          <w:color w:val="000000"/>
          <w:lang w:val="en-GB"/>
        </w:rPr>
        <w:t xml:space="preserve"> and business models</w:t>
      </w:r>
      <w:r w:rsidRPr="0058033D">
        <w:rPr>
          <w:color w:val="000000"/>
          <w:lang w:val="en-GB"/>
        </w:rPr>
        <w:t xml:space="preserve"> is of course </w:t>
      </w:r>
      <w:r w:rsidR="00C2139F" w:rsidRPr="0058033D">
        <w:rPr>
          <w:color w:val="000000"/>
          <w:lang w:val="en-GB"/>
        </w:rPr>
        <w:t>all the more enterprising</w:t>
      </w:r>
      <w:r w:rsidRPr="0058033D">
        <w:rPr>
          <w:color w:val="000000"/>
          <w:lang w:val="en-GB"/>
        </w:rPr>
        <w:t>. Non-technological aspe</w:t>
      </w:r>
      <w:r w:rsidR="00540FC7" w:rsidRPr="0058033D">
        <w:rPr>
          <w:color w:val="000000"/>
          <w:lang w:val="en-GB"/>
        </w:rPr>
        <w:t>cts of innovation are important</w:t>
      </w:r>
      <w:r w:rsidRPr="0058033D">
        <w:rPr>
          <w:color w:val="000000"/>
          <w:lang w:val="en-GB"/>
        </w:rPr>
        <w:t xml:space="preserve"> but it is not obvious that the government has a role to play here nor that financial intervention is needed. Discussion on the economic rationale of g</w:t>
      </w:r>
      <w:r w:rsidR="00540FC7" w:rsidRPr="0058033D">
        <w:rPr>
          <w:color w:val="000000"/>
          <w:lang w:val="en-GB"/>
        </w:rPr>
        <w:t>overnment policy is still underway here</w:t>
      </w:r>
      <w:r w:rsidR="008F1238">
        <w:rPr>
          <w:color w:val="000000"/>
          <w:lang w:val="en-GB"/>
        </w:rPr>
        <w:t xml:space="preserve"> and </w:t>
      </w:r>
      <w:r w:rsidRPr="0058033D">
        <w:rPr>
          <w:color w:val="000000"/>
          <w:lang w:val="en-GB"/>
        </w:rPr>
        <w:t>internationally. Furthermore, there are only a few examples of successful policy initiatives in this area</w:t>
      </w:r>
      <w:r w:rsidR="00D077B6" w:rsidRPr="0058033D">
        <w:rPr>
          <w:color w:val="000000"/>
          <w:lang w:val="en-GB"/>
        </w:rPr>
        <w:t xml:space="preserve"> in other countries</w:t>
      </w:r>
      <w:r w:rsidRPr="0058033D">
        <w:rPr>
          <w:color w:val="000000"/>
          <w:lang w:val="en-GB"/>
        </w:rPr>
        <w:t>. It may be that specific and small-scale policy experiments, for example on service innovation, will give insight into what does and does not work in this area.</w:t>
      </w:r>
    </w:p>
    <w:p w14:paraId="778D7B9D" w14:textId="77777777" w:rsidR="004F2274" w:rsidRPr="0058033D" w:rsidRDefault="004F2274" w:rsidP="00D73C59">
      <w:pPr>
        <w:rPr>
          <w:color w:val="1F497D"/>
          <w:lang w:val="en-GB"/>
        </w:rPr>
      </w:pPr>
    </w:p>
    <w:p w14:paraId="09CC2BC0" w14:textId="77777777" w:rsidR="004F2274" w:rsidRPr="0058033D" w:rsidRDefault="004F2274" w:rsidP="00D73C59">
      <w:pPr>
        <w:rPr>
          <w:color w:val="1F497D"/>
          <w:u w:val="single"/>
          <w:lang w:val="en-GB"/>
        </w:rPr>
      </w:pPr>
      <w:r w:rsidRPr="0058033D">
        <w:rPr>
          <w:color w:val="1F497D"/>
          <w:u w:val="single"/>
          <w:lang w:val="en-GB"/>
        </w:rPr>
        <w:t>Interdepartmental control and co-ordination</w:t>
      </w:r>
    </w:p>
    <w:p w14:paraId="78B72602" w14:textId="1915B53B" w:rsidR="004F2274" w:rsidRPr="0058033D" w:rsidRDefault="004F2274" w:rsidP="00D73C59">
      <w:pPr>
        <w:rPr>
          <w:color w:val="1F497D"/>
          <w:lang w:val="en-GB"/>
        </w:rPr>
      </w:pPr>
      <w:r w:rsidRPr="0058033D">
        <w:rPr>
          <w:color w:val="000000"/>
          <w:lang w:val="en-GB"/>
        </w:rPr>
        <w:t xml:space="preserve">The background study raises the question of whether EZ should intervene </w:t>
      </w:r>
      <w:r w:rsidR="00D55D43" w:rsidRPr="0058033D">
        <w:rPr>
          <w:color w:val="000000"/>
          <w:lang w:val="en-GB"/>
        </w:rPr>
        <w:t>with</w:t>
      </w:r>
      <w:r w:rsidRPr="0058033D">
        <w:rPr>
          <w:color w:val="000000"/>
          <w:lang w:val="en-GB"/>
        </w:rPr>
        <w:t xml:space="preserve"> other departments and manage joint and intensive agenda formation and co-operation with other departments (such as Education, Culture and Science, Infrastructure and Environment and Health, Welfare and Sport) </w:t>
      </w:r>
      <w:r w:rsidR="00D55D43" w:rsidRPr="0058033D">
        <w:rPr>
          <w:color w:val="000000"/>
          <w:lang w:val="en-GB"/>
        </w:rPr>
        <w:t xml:space="preserve">even more strongly </w:t>
      </w:r>
      <w:r w:rsidRPr="0058033D">
        <w:rPr>
          <w:color w:val="000000"/>
          <w:lang w:val="en-GB"/>
        </w:rPr>
        <w:t>to meet its system responsibility in the fields of innovation and enterprise</w:t>
      </w:r>
      <w:r w:rsidR="00D55D43" w:rsidRPr="0058033D">
        <w:rPr>
          <w:color w:val="000000"/>
          <w:lang w:val="en-GB"/>
        </w:rPr>
        <w:t xml:space="preserve"> policy.</w:t>
      </w:r>
    </w:p>
    <w:p w14:paraId="253A22F3" w14:textId="77777777" w:rsidR="004F2274" w:rsidRPr="0058033D" w:rsidRDefault="004F2274" w:rsidP="00D73C59">
      <w:pPr>
        <w:rPr>
          <w:color w:val="000000"/>
          <w:lang w:val="en-GB"/>
        </w:rPr>
      </w:pPr>
    </w:p>
    <w:p w14:paraId="425B8072" w14:textId="10A1E4A1" w:rsidR="004F2274" w:rsidRPr="0058033D" w:rsidRDefault="004F2274" w:rsidP="00D73C59">
      <w:pPr>
        <w:rPr>
          <w:color w:val="1F497D"/>
          <w:lang w:val="en-GB"/>
        </w:rPr>
      </w:pPr>
      <w:r w:rsidRPr="0058033D">
        <w:rPr>
          <w:color w:val="000000"/>
          <w:lang w:val="en-GB"/>
        </w:rPr>
        <w:t xml:space="preserve">Since 2010, a core part of enterprise policy has been the integrated policy approach, for example for the top sectors. This is designed to tackle various issues that enterprises and knowledge institutions experience when successfully implementing their innovation strategies, integrally and with each other. This, therefore, involves a wide range of policy facets, such as labour market and training bottlenecks, </w:t>
      </w:r>
      <w:r w:rsidR="001579C6" w:rsidRPr="001579C6">
        <w:rPr>
          <w:color w:val="000000"/>
          <w:lang w:val="en-GB"/>
        </w:rPr>
        <w:t xml:space="preserve">legislative and regulatory </w:t>
      </w:r>
      <w:r w:rsidRPr="001579C6">
        <w:rPr>
          <w:color w:val="000000"/>
          <w:lang w:val="en-GB"/>
        </w:rPr>
        <w:t>obstacles, social</w:t>
      </w:r>
      <w:r w:rsidRPr="0058033D">
        <w:rPr>
          <w:color w:val="000000"/>
          <w:lang w:val="en-GB"/>
        </w:rPr>
        <w:t xml:space="preserve"> challenges, financing issues and economic diplomacy. A successful, integrated approach demands good interdepartmental policy co-ordination.</w:t>
      </w:r>
    </w:p>
    <w:p w14:paraId="4B5B69C8" w14:textId="77777777" w:rsidR="004F2274" w:rsidRPr="0058033D" w:rsidRDefault="004F2274" w:rsidP="00D73C59">
      <w:pPr>
        <w:rPr>
          <w:color w:val="000000"/>
          <w:lang w:val="en-GB"/>
        </w:rPr>
      </w:pPr>
    </w:p>
    <w:p w14:paraId="0CF60BBB" w14:textId="5BB80A3C" w:rsidR="004F2274" w:rsidRPr="0058033D" w:rsidRDefault="004F2274" w:rsidP="00D73C59">
      <w:pPr>
        <w:rPr>
          <w:color w:val="000000"/>
          <w:lang w:val="en-GB"/>
        </w:rPr>
      </w:pPr>
      <w:r w:rsidRPr="0058033D">
        <w:rPr>
          <w:color w:val="000000"/>
          <w:lang w:val="en-GB"/>
        </w:rPr>
        <w:t xml:space="preserve">In the past, the OECD has called for a more integrated policy approach, </w:t>
      </w:r>
      <w:r w:rsidR="00D55D43" w:rsidRPr="0058033D">
        <w:rPr>
          <w:color w:val="000000"/>
          <w:lang w:val="en-GB"/>
        </w:rPr>
        <w:t>since a</w:t>
      </w:r>
      <w:r w:rsidRPr="0058033D">
        <w:rPr>
          <w:color w:val="000000"/>
          <w:lang w:val="en-GB"/>
        </w:rPr>
        <w:t xml:space="preserve"> policy that focuses on removing just one facet is less effective and efficient than </w:t>
      </w:r>
      <w:r w:rsidR="00D55D43" w:rsidRPr="0058033D">
        <w:rPr>
          <w:color w:val="000000"/>
          <w:lang w:val="en-GB"/>
        </w:rPr>
        <w:t xml:space="preserve">one </w:t>
      </w:r>
      <w:r w:rsidRPr="0058033D">
        <w:rPr>
          <w:color w:val="000000"/>
          <w:lang w:val="en-GB"/>
        </w:rPr>
        <w:t xml:space="preserve">that addresses </w:t>
      </w:r>
      <w:r w:rsidR="008F1238">
        <w:rPr>
          <w:color w:val="000000"/>
          <w:lang w:val="en-GB"/>
        </w:rPr>
        <w:t>a</w:t>
      </w:r>
      <w:r w:rsidRPr="0058033D">
        <w:rPr>
          <w:color w:val="000000"/>
          <w:lang w:val="en-GB"/>
        </w:rPr>
        <w:t xml:space="preserve"> simultaneous and cohesive approach to all relevant obstacles to innovation.</w:t>
      </w:r>
      <w:r w:rsidRPr="0058033D">
        <w:rPr>
          <w:rStyle w:val="Voetnootmarkering"/>
          <w:color w:val="000000"/>
          <w:lang w:val="en-GB"/>
        </w:rPr>
        <w:footnoteReference w:id="25"/>
      </w:r>
      <w:r w:rsidRPr="0058033D">
        <w:rPr>
          <w:color w:val="000000"/>
          <w:lang w:val="en-GB"/>
        </w:rPr>
        <w:t xml:space="preserve"> Encouraging more innovation spending is less effective if the success of innovation is hindered by regulation, insufficient availability of qualified staff, obstacles to internationalization or bottlenecks in financing. The OECD links </w:t>
      </w:r>
      <w:r w:rsidR="00D55D43" w:rsidRPr="001579C6">
        <w:rPr>
          <w:color w:val="000000"/>
          <w:lang w:val="en-GB"/>
        </w:rPr>
        <w:t>to this</w:t>
      </w:r>
      <w:r w:rsidR="00D55D43" w:rsidRPr="0058033D">
        <w:rPr>
          <w:color w:val="000000"/>
          <w:lang w:val="en-GB"/>
        </w:rPr>
        <w:t xml:space="preserve"> a </w:t>
      </w:r>
      <w:r w:rsidRPr="0058033D">
        <w:rPr>
          <w:color w:val="000000"/>
          <w:lang w:val="en-GB"/>
        </w:rPr>
        <w:t xml:space="preserve">recommendation to put energy into aligning and co-ordinating policy fields. As responsibility for these policy facets often crosses departmental boundaries, it requires intensive interdepartmental co-operation and co-ordination. Parts of the enterprise policy are, therefore, </w:t>
      </w:r>
      <w:r w:rsidR="007C3572" w:rsidRPr="0058033D">
        <w:rPr>
          <w:color w:val="000000"/>
          <w:lang w:val="en-GB"/>
        </w:rPr>
        <w:t>particularly</w:t>
      </w:r>
      <w:r w:rsidRPr="0058033D">
        <w:rPr>
          <w:color w:val="000000"/>
          <w:lang w:val="en-GB"/>
        </w:rPr>
        <w:t xml:space="preserve"> suited to an interdepartmental approach as expressed, for example in the Techniekpact, innovation contracts of the TKIs, ‘</w:t>
      </w:r>
      <w:r w:rsidR="007C3572" w:rsidRPr="0058033D">
        <w:rPr>
          <w:color w:val="000000"/>
          <w:lang w:val="en-GB"/>
        </w:rPr>
        <w:t>Bio-</w:t>
      </w:r>
      <w:r w:rsidRPr="0058033D">
        <w:rPr>
          <w:color w:val="000000"/>
          <w:lang w:val="en-GB"/>
        </w:rPr>
        <w:t>Based Economy’ programme, Green Deals and ICT breakthrough projects.</w:t>
      </w:r>
    </w:p>
    <w:p w14:paraId="562CB1E4" w14:textId="77777777" w:rsidR="004F2274" w:rsidRPr="0058033D" w:rsidRDefault="004F2274" w:rsidP="00D73C59">
      <w:pPr>
        <w:rPr>
          <w:color w:val="1F497D"/>
          <w:lang w:val="en-GB"/>
        </w:rPr>
      </w:pPr>
    </w:p>
    <w:p w14:paraId="0BB15112" w14:textId="3E6D88C4" w:rsidR="004F2274" w:rsidRPr="0058033D" w:rsidRDefault="004F2274" w:rsidP="00D73C59">
      <w:pPr>
        <w:rPr>
          <w:color w:val="000000"/>
          <w:lang w:val="en-GB"/>
        </w:rPr>
      </w:pPr>
      <w:r w:rsidRPr="0058033D">
        <w:rPr>
          <w:color w:val="000000"/>
          <w:lang w:val="en-GB"/>
        </w:rPr>
        <w:t>Despite being difficult in practice, this a</w:t>
      </w:r>
      <w:r w:rsidR="009871C0">
        <w:rPr>
          <w:color w:val="000000"/>
          <w:lang w:val="en-GB"/>
        </w:rPr>
        <w:t>pproach to interdepartmental co</w:t>
      </w:r>
      <w:r w:rsidRPr="0058033D">
        <w:rPr>
          <w:color w:val="000000"/>
          <w:lang w:val="en-GB"/>
        </w:rPr>
        <w:t>-operation in enterprise policy differs fundamentally from the way in which interdepartmental co-ordination was shaped before 2010. Previously</w:t>
      </w:r>
      <w:r w:rsidR="00221EEE" w:rsidRPr="0058033D">
        <w:rPr>
          <w:color w:val="000000"/>
          <w:lang w:val="en-GB"/>
        </w:rPr>
        <w:t>,</w:t>
      </w:r>
      <w:r w:rsidRPr="0058033D">
        <w:rPr>
          <w:color w:val="000000"/>
          <w:lang w:val="en-GB"/>
        </w:rPr>
        <w:t xml:space="preserve"> the choice was for central management by the </w:t>
      </w:r>
      <w:r w:rsidR="00567DBF" w:rsidRPr="0058033D">
        <w:rPr>
          <w:color w:val="000000"/>
          <w:lang w:val="en-GB"/>
        </w:rPr>
        <w:t>government</w:t>
      </w:r>
      <w:r w:rsidRPr="0058033D">
        <w:rPr>
          <w:color w:val="000000"/>
          <w:lang w:val="en-GB"/>
        </w:rPr>
        <w:t>, in co-ordination with the then Innovation platform. This led in part t</w:t>
      </w:r>
      <w:r w:rsidR="00221EEE" w:rsidRPr="0058033D">
        <w:rPr>
          <w:color w:val="000000"/>
          <w:lang w:val="en-GB"/>
        </w:rPr>
        <w:t xml:space="preserve">o Social innovation programmes </w:t>
      </w:r>
      <w:r w:rsidRPr="0058033D">
        <w:rPr>
          <w:color w:val="000000"/>
          <w:lang w:val="en-GB"/>
        </w:rPr>
        <w:t xml:space="preserve">which were financed by many ad hoc FES resources and which focused on creating innovations that contribute to partial solutions for social issues. </w:t>
      </w:r>
    </w:p>
    <w:p w14:paraId="2C7FDFD4" w14:textId="77777777" w:rsidR="004F2274" w:rsidRPr="0058033D" w:rsidRDefault="004F2274" w:rsidP="00D73C59">
      <w:pPr>
        <w:rPr>
          <w:color w:val="000000"/>
          <w:lang w:val="en-GB"/>
        </w:rPr>
      </w:pPr>
    </w:p>
    <w:p w14:paraId="40BA9C03" w14:textId="0B24A04C" w:rsidR="004F2274" w:rsidRPr="0058033D" w:rsidRDefault="004F2274" w:rsidP="00D73C59">
      <w:pPr>
        <w:rPr>
          <w:lang w:val="en-GB"/>
        </w:rPr>
      </w:pPr>
      <w:r w:rsidRPr="0058033D">
        <w:rPr>
          <w:color w:val="000000"/>
          <w:lang w:val="en-GB"/>
        </w:rPr>
        <w:t>With the introduction of Enterprise policy a different, more ‘bottom up’ approach took its place; the links between the various policy facets and related co-operation between departments have become part of the</w:t>
      </w:r>
      <w:r w:rsidR="00221EEE" w:rsidRPr="0058033D">
        <w:rPr>
          <w:color w:val="000000"/>
          <w:lang w:val="en-GB"/>
        </w:rPr>
        <w:t xml:space="preserve"> public-private policy</w:t>
      </w:r>
      <w:r w:rsidRPr="0058033D">
        <w:rPr>
          <w:color w:val="000000"/>
          <w:lang w:val="en-GB"/>
        </w:rPr>
        <w:t xml:space="preserve"> partnership. Co-ordination, therefore, now comes from the bottom</w:t>
      </w:r>
      <w:r w:rsidR="008F1238">
        <w:rPr>
          <w:color w:val="000000"/>
          <w:lang w:val="en-GB"/>
        </w:rPr>
        <w:t>,</w:t>
      </w:r>
      <w:r w:rsidRPr="0058033D">
        <w:rPr>
          <w:color w:val="000000"/>
          <w:lang w:val="en-GB"/>
        </w:rPr>
        <w:t xml:space="preserve"> based on concrete action plans and performance contracts. Consequently, co-operation between departments is now more specific. Nevertheless, further steps can be taken in this area</w:t>
      </w:r>
      <w:r w:rsidRPr="0058033D">
        <w:rPr>
          <w:lang w:val="en-GB"/>
        </w:rPr>
        <w:t>, in particular by linkin</w:t>
      </w:r>
      <w:r w:rsidR="00221EEE" w:rsidRPr="0058033D">
        <w:rPr>
          <w:lang w:val="en-GB"/>
        </w:rPr>
        <w:t xml:space="preserve">g social objectives to </w:t>
      </w:r>
      <w:r w:rsidR="009871C0" w:rsidRPr="0058033D">
        <w:rPr>
          <w:lang w:val="en-GB"/>
        </w:rPr>
        <w:t>the TKIs</w:t>
      </w:r>
      <w:r w:rsidR="009871C0">
        <w:rPr>
          <w:lang w:val="en-GB"/>
        </w:rPr>
        <w:t>’</w:t>
      </w:r>
      <w:r w:rsidR="009871C0" w:rsidRPr="0058033D">
        <w:rPr>
          <w:lang w:val="en-GB"/>
        </w:rPr>
        <w:t xml:space="preserve"> </w:t>
      </w:r>
      <w:r w:rsidR="00221EEE" w:rsidRPr="0058033D">
        <w:rPr>
          <w:lang w:val="en-GB"/>
        </w:rPr>
        <w:t>research roadmaps</w:t>
      </w:r>
      <w:r w:rsidRPr="0058033D">
        <w:rPr>
          <w:lang w:val="en-GB"/>
        </w:rPr>
        <w:t>.</w:t>
      </w:r>
      <w:r w:rsidRPr="0058033D">
        <w:rPr>
          <w:rStyle w:val="Voetnootmarkering"/>
          <w:lang w:val="en-GB"/>
        </w:rPr>
        <w:footnoteReference w:id="26"/>
      </w:r>
      <w:r w:rsidRPr="0058033D">
        <w:rPr>
          <w:lang w:val="en-GB"/>
        </w:rPr>
        <w:t xml:space="preserve"> Today’s and tomorrow’s social challenges require intensive effort on integrated solutions through know-how and innovation. The Minister of Economic Affairs has asked the top teams and knowledge chairmen to pay greater attention to this </w:t>
      </w:r>
      <w:r w:rsidR="009871C0">
        <w:rPr>
          <w:lang w:val="en-GB"/>
        </w:rPr>
        <w:t xml:space="preserve">in </w:t>
      </w:r>
      <w:r w:rsidRPr="0058033D">
        <w:rPr>
          <w:lang w:val="en-GB"/>
        </w:rPr>
        <w:t>the 2016-2019 Know-how and Innovation agendas. Departments with policy responsibility will more than now be able to use the benefits that the TKIs offer</w:t>
      </w:r>
      <w:r w:rsidR="009871C0">
        <w:rPr>
          <w:lang w:val="en-GB"/>
        </w:rPr>
        <w:t>,</w:t>
      </w:r>
      <w:r w:rsidRPr="0058033D">
        <w:rPr>
          <w:lang w:val="en-GB"/>
        </w:rPr>
        <w:t xml:space="preserve"> such as cross-sector co-operation with international parties in business, academia and local government. </w:t>
      </w:r>
    </w:p>
    <w:p w14:paraId="51FFEA51" w14:textId="77777777" w:rsidR="004F2274" w:rsidRPr="0058033D" w:rsidRDefault="004F2274" w:rsidP="00D73C59">
      <w:pPr>
        <w:rPr>
          <w:color w:val="1F497D"/>
          <w:lang w:val="en-GB"/>
        </w:rPr>
      </w:pPr>
    </w:p>
    <w:p w14:paraId="61CD0D59" w14:textId="77777777" w:rsidR="004F2274" w:rsidRPr="0058033D" w:rsidRDefault="004F2274" w:rsidP="00D73C59">
      <w:pPr>
        <w:rPr>
          <w:color w:val="1F497D"/>
          <w:u w:val="single"/>
          <w:lang w:val="en-GB"/>
        </w:rPr>
      </w:pPr>
      <w:r w:rsidRPr="0058033D">
        <w:rPr>
          <w:color w:val="1F497D"/>
          <w:u w:val="single"/>
          <w:lang w:val="en-GB"/>
        </w:rPr>
        <w:t>The learning government</w:t>
      </w:r>
    </w:p>
    <w:p w14:paraId="12860D11" w14:textId="1FDB41BB" w:rsidR="004F2274" w:rsidRPr="0058033D" w:rsidRDefault="004F2274" w:rsidP="00D73C59">
      <w:pPr>
        <w:rPr>
          <w:color w:val="000000"/>
          <w:lang w:val="en-GB"/>
        </w:rPr>
      </w:pPr>
      <w:r w:rsidRPr="0058033D">
        <w:rPr>
          <w:color w:val="000000"/>
          <w:lang w:val="en-GB"/>
        </w:rPr>
        <w:t xml:space="preserve">The background study notes that considerable progress has been made in monitoring and measuring </w:t>
      </w:r>
      <w:r w:rsidR="009871C0">
        <w:rPr>
          <w:color w:val="000000"/>
          <w:lang w:val="en-GB"/>
        </w:rPr>
        <w:t xml:space="preserve">the </w:t>
      </w:r>
      <w:r w:rsidRPr="0058033D">
        <w:rPr>
          <w:color w:val="000000"/>
          <w:lang w:val="en-GB"/>
        </w:rPr>
        <w:t>effects of enterprise policy and that EZ is in the le</w:t>
      </w:r>
      <w:r w:rsidR="00221EEE" w:rsidRPr="0058033D">
        <w:rPr>
          <w:color w:val="000000"/>
          <w:lang w:val="en-GB"/>
        </w:rPr>
        <w:t>a</w:t>
      </w:r>
      <w:r w:rsidRPr="0058033D">
        <w:rPr>
          <w:color w:val="000000"/>
          <w:lang w:val="en-GB"/>
        </w:rPr>
        <w:t xml:space="preserve">d internationally in this area. The transition to interactive policy development and the associated process of ‘learning’ and ‘experimenting’ </w:t>
      </w:r>
      <w:r w:rsidR="001579C6">
        <w:rPr>
          <w:color w:val="000000"/>
          <w:lang w:val="en-GB"/>
        </w:rPr>
        <w:t>was</w:t>
      </w:r>
      <w:r w:rsidRPr="0058033D">
        <w:rPr>
          <w:color w:val="000000"/>
          <w:lang w:val="en-GB"/>
        </w:rPr>
        <w:t xml:space="preserve"> </w:t>
      </w:r>
      <w:r w:rsidR="001579C6">
        <w:rPr>
          <w:color w:val="000000"/>
          <w:lang w:val="en-GB"/>
        </w:rPr>
        <w:t xml:space="preserve">regarded </w:t>
      </w:r>
      <w:r w:rsidRPr="0058033D">
        <w:rPr>
          <w:color w:val="000000"/>
          <w:lang w:val="en-GB"/>
        </w:rPr>
        <w:t xml:space="preserve">positively. The policy </w:t>
      </w:r>
      <w:r w:rsidR="001F6717">
        <w:rPr>
          <w:color w:val="000000"/>
          <w:lang w:val="en-GB"/>
        </w:rPr>
        <w:t xml:space="preserve">lessons </w:t>
      </w:r>
      <w:r w:rsidRPr="0058033D">
        <w:rPr>
          <w:color w:val="000000"/>
          <w:lang w:val="en-GB"/>
        </w:rPr>
        <w:t xml:space="preserve">can increase further if greater use is made of small-scale and specific policy </w:t>
      </w:r>
      <w:r w:rsidR="00221EEE" w:rsidRPr="0058033D">
        <w:rPr>
          <w:color w:val="000000"/>
          <w:lang w:val="en-GB"/>
        </w:rPr>
        <w:t>experiments in new policy areas</w:t>
      </w:r>
      <w:r w:rsidRPr="0058033D">
        <w:rPr>
          <w:color w:val="000000"/>
          <w:lang w:val="en-GB"/>
        </w:rPr>
        <w:t xml:space="preserve"> such as in non-technological or service innovation</w:t>
      </w:r>
      <w:r w:rsidR="00221EEE" w:rsidRPr="0058033D">
        <w:rPr>
          <w:color w:val="000000"/>
          <w:lang w:val="en-GB"/>
        </w:rPr>
        <w:t>s</w:t>
      </w:r>
      <w:r w:rsidRPr="0058033D">
        <w:rPr>
          <w:color w:val="000000"/>
          <w:lang w:val="en-GB"/>
        </w:rPr>
        <w:t xml:space="preserve">. These could use insights from behavioural economics and new methods of setting up policy experiments, with more and more international </w:t>
      </w:r>
      <w:r w:rsidR="00A42A7E" w:rsidRPr="0058033D">
        <w:rPr>
          <w:color w:val="000000"/>
          <w:lang w:val="en-GB"/>
        </w:rPr>
        <w:t xml:space="preserve">experience </w:t>
      </w:r>
      <w:r w:rsidRPr="0058033D">
        <w:rPr>
          <w:color w:val="000000"/>
          <w:lang w:val="en-GB"/>
        </w:rPr>
        <w:t xml:space="preserve">(such as in the UK and in the ‘Innovation &amp; Growth Lab’ in which EZ participates) being </w:t>
      </w:r>
      <w:r w:rsidR="00A42A7E" w:rsidRPr="0058033D">
        <w:rPr>
          <w:color w:val="000000"/>
          <w:lang w:val="en-GB"/>
        </w:rPr>
        <w:t>gained</w:t>
      </w:r>
      <w:r w:rsidRPr="0058033D">
        <w:rPr>
          <w:color w:val="000000"/>
          <w:lang w:val="en-GB"/>
        </w:rPr>
        <w:t>. The effectiveness and efficiency of the policy can be improved by using small-scale pilots to test what does and does not work in new policy fields.</w:t>
      </w:r>
    </w:p>
    <w:p w14:paraId="3BAFF0B6" w14:textId="77777777" w:rsidR="004F2274" w:rsidRPr="0058033D" w:rsidRDefault="004F2274" w:rsidP="00D73C59">
      <w:pPr>
        <w:rPr>
          <w:color w:val="1F497D"/>
          <w:lang w:val="en-GB"/>
        </w:rPr>
      </w:pPr>
    </w:p>
    <w:p w14:paraId="67B23E0C" w14:textId="0DD97119" w:rsidR="004F2274" w:rsidRPr="0058033D" w:rsidRDefault="004F2274" w:rsidP="00D73C59">
      <w:pPr>
        <w:rPr>
          <w:lang w:val="en-GB"/>
        </w:rPr>
      </w:pPr>
      <w:r w:rsidRPr="0058033D">
        <w:rPr>
          <w:lang w:val="en-GB"/>
        </w:rPr>
        <w:t xml:space="preserve">Enterprise policy is clearly a policy area in which </w:t>
      </w:r>
      <w:r w:rsidR="009871C0">
        <w:rPr>
          <w:lang w:val="en-GB"/>
        </w:rPr>
        <w:t>strategy for medium-</w:t>
      </w:r>
      <w:r w:rsidRPr="0058033D">
        <w:rPr>
          <w:lang w:val="en-GB"/>
        </w:rPr>
        <w:t xml:space="preserve">term and short-term action plans can be created in close dialogue and </w:t>
      </w:r>
      <w:r w:rsidR="00A42A7E" w:rsidRPr="0058033D">
        <w:rPr>
          <w:lang w:val="en-GB"/>
        </w:rPr>
        <w:t xml:space="preserve">with </w:t>
      </w:r>
      <w:r w:rsidRPr="0058033D">
        <w:rPr>
          <w:lang w:val="en-GB"/>
        </w:rPr>
        <w:t xml:space="preserve">shared responsibility with the relevant players in the economy and society. It is also a policy field that has to respond properly to </w:t>
      </w:r>
      <w:r w:rsidR="00A42A7E" w:rsidRPr="0058033D">
        <w:rPr>
          <w:lang w:val="en-GB"/>
        </w:rPr>
        <w:t xml:space="preserve">an </w:t>
      </w:r>
      <w:r w:rsidRPr="0058033D">
        <w:rPr>
          <w:lang w:val="en-GB"/>
        </w:rPr>
        <w:t>ever-changing international balance</w:t>
      </w:r>
      <w:r w:rsidR="00E3780B">
        <w:rPr>
          <w:lang w:val="en-GB"/>
        </w:rPr>
        <w:t xml:space="preserve"> of forces</w:t>
      </w:r>
      <w:r w:rsidRPr="0058033D">
        <w:rPr>
          <w:lang w:val="en-GB"/>
        </w:rPr>
        <w:t xml:space="preserve"> and at the same time offer stable policy frameworks on which enterprises, knowledge institutions and social organizations can base their plans. The available data, including from the </w:t>
      </w:r>
      <w:r w:rsidR="00775F00" w:rsidRPr="0058033D">
        <w:rPr>
          <w:i/>
          <w:lang w:val="en-GB"/>
        </w:rPr>
        <w:t>Monitor Bedrijvenbeleid</w:t>
      </w:r>
      <w:r w:rsidRPr="0058033D">
        <w:rPr>
          <w:lang w:val="en-GB"/>
        </w:rPr>
        <w:t xml:space="preserve"> </w:t>
      </w:r>
      <w:r w:rsidRPr="0058033D">
        <w:rPr>
          <w:i/>
          <w:lang w:val="en-GB"/>
        </w:rPr>
        <w:t>2014</w:t>
      </w:r>
      <w:r w:rsidRPr="0058033D">
        <w:rPr>
          <w:lang w:val="en-GB"/>
        </w:rPr>
        <w:t>, show that this approach is gradually beginning to bear fruit and that the key indicators are moving in the right direction</w:t>
      </w:r>
      <w:r w:rsidR="005E78EE" w:rsidRPr="0058033D">
        <w:rPr>
          <w:lang w:val="en-GB"/>
        </w:rPr>
        <w:t>,</w:t>
      </w:r>
      <w:r w:rsidRPr="0058033D">
        <w:rPr>
          <w:lang w:val="en-GB"/>
        </w:rPr>
        <w:t xml:space="preserve"> although many effects will only become evident in the medium term. As a result it is useful occasionally to establish if the policy is on course, what is going well and where adjustments could be made to improve the return from the policy in the future. In this sense</w:t>
      </w:r>
      <w:r w:rsidR="005E78EE" w:rsidRPr="0058033D">
        <w:rPr>
          <w:lang w:val="en-GB"/>
        </w:rPr>
        <w:t>,</w:t>
      </w:r>
      <w:r w:rsidRPr="0058033D">
        <w:rPr>
          <w:lang w:val="en-GB"/>
        </w:rPr>
        <w:t xml:space="preserve"> this policy review itself is </w:t>
      </w:r>
      <w:r w:rsidR="005E78EE" w:rsidRPr="0058033D">
        <w:rPr>
          <w:lang w:val="en-GB"/>
        </w:rPr>
        <w:t xml:space="preserve">a </w:t>
      </w:r>
      <w:r w:rsidRPr="0058033D">
        <w:rPr>
          <w:lang w:val="en-GB"/>
        </w:rPr>
        <w:t xml:space="preserve">contribution to increasing the effectiveness and efficiency of a policy field in </w:t>
      </w:r>
      <w:r w:rsidR="005E78EE" w:rsidRPr="0058033D">
        <w:rPr>
          <w:lang w:val="en-GB"/>
        </w:rPr>
        <w:t>flux</w:t>
      </w:r>
      <w:r w:rsidRPr="0058033D">
        <w:rPr>
          <w:lang w:val="en-GB"/>
        </w:rPr>
        <w:t xml:space="preserve">. </w:t>
      </w:r>
    </w:p>
    <w:p w14:paraId="3C033A96" w14:textId="77777777" w:rsidR="004F2274" w:rsidRPr="0058033D" w:rsidRDefault="004F2274" w:rsidP="00D73C59">
      <w:pPr>
        <w:rPr>
          <w:color w:val="1F497D"/>
          <w:lang w:val="en-GB"/>
        </w:rPr>
      </w:pPr>
    </w:p>
    <w:p w14:paraId="62EB595E" w14:textId="77777777" w:rsidR="004F2274" w:rsidRPr="0058033D" w:rsidRDefault="004F2274" w:rsidP="00D73C59">
      <w:pPr>
        <w:rPr>
          <w:color w:val="1F497D"/>
          <w:lang w:val="en-GB"/>
        </w:rPr>
      </w:pPr>
    </w:p>
    <w:p w14:paraId="79D052EC" w14:textId="77777777" w:rsidR="004F2274" w:rsidRPr="0058033D" w:rsidRDefault="004F2274" w:rsidP="00D73C59">
      <w:pPr>
        <w:rPr>
          <w:color w:val="1F497D"/>
          <w:lang w:val="en-GB"/>
        </w:rPr>
      </w:pPr>
    </w:p>
    <w:p w14:paraId="480A1787" w14:textId="77777777" w:rsidR="004F2274" w:rsidRPr="0058033D" w:rsidRDefault="004F2274" w:rsidP="00D73C59">
      <w:pPr>
        <w:rPr>
          <w:color w:val="1F497D"/>
          <w:lang w:val="en-GB"/>
        </w:rPr>
      </w:pPr>
    </w:p>
    <w:p w14:paraId="4635702F" w14:textId="77777777" w:rsidR="004F2274" w:rsidRPr="0058033D" w:rsidRDefault="004F2274" w:rsidP="00D73C59">
      <w:pPr>
        <w:rPr>
          <w:color w:val="1F497D"/>
          <w:lang w:val="en-GB"/>
        </w:rPr>
      </w:pPr>
    </w:p>
    <w:p w14:paraId="0B1D8242" w14:textId="7DD73BA3" w:rsidR="004F2274" w:rsidRPr="0058033D" w:rsidRDefault="004F2274" w:rsidP="00D6380D">
      <w:pPr>
        <w:ind w:hanging="851"/>
        <w:rPr>
          <w:lang w:val="en-GB"/>
        </w:rPr>
      </w:pPr>
      <w:r w:rsidRPr="0058033D">
        <w:rPr>
          <w:lang w:val="en-GB"/>
        </w:rPr>
        <w:t>(signed)</w:t>
      </w:r>
      <w:r w:rsidRPr="0058033D">
        <w:rPr>
          <w:lang w:val="en-GB"/>
        </w:rPr>
        <w:tab/>
        <w:t>H.G.J. Kamp</w:t>
      </w:r>
    </w:p>
    <w:p w14:paraId="061AE6E3" w14:textId="380E92BF" w:rsidR="004F2274" w:rsidRPr="0058033D" w:rsidRDefault="004F2274" w:rsidP="00D6380D">
      <w:pPr>
        <w:ind w:hanging="851"/>
        <w:rPr>
          <w:color w:val="1F497D"/>
          <w:lang w:val="en-GB"/>
        </w:rPr>
      </w:pPr>
      <w:r w:rsidRPr="0058033D">
        <w:rPr>
          <w:lang w:val="en-GB"/>
        </w:rPr>
        <w:tab/>
        <w:t>Minister of Economic Affairs</w:t>
      </w:r>
      <w:r w:rsidRPr="0058033D">
        <w:rPr>
          <w:color w:val="1F497D"/>
          <w:lang w:val="en-GB"/>
        </w:rPr>
        <w:br w:type="page"/>
      </w:r>
      <w:r w:rsidRPr="0058033D">
        <w:rPr>
          <w:b/>
          <w:bCs/>
          <w:color w:val="000000"/>
          <w:lang w:val="en-GB"/>
        </w:rPr>
        <w:t>Annexe 1: Financial policy mix</w:t>
      </w:r>
      <w:r w:rsidR="00D6380D" w:rsidRPr="0058033D">
        <w:rPr>
          <w:b/>
          <w:bCs/>
          <w:color w:val="000000"/>
          <w:lang w:val="en-GB"/>
        </w:rPr>
        <w:t>: e</w:t>
      </w:r>
      <w:r w:rsidRPr="0058033D">
        <w:rPr>
          <w:b/>
          <w:bCs/>
          <w:color w:val="000000"/>
          <w:lang w:val="en-GB"/>
        </w:rPr>
        <w:t>nterprise policy 2009-2013</w:t>
      </w:r>
    </w:p>
    <w:tbl>
      <w:tblPr>
        <w:tblW w:w="8910" w:type="dxa"/>
        <w:tblBorders>
          <w:top w:val="single" w:sz="8" w:space="0" w:color="4F81BD"/>
          <w:bottom w:val="single" w:sz="8" w:space="0" w:color="4F81BD"/>
        </w:tblBorders>
        <w:tblLook w:val="00A0" w:firstRow="1" w:lastRow="0" w:firstColumn="1" w:lastColumn="0" w:noHBand="0" w:noVBand="0"/>
      </w:tblPr>
      <w:tblGrid>
        <w:gridCol w:w="3080"/>
        <w:gridCol w:w="1166"/>
        <w:gridCol w:w="1166"/>
        <w:gridCol w:w="1166"/>
        <w:gridCol w:w="1166"/>
        <w:gridCol w:w="1166"/>
      </w:tblGrid>
      <w:tr w:rsidR="004F2274" w:rsidRPr="001B564F" w14:paraId="29BBF1AF" w14:textId="77777777" w:rsidTr="00DE7BB7">
        <w:trPr>
          <w:trHeight w:val="255"/>
        </w:trPr>
        <w:tc>
          <w:tcPr>
            <w:tcW w:w="8910" w:type="dxa"/>
            <w:gridSpan w:val="6"/>
            <w:tcBorders>
              <w:top w:val="single" w:sz="8" w:space="0" w:color="4F81BD"/>
              <w:left w:val="nil"/>
              <w:bottom w:val="single" w:sz="8" w:space="0" w:color="4F81BD"/>
              <w:right w:val="nil"/>
            </w:tcBorders>
            <w:shd w:val="clear" w:color="auto" w:fill="auto"/>
            <w:noWrap/>
          </w:tcPr>
          <w:p w14:paraId="51183BD3" w14:textId="2873A103" w:rsidR="004F2274" w:rsidRPr="00DE7BB7" w:rsidRDefault="004F2274" w:rsidP="008F1238">
            <w:pPr>
              <w:rPr>
                <w:b/>
                <w:bCs/>
                <w:color w:val="000000"/>
                <w:sz w:val="16"/>
                <w:lang w:val="en-GB"/>
              </w:rPr>
            </w:pPr>
            <w:r w:rsidRPr="00DE7BB7">
              <w:rPr>
                <w:b/>
                <w:bCs/>
                <w:color w:val="000000"/>
                <w:sz w:val="16"/>
                <w:lang w:val="en-GB"/>
              </w:rPr>
              <w:t xml:space="preserve">Financial policy mix: </w:t>
            </w:r>
            <w:r w:rsidR="008F1238" w:rsidRPr="00DE7BB7">
              <w:rPr>
                <w:b/>
                <w:bCs/>
                <w:color w:val="000000"/>
                <w:sz w:val="16"/>
                <w:lang w:val="en-GB"/>
              </w:rPr>
              <w:t>e</w:t>
            </w:r>
            <w:r w:rsidRPr="00DE7BB7">
              <w:rPr>
                <w:b/>
                <w:bCs/>
                <w:color w:val="000000"/>
                <w:sz w:val="16"/>
                <w:lang w:val="en-GB"/>
              </w:rPr>
              <w:t>nterprise policy 2009-2013 (x €1000)</w:t>
            </w:r>
            <w:r w:rsidRPr="00DE7BB7">
              <w:rPr>
                <w:b/>
                <w:bCs/>
                <w:color w:val="000000"/>
                <w:sz w:val="16"/>
                <w:vertAlign w:val="superscript"/>
                <w:lang w:val="en-GB"/>
              </w:rPr>
              <w:t>1</w:t>
            </w:r>
          </w:p>
        </w:tc>
      </w:tr>
      <w:tr w:rsidR="004F2274" w:rsidRPr="0058033D" w14:paraId="101DEA49" w14:textId="77777777" w:rsidTr="00DE7BB7">
        <w:trPr>
          <w:trHeight w:val="255"/>
        </w:trPr>
        <w:tc>
          <w:tcPr>
            <w:tcW w:w="3080" w:type="dxa"/>
            <w:tcBorders>
              <w:left w:val="nil"/>
              <w:right w:val="nil"/>
            </w:tcBorders>
            <w:shd w:val="clear" w:color="auto" w:fill="D3DFEE"/>
            <w:noWrap/>
          </w:tcPr>
          <w:p w14:paraId="2A338CDC" w14:textId="77777777" w:rsidR="004F2274" w:rsidRPr="00DE7BB7" w:rsidRDefault="004F2274" w:rsidP="00A14D20">
            <w:pPr>
              <w:rPr>
                <w:b/>
                <w:bCs/>
                <w:color w:val="000000"/>
                <w:sz w:val="16"/>
                <w:lang w:val="en-GB"/>
              </w:rPr>
            </w:pPr>
          </w:p>
        </w:tc>
        <w:tc>
          <w:tcPr>
            <w:tcW w:w="1166" w:type="dxa"/>
            <w:tcBorders>
              <w:left w:val="nil"/>
              <w:bottom w:val="nil"/>
              <w:right w:val="nil"/>
            </w:tcBorders>
            <w:shd w:val="clear" w:color="auto" w:fill="D3DFEE"/>
            <w:noWrap/>
          </w:tcPr>
          <w:p w14:paraId="16AF95F0" w14:textId="77777777" w:rsidR="004F2274" w:rsidRPr="00DE7BB7" w:rsidRDefault="004F2274" w:rsidP="00DE7BB7">
            <w:pPr>
              <w:jc w:val="center"/>
              <w:rPr>
                <w:rFonts w:cs="Arial"/>
                <w:b/>
                <w:bCs/>
                <w:color w:val="000000"/>
                <w:sz w:val="16"/>
                <w:lang w:val="en-GB"/>
              </w:rPr>
            </w:pPr>
            <w:r w:rsidRPr="00DE7BB7">
              <w:rPr>
                <w:rFonts w:cs="Arial"/>
                <w:b/>
                <w:bCs/>
                <w:color w:val="000000"/>
                <w:sz w:val="16"/>
                <w:lang w:val="en-GB"/>
              </w:rPr>
              <w:t>2009</w:t>
            </w:r>
          </w:p>
        </w:tc>
        <w:tc>
          <w:tcPr>
            <w:tcW w:w="1166" w:type="dxa"/>
            <w:tcBorders>
              <w:left w:val="nil"/>
              <w:right w:val="nil"/>
            </w:tcBorders>
            <w:shd w:val="clear" w:color="auto" w:fill="D3DFEE"/>
            <w:noWrap/>
          </w:tcPr>
          <w:p w14:paraId="6917CCA3" w14:textId="77777777" w:rsidR="004F2274" w:rsidRPr="00DE7BB7" w:rsidRDefault="004F2274" w:rsidP="00DE7BB7">
            <w:pPr>
              <w:jc w:val="center"/>
              <w:rPr>
                <w:rFonts w:cs="Arial"/>
                <w:b/>
                <w:bCs/>
                <w:color w:val="000000"/>
                <w:sz w:val="16"/>
                <w:lang w:val="en-GB"/>
              </w:rPr>
            </w:pPr>
            <w:r w:rsidRPr="00DE7BB7">
              <w:rPr>
                <w:rFonts w:cs="Arial"/>
                <w:b/>
                <w:bCs/>
                <w:color w:val="000000"/>
                <w:sz w:val="16"/>
                <w:lang w:val="en-GB"/>
              </w:rPr>
              <w:t>2010</w:t>
            </w:r>
          </w:p>
        </w:tc>
        <w:tc>
          <w:tcPr>
            <w:tcW w:w="1166" w:type="dxa"/>
            <w:tcBorders>
              <w:left w:val="nil"/>
              <w:bottom w:val="nil"/>
              <w:right w:val="nil"/>
            </w:tcBorders>
            <w:shd w:val="clear" w:color="auto" w:fill="D3DFEE"/>
            <w:noWrap/>
          </w:tcPr>
          <w:p w14:paraId="511268BF" w14:textId="77777777" w:rsidR="004F2274" w:rsidRPr="00DE7BB7" w:rsidRDefault="004F2274" w:rsidP="00DE7BB7">
            <w:pPr>
              <w:jc w:val="center"/>
              <w:rPr>
                <w:rFonts w:cs="Arial"/>
                <w:b/>
                <w:bCs/>
                <w:color w:val="000000"/>
                <w:sz w:val="16"/>
                <w:lang w:val="en-GB"/>
              </w:rPr>
            </w:pPr>
            <w:r w:rsidRPr="00DE7BB7">
              <w:rPr>
                <w:rFonts w:cs="Arial"/>
                <w:b/>
                <w:bCs/>
                <w:color w:val="000000"/>
                <w:sz w:val="16"/>
                <w:lang w:val="en-GB"/>
              </w:rPr>
              <w:t>2011</w:t>
            </w:r>
          </w:p>
        </w:tc>
        <w:tc>
          <w:tcPr>
            <w:tcW w:w="1166" w:type="dxa"/>
            <w:tcBorders>
              <w:left w:val="nil"/>
              <w:right w:val="nil"/>
            </w:tcBorders>
            <w:shd w:val="clear" w:color="auto" w:fill="D3DFEE"/>
            <w:noWrap/>
          </w:tcPr>
          <w:p w14:paraId="4A4957EE" w14:textId="77777777" w:rsidR="004F2274" w:rsidRPr="00DE7BB7" w:rsidRDefault="004F2274" w:rsidP="00DE7BB7">
            <w:pPr>
              <w:jc w:val="center"/>
              <w:rPr>
                <w:rFonts w:cs="Arial"/>
                <w:b/>
                <w:bCs/>
                <w:color w:val="000000"/>
                <w:sz w:val="16"/>
                <w:lang w:val="en-GB"/>
              </w:rPr>
            </w:pPr>
            <w:r w:rsidRPr="00DE7BB7">
              <w:rPr>
                <w:rFonts w:cs="Arial"/>
                <w:b/>
                <w:bCs/>
                <w:color w:val="000000"/>
                <w:sz w:val="16"/>
                <w:lang w:val="en-GB"/>
              </w:rPr>
              <w:t>2012</w:t>
            </w:r>
          </w:p>
        </w:tc>
        <w:tc>
          <w:tcPr>
            <w:tcW w:w="1166" w:type="dxa"/>
            <w:tcBorders>
              <w:left w:val="nil"/>
              <w:bottom w:val="nil"/>
              <w:right w:val="nil"/>
            </w:tcBorders>
            <w:shd w:val="clear" w:color="auto" w:fill="D3DFEE"/>
            <w:noWrap/>
          </w:tcPr>
          <w:p w14:paraId="7ABF188E" w14:textId="77777777" w:rsidR="004F2274" w:rsidRPr="00DE7BB7" w:rsidRDefault="004F2274" w:rsidP="00DE7BB7">
            <w:pPr>
              <w:jc w:val="center"/>
              <w:rPr>
                <w:rFonts w:cs="Arial"/>
                <w:b/>
                <w:bCs/>
                <w:color w:val="000000"/>
                <w:sz w:val="16"/>
                <w:lang w:val="en-GB"/>
              </w:rPr>
            </w:pPr>
            <w:r w:rsidRPr="00DE7BB7">
              <w:rPr>
                <w:rFonts w:cs="Arial"/>
                <w:b/>
                <w:bCs/>
                <w:color w:val="000000"/>
                <w:sz w:val="16"/>
                <w:lang w:val="en-GB"/>
              </w:rPr>
              <w:t>2013</w:t>
            </w:r>
          </w:p>
        </w:tc>
      </w:tr>
      <w:tr w:rsidR="004F2274" w:rsidRPr="0058033D" w14:paraId="06C2A20D" w14:textId="77777777" w:rsidTr="00DE7BB7">
        <w:trPr>
          <w:trHeight w:val="255"/>
        </w:trPr>
        <w:tc>
          <w:tcPr>
            <w:tcW w:w="3080" w:type="dxa"/>
            <w:shd w:val="clear" w:color="auto" w:fill="auto"/>
            <w:noWrap/>
          </w:tcPr>
          <w:p w14:paraId="66B1BF2B" w14:textId="6AE22B0E" w:rsidR="004F2274" w:rsidRPr="00DE7BB7" w:rsidRDefault="004F2274" w:rsidP="00891B82">
            <w:pPr>
              <w:rPr>
                <w:rFonts w:cs="Arial"/>
                <w:b/>
                <w:bCs/>
                <w:color w:val="000000"/>
                <w:sz w:val="16"/>
                <w:lang w:val="en-GB"/>
              </w:rPr>
            </w:pPr>
            <w:r w:rsidRPr="00DE7BB7">
              <w:rPr>
                <w:rFonts w:cs="Arial"/>
                <w:b/>
                <w:bCs/>
                <w:color w:val="000000"/>
                <w:sz w:val="16"/>
                <w:lang w:val="en-GB"/>
              </w:rPr>
              <w:t xml:space="preserve">Tax </w:t>
            </w:r>
            <w:r w:rsidR="00891B82" w:rsidRPr="00DE7BB7">
              <w:rPr>
                <w:rFonts w:cs="Arial"/>
                <w:b/>
                <w:bCs/>
                <w:color w:val="000000"/>
                <w:sz w:val="16"/>
                <w:lang w:val="en-GB"/>
              </w:rPr>
              <w:t>incentives</w:t>
            </w:r>
            <w:r w:rsidRPr="00DE7BB7">
              <w:rPr>
                <w:rFonts w:cs="Arial"/>
                <w:b/>
                <w:bCs/>
                <w:color w:val="000000"/>
                <w:sz w:val="16"/>
                <w:lang w:val="en-GB"/>
              </w:rPr>
              <w:t xml:space="preserve"> for businesses</w:t>
            </w:r>
          </w:p>
        </w:tc>
        <w:tc>
          <w:tcPr>
            <w:tcW w:w="1166" w:type="dxa"/>
            <w:tcBorders>
              <w:bottom w:val="nil"/>
            </w:tcBorders>
            <w:shd w:val="clear" w:color="auto" w:fill="D3DFEE"/>
            <w:noWrap/>
          </w:tcPr>
          <w:p w14:paraId="4BFFCDDB"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3,924,000</w:t>
            </w:r>
          </w:p>
        </w:tc>
        <w:tc>
          <w:tcPr>
            <w:tcW w:w="1166" w:type="dxa"/>
            <w:shd w:val="clear" w:color="auto" w:fill="auto"/>
            <w:noWrap/>
          </w:tcPr>
          <w:p w14:paraId="2F89205A"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4,050,001</w:t>
            </w:r>
          </w:p>
        </w:tc>
        <w:tc>
          <w:tcPr>
            <w:tcW w:w="1166" w:type="dxa"/>
            <w:tcBorders>
              <w:bottom w:val="nil"/>
            </w:tcBorders>
            <w:shd w:val="clear" w:color="auto" w:fill="D3DFEE"/>
            <w:noWrap/>
          </w:tcPr>
          <w:p w14:paraId="3AAAF5B6"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4,415,000</w:t>
            </w:r>
          </w:p>
        </w:tc>
        <w:tc>
          <w:tcPr>
            <w:tcW w:w="1166" w:type="dxa"/>
            <w:shd w:val="clear" w:color="auto" w:fill="auto"/>
            <w:noWrap/>
          </w:tcPr>
          <w:p w14:paraId="4BA118DD"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4,379,000</w:t>
            </w:r>
          </w:p>
        </w:tc>
        <w:tc>
          <w:tcPr>
            <w:tcW w:w="1166" w:type="dxa"/>
            <w:tcBorders>
              <w:bottom w:val="nil"/>
            </w:tcBorders>
            <w:shd w:val="clear" w:color="auto" w:fill="D3DFEE"/>
            <w:noWrap/>
          </w:tcPr>
          <w:p w14:paraId="7E43B6A4"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4,524,000</w:t>
            </w:r>
          </w:p>
        </w:tc>
      </w:tr>
      <w:tr w:rsidR="004F2274" w:rsidRPr="0058033D" w14:paraId="5450710F" w14:textId="77777777" w:rsidTr="00DE7BB7">
        <w:trPr>
          <w:trHeight w:val="255"/>
        </w:trPr>
        <w:tc>
          <w:tcPr>
            <w:tcW w:w="3080" w:type="dxa"/>
            <w:tcBorders>
              <w:left w:val="nil"/>
              <w:right w:val="nil"/>
            </w:tcBorders>
            <w:shd w:val="clear" w:color="auto" w:fill="D3DFEE"/>
            <w:noWrap/>
          </w:tcPr>
          <w:p w14:paraId="73CF728F" w14:textId="22208DA5"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incl. </w:t>
            </w:r>
            <w:r w:rsidR="00D6380D" w:rsidRPr="00DE7BB7">
              <w:rPr>
                <w:rFonts w:cs="Arial"/>
                <w:b/>
                <w:bCs/>
                <w:color w:val="000000"/>
                <w:sz w:val="16"/>
                <w:lang w:val="en-GB"/>
              </w:rPr>
              <w:tab/>
            </w:r>
            <w:r w:rsidRPr="00DE7BB7">
              <w:rPr>
                <w:rFonts w:cs="Arial"/>
                <w:b/>
                <w:bCs/>
                <w:color w:val="000000"/>
                <w:sz w:val="16"/>
                <w:lang w:val="en-GB"/>
              </w:rPr>
              <w:t>- Self-employed</w:t>
            </w:r>
          </w:p>
        </w:tc>
        <w:tc>
          <w:tcPr>
            <w:tcW w:w="1166" w:type="dxa"/>
            <w:tcBorders>
              <w:left w:val="nil"/>
              <w:bottom w:val="nil"/>
              <w:right w:val="nil"/>
            </w:tcBorders>
            <w:shd w:val="clear" w:color="auto" w:fill="D3DFEE"/>
            <w:noWrap/>
          </w:tcPr>
          <w:p w14:paraId="786ACDBC" w14:textId="77777777" w:rsidR="004F2274" w:rsidRPr="00DE7BB7" w:rsidRDefault="004F2274" w:rsidP="00DE7BB7">
            <w:pPr>
              <w:jc w:val="right"/>
              <w:rPr>
                <w:rFonts w:cs="Arial"/>
                <w:color w:val="000000"/>
                <w:sz w:val="16"/>
                <w:lang w:val="en-GB"/>
              </w:rPr>
            </w:pPr>
            <w:r w:rsidRPr="00DE7BB7">
              <w:rPr>
                <w:rFonts w:cs="Arial"/>
                <w:color w:val="000000"/>
                <w:sz w:val="16"/>
                <w:lang w:val="en-GB"/>
              </w:rPr>
              <w:t>1,817,000</w:t>
            </w:r>
          </w:p>
        </w:tc>
        <w:tc>
          <w:tcPr>
            <w:tcW w:w="1166" w:type="dxa"/>
            <w:tcBorders>
              <w:left w:val="nil"/>
              <w:right w:val="nil"/>
            </w:tcBorders>
            <w:shd w:val="clear" w:color="auto" w:fill="D3DFEE"/>
            <w:noWrap/>
          </w:tcPr>
          <w:p w14:paraId="346393D1" w14:textId="77777777" w:rsidR="004F2274" w:rsidRPr="00DE7BB7" w:rsidRDefault="004F2274" w:rsidP="00DE7BB7">
            <w:pPr>
              <w:jc w:val="right"/>
              <w:rPr>
                <w:rFonts w:cs="Arial"/>
                <w:color w:val="000000"/>
                <w:sz w:val="16"/>
                <w:lang w:val="en-GB"/>
              </w:rPr>
            </w:pPr>
            <w:r w:rsidRPr="00DE7BB7">
              <w:rPr>
                <w:rFonts w:cs="Arial"/>
                <w:color w:val="000000"/>
                <w:sz w:val="16"/>
                <w:lang w:val="en-GB"/>
              </w:rPr>
              <w:t>1,702,000</w:t>
            </w:r>
          </w:p>
        </w:tc>
        <w:tc>
          <w:tcPr>
            <w:tcW w:w="1166" w:type="dxa"/>
            <w:tcBorders>
              <w:left w:val="nil"/>
              <w:bottom w:val="nil"/>
              <w:right w:val="nil"/>
            </w:tcBorders>
            <w:shd w:val="clear" w:color="auto" w:fill="D3DFEE"/>
            <w:noWrap/>
          </w:tcPr>
          <w:p w14:paraId="6B2A8FC4" w14:textId="77777777" w:rsidR="004F2274" w:rsidRPr="00DE7BB7" w:rsidRDefault="004F2274" w:rsidP="00DE7BB7">
            <w:pPr>
              <w:jc w:val="right"/>
              <w:rPr>
                <w:rFonts w:cs="Arial"/>
                <w:color w:val="000000"/>
                <w:sz w:val="16"/>
                <w:lang w:val="en-GB"/>
              </w:rPr>
            </w:pPr>
            <w:r w:rsidRPr="00DE7BB7">
              <w:rPr>
                <w:rFonts w:cs="Arial"/>
                <w:color w:val="000000"/>
                <w:sz w:val="16"/>
                <w:lang w:val="en-GB"/>
              </w:rPr>
              <w:t>1,853,000</w:t>
            </w:r>
          </w:p>
        </w:tc>
        <w:tc>
          <w:tcPr>
            <w:tcW w:w="1166" w:type="dxa"/>
            <w:tcBorders>
              <w:left w:val="nil"/>
              <w:right w:val="nil"/>
            </w:tcBorders>
            <w:shd w:val="clear" w:color="auto" w:fill="D3DFEE"/>
            <w:noWrap/>
          </w:tcPr>
          <w:p w14:paraId="5ADA400C" w14:textId="77777777" w:rsidR="004F2274" w:rsidRPr="00DE7BB7" w:rsidRDefault="004F2274" w:rsidP="00DE7BB7">
            <w:pPr>
              <w:jc w:val="right"/>
              <w:rPr>
                <w:rFonts w:cs="Arial"/>
                <w:color w:val="000000"/>
                <w:sz w:val="16"/>
                <w:lang w:val="en-GB"/>
              </w:rPr>
            </w:pPr>
            <w:r w:rsidRPr="00DE7BB7">
              <w:rPr>
                <w:rFonts w:cs="Arial"/>
                <w:color w:val="000000"/>
                <w:sz w:val="16"/>
                <w:lang w:val="en-GB"/>
              </w:rPr>
              <w:t>1,943,000</w:t>
            </w:r>
          </w:p>
        </w:tc>
        <w:tc>
          <w:tcPr>
            <w:tcW w:w="1166" w:type="dxa"/>
            <w:tcBorders>
              <w:left w:val="nil"/>
              <w:bottom w:val="nil"/>
              <w:right w:val="nil"/>
            </w:tcBorders>
            <w:shd w:val="clear" w:color="auto" w:fill="D3DFEE"/>
            <w:noWrap/>
          </w:tcPr>
          <w:p w14:paraId="01D7F14B" w14:textId="77777777" w:rsidR="004F2274" w:rsidRPr="00DE7BB7" w:rsidRDefault="004F2274" w:rsidP="00DE7BB7">
            <w:pPr>
              <w:jc w:val="right"/>
              <w:rPr>
                <w:rFonts w:cs="Arial"/>
                <w:color w:val="000000"/>
                <w:sz w:val="16"/>
                <w:lang w:val="en-GB"/>
              </w:rPr>
            </w:pPr>
            <w:r w:rsidRPr="00DE7BB7">
              <w:rPr>
                <w:rFonts w:cs="Arial"/>
                <w:color w:val="000000"/>
                <w:sz w:val="16"/>
                <w:lang w:val="en-GB"/>
              </w:rPr>
              <w:t>1,897,000</w:t>
            </w:r>
          </w:p>
        </w:tc>
      </w:tr>
      <w:tr w:rsidR="004F2274" w:rsidRPr="0058033D" w14:paraId="4C6612BF" w14:textId="77777777" w:rsidTr="00DE7BB7">
        <w:trPr>
          <w:trHeight w:val="255"/>
        </w:trPr>
        <w:tc>
          <w:tcPr>
            <w:tcW w:w="3080" w:type="dxa"/>
            <w:shd w:val="clear" w:color="auto" w:fill="auto"/>
            <w:noWrap/>
          </w:tcPr>
          <w:p w14:paraId="2D0E29BD" w14:textId="55E6A7C4"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Low VAT rate</w:t>
            </w:r>
          </w:p>
        </w:tc>
        <w:tc>
          <w:tcPr>
            <w:tcW w:w="1166" w:type="dxa"/>
            <w:tcBorders>
              <w:bottom w:val="nil"/>
            </w:tcBorders>
            <w:shd w:val="clear" w:color="auto" w:fill="D3DFEE"/>
            <w:noWrap/>
          </w:tcPr>
          <w:p w14:paraId="1364079D" w14:textId="77777777" w:rsidR="004F2274" w:rsidRPr="00DE7BB7" w:rsidRDefault="004F2274" w:rsidP="00DE7BB7">
            <w:pPr>
              <w:jc w:val="right"/>
              <w:rPr>
                <w:rFonts w:cs="Arial"/>
                <w:color w:val="000000"/>
                <w:sz w:val="16"/>
                <w:lang w:val="en-GB"/>
              </w:rPr>
            </w:pPr>
            <w:r w:rsidRPr="00DE7BB7">
              <w:rPr>
                <w:rFonts w:cs="Arial"/>
                <w:color w:val="000000"/>
                <w:sz w:val="16"/>
                <w:lang w:val="en-GB"/>
              </w:rPr>
              <w:t>1,361,000</w:t>
            </w:r>
          </w:p>
        </w:tc>
        <w:tc>
          <w:tcPr>
            <w:tcW w:w="1166" w:type="dxa"/>
            <w:shd w:val="clear" w:color="auto" w:fill="auto"/>
            <w:noWrap/>
          </w:tcPr>
          <w:p w14:paraId="7F84BE3D" w14:textId="77777777" w:rsidR="004F2274" w:rsidRPr="00DE7BB7" w:rsidRDefault="004F2274" w:rsidP="00DE7BB7">
            <w:pPr>
              <w:jc w:val="right"/>
              <w:rPr>
                <w:rFonts w:cs="Arial"/>
                <w:color w:val="000000"/>
                <w:sz w:val="16"/>
                <w:lang w:val="en-GB"/>
              </w:rPr>
            </w:pPr>
            <w:r w:rsidRPr="00DE7BB7">
              <w:rPr>
                <w:rFonts w:cs="Arial"/>
                <w:color w:val="000000"/>
                <w:sz w:val="16"/>
                <w:lang w:val="en-GB"/>
              </w:rPr>
              <w:t>1,495,001</w:t>
            </w:r>
          </w:p>
        </w:tc>
        <w:tc>
          <w:tcPr>
            <w:tcW w:w="1166" w:type="dxa"/>
            <w:tcBorders>
              <w:bottom w:val="nil"/>
            </w:tcBorders>
            <w:shd w:val="clear" w:color="auto" w:fill="D3DFEE"/>
            <w:noWrap/>
          </w:tcPr>
          <w:p w14:paraId="228330CF" w14:textId="77777777" w:rsidR="004F2274" w:rsidRPr="00DE7BB7" w:rsidRDefault="004F2274" w:rsidP="00DE7BB7">
            <w:pPr>
              <w:jc w:val="right"/>
              <w:rPr>
                <w:rFonts w:cs="Arial"/>
                <w:color w:val="000000"/>
                <w:sz w:val="16"/>
                <w:lang w:val="en-GB"/>
              </w:rPr>
            </w:pPr>
            <w:r w:rsidRPr="00DE7BB7">
              <w:rPr>
                <w:rFonts w:cs="Arial"/>
                <w:color w:val="000000"/>
                <w:sz w:val="16"/>
                <w:lang w:val="en-GB"/>
              </w:rPr>
              <w:t>1,436,000</w:t>
            </w:r>
          </w:p>
        </w:tc>
        <w:tc>
          <w:tcPr>
            <w:tcW w:w="1166" w:type="dxa"/>
            <w:shd w:val="clear" w:color="auto" w:fill="auto"/>
            <w:noWrap/>
          </w:tcPr>
          <w:p w14:paraId="1DF4386A" w14:textId="77777777" w:rsidR="004F2274" w:rsidRPr="00DE7BB7" w:rsidRDefault="004F2274" w:rsidP="00DE7BB7">
            <w:pPr>
              <w:jc w:val="right"/>
              <w:rPr>
                <w:rFonts w:cs="Arial"/>
                <w:color w:val="000000"/>
                <w:sz w:val="16"/>
                <w:lang w:val="en-GB"/>
              </w:rPr>
            </w:pPr>
            <w:r w:rsidRPr="00DE7BB7">
              <w:rPr>
                <w:rFonts w:cs="Arial"/>
                <w:color w:val="000000"/>
                <w:sz w:val="16"/>
                <w:lang w:val="en-GB"/>
              </w:rPr>
              <w:t>1,527,000</w:t>
            </w:r>
          </w:p>
        </w:tc>
        <w:tc>
          <w:tcPr>
            <w:tcW w:w="1166" w:type="dxa"/>
            <w:tcBorders>
              <w:bottom w:val="nil"/>
            </w:tcBorders>
            <w:shd w:val="clear" w:color="auto" w:fill="D3DFEE"/>
            <w:noWrap/>
          </w:tcPr>
          <w:p w14:paraId="3D24EB5D" w14:textId="77777777" w:rsidR="004F2274" w:rsidRPr="00DE7BB7" w:rsidRDefault="004F2274" w:rsidP="00DE7BB7">
            <w:pPr>
              <w:jc w:val="right"/>
              <w:rPr>
                <w:rFonts w:cs="Arial"/>
                <w:color w:val="000000"/>
                <w:sz w:val="16"/>
                <w:lang w:val="en-GB"/>
              </w:rPr>
            </w:pPr>
            <w:r w:rsidRPr="00DE7BB7">
              <w:rPr>
                <w:rFonts w:cs="Arial"/>
                <w:color w:val="000000"/>
                <w:sz w:val="16"/>
                <w:lang w:val="en-GB"/>
              </w:rPr>
              <w:t>1,643,000</w:t>
            </w:r>
          </w:p>
        </w:tc>
      </w:tr>
      <w:tr w:rsidR="004F2274" w:rsidRPr="0058033D" w14:paraId="6B80B31A" w14:textId="77777777" w:rsidTr="00DE7BB7">
        <w:trPr>
          <w:trHeight w:val="255"/>
        </w:trPr>
        <w:tc>
          <w:tcPr>
            <w:tcW w:w="3080" w:type="dxa"/>
            <w:tcBorders>
              <w:left w:val="nil"/>
              <w:right w:val="nil"/>
            </w:tcBorders>
            <w:shd w:val="clear" w:color="auto" w:fill="D3DFEE"/>
            <w:noWrap/>
          </w:tcPr>
          <w:p w14:paraId="02E9F990" w14:textId="3F6812F4" w:rsidR="004F2274" w:rsidRPr="00DE7BB7" w:rsidRDefault="004F2274" w:rsidP="00A14D20">
            <w:pPr>
              <w:rPr>
                <w:rFonts w:cs="Arial"/>
                <w:b/>
                <w:bCs/>
                <w:color w:val="000000"/>
                <w:sz w:val="16"/>
                <w:lang w:val="en-GB"/>
              </w:rPr>
            </w:pPr>
            <w:r w:rsidRPr="00DE7BB7">
              <w:rPr>
                <w:rFonts w:cs="Arial"/>
                <w:b/>
                <w:bCs/>
                <w:color w:val="000000"/>
                <w:sz w:val="16"/>
                <w:lang w:val="en-GB"/>
              </w:rPr>
              <w:t xml:space="preserve">Tax </w:t>
            </w:r>
            <w:r w:rsidR="00891B82" w:rsidRPr="00DE7BB7">
              <w:rPr>
                <w:rFonts w:cs="Arial"/>
                <w:b/>
                <w:bCs/>
                <w:color w:val="000000"/>
                <w:sz w:val="16"/>
                <w:lang w:val="en-GB"/>
              </w:rPr>
              <w:t>incentives</w:t>
            </w:r>
            <w:r w:rsidRPr="00DE7BB7">
              <w:rPr>
                <w:rFonts w:cs="Arial"/>
                <w:b/>
                <w:bCs/>
                <w:color w:val="000000"/>
                <w:sz w:val="16"/>
                <w:lang w:val="en-GB"/>
              </w:rPr>
              <w:t xml:space="preserve"> for innovation</w:t>
            </w:r>
          </w:p>
        </w:tc>
        <w:tc>
          <w:tcPr>
            <w:tcW w:w="1166" w:type="dxa"/>
            <w:tcBorders>
              <w:left w:val="nil"/>
              <w:bottom w:val="nil"/>
              <w:right w:val="nil"/>
            </w:tcBorders>
            <w:shd w:val="clear" w:color="auto" w:fill="D3DFEE"/>
            <w:noWrap/>
          </w:tcPr>
          <w:p w14:paraId="6517CA6C"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792,000</w:t>
            </w:r>
          </w:p>
        </w:tc>
        <w:tc>
          <w:tcPr>
            <w:tcW w:w="1166" w:type="dxa"/>
            <w:tcBorders>
              <w:left w:val="nil"/>
              <w:right w:val="nil"/>
            </w:tcBorders>
            <w:shd w:val="clear" w:color="auto" w:fill="D3DFEE"/>
            <w:noWrap/>
          </w:tcPr>
          <w:p w14:paraId="5CBD8B85"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1,045,000</w:t>
            </w:r>
          </w:p>
        </w:tc>
        <w:tc>
          <w:tcPr>
            <w:tcW w:w="1166" w:type="dxa"/>
            <w:tcBorders>
              <w:left w:val="nil"/>
              <w:bottom w:val="nil"/>
              <w:right w:val="nil"/>
            </w:tcBorders>
            <w:shd w:val="clear" w:color="auto" w:fill="D3DFEE"/>
            <w:noWrap/>
          </w:tcPr>
          <w:p w14:paraId="6E9E4894"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1,522,000</w:t>
            </w:r>
          </w:p>
        </w:tc>
        <w:tc>
          <w:tcPr>
            <w:tcW w:w="1166" w:type="dxa"/>
            <w:tcBorders>
              <w:left w:val="nil"/>
              <w:right w:val="nil"/>
            </w:tcBorders>
            <w:shd w:val="clear" w:color="auto" w:fill="D3DFEE"/>
            <w:noWrap/>
          </w:tcPr>
          <w:p w14:paraId="495338BF"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1,974,000</w:t>
            </w:r>
          </w:p>
        </w:tc>
        <w:tc>
          <w:tcPr>
            <w:tcW w:w="1166" w:type="dxa"/>
            <w:tcBorders>
              <w:left w:val="nil"/>
              <w:bottom w:val="nil"/>
              <w:right w:val="nil"/>
            </w:tcBorders>
            <w:shd w:val="clear" w:color="auto" w:fill="D3DFEE"/>
            <w:noWrap/>
          </w:tcPr>
          <w:p w14:paraId="18B4CF48"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1,853,000</w:t>
            </w:r>
          </w:p>
        </w:tc>
      </w:tr>
      <w:tr w:rsidR="004F2274" w:rsidRPr="0058033D" w14:paraId="1A6C3624" w14:textId="77777777" w:rsidTr="00DE7BB7">
        <w:trPr>
          <w:trHeight w:val="255"/>
        </w:trPr>
        <w:tc>
          <w:tcPr>
            <w:tcW w:w="3080" w:type="dxa"/>
            <w:shd w:val="clear" w:color="auto" w:fill="auto"/>
            <w:noWrap/>
          </w:tcPr>
          <w:p w14:paraId="4363E441" w14:textId="0CBEE638"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incl. </w:t>
            </w:r>
            <w:r w:rsidR="00D6380D" w:rsidRPr="00DE7BB7">
              <w:rPr>
                <w:rFonts w:cs="Arial"/>
                <w:b/>
                <w:bCs/>
                <w:color w:val="000000"/>
                <w:sz w:val="16"/>
                <w:lang w:val="en-GB"/>
              </w:rPr>
              <w:tab/>
            </w:r>
            <w:r w:rsidRPr="00DE7BB7">
              <w:rPr>
                <w:rFonts w:cs="Arial"/>
                <w:b/>
                <w:bCs/>
                <w:color w:val="000000"/>
                <w:sz w:val="16"/>
                <w:lang w:val="en-GB"/>
              </w:rPr>
              <w:t>- WBSO &amp; RDA</w:t>
            </w:r>
          </w:p>
        </w:tc>
        <w:tc>
          <w:tcPr>
            <w:tcW w:w="1166" w:type="dxa"/>
            <w:tcBorders>
              <w:bottom w:val="nil"/>
            </w:tcBorders>
            <w:shd w:val="clear" w:color="auto" w:fill="D3DFEE"/>
            <w:noWrap/>
          </w:tcPr>
          <w:p w14:paraId="6A387C89" w14:textId="77777777" w:rsidR="004F2274" w:rsidRPr="00DE7BB7" w:rsidRDefault="004F2274" w:rsidP="00DE7BB7">
            <w:pPr>
              <w:jc w:val="right"/>
              <w:rPr>
                <w:rFonts w:cs="Arial"/>
                <w:color w:val="000000"/>
                <w:sz w:val="16"/>
                <w:lang w:val="en-GB"/>
              </w:rPr>
            </w:pPr>
            <w:r w:rsidRPr="00DE7BB7">
              <w:rPr>
                <w:rFonts w:cs="Arial"/>
                <w:color w:val="000000"/>
                <w:sz w:val="16"/>
                <w:lang w:val="en-GB"/>
              </w:rPr>
              <w:t>704,000</w:t>
            </w:r>
          </w:p>
        </w:tc>
        <w:tc>
          <w:tcPr>
            <w:tcW w:w="1166" w:type="dxa"/>
            <w:shd w:val="clear" w:color="auto" w:fill="auto"/>
            <w:noWrap/>
          </w:tcPr>
          <w:p w14:paraId="140E7554" w14:textId="77777777" w:rsidR="004F2274" w:rsidRPr="00DE7BB7" w:rsidRDefault="004F2274" w:rsidP="00DE7BB7">
            <w:pPr>
              <w:jc w:val="right"/>
              <w:rPr>
                <w:rFonts w:cs="Arial"/>
                <w:color w:val="000000"/>
                <w:sz w:val="16"/>
                <w:lang w:val="en-GB"/>
              </w:rPr>
            </w:pPr>
            <w:r w:rsidRPr="00DE7BB7">
              <w:rPr>
                <w:rFonts w:cs="Arial"/>
                <w:color w:val="000000"/>
                <w:sz w:val="16"/>
                <w:lang w:val="en-GB"/>
              </w:rPr>
              <w:t>700,000</w:t>
            </w:r>
          </w:p>
        </w:tc>
        <w:tc>
          <w:tcPr>
            <w:tcW w:w="1166" w:type="dxa"/>
            <w:tcBorders>
              <w:bottom w:val="nil"/>
            </w:tcBorders>
            <w:shd w:val="clear" w:color="auto" w:fill="D3DFEE"/>
            <w:noWrap/>
          </w:tcPr>
          <w:p w14:paraId="09B7DE07" w14:textId="77777777" w:rsidR="004F2274" w:rsidRPr="00DE7BB7" w:rsidRDefault="004F2274" w:rsidP="00DE7BB7">
            <w:pPr>
              <w:jc w:val="right"/>
              <w:rPr>
                <w:rFonts w:cs="Arial"/>
                <w:color w:val="000000"/>
                <w:sz w:val="16"/>
                <w:lang w:val="en-GB"/>
              </w:rPr>
            </w:pPr>
            <w:r w:rsidRPr="00DE7BB7">
              <w:rPr>
                <w:rFonts w:cs="Arial"/>
                <w:color w:val="000000"/>
                <w:sz w:val="16"/>
                <w:lang w:val="en-GB"/>
              </w:rPr>
              <w:t>921,000</w:t>
            </w:r>
          </w:p>
        </w:tc>
        <w:tc>
          <w:tcPr>
            <w:tcW w:w="1166" w:type="dxa"/>
            <w:shd w:val="clear" w:color="auto" w:fill="auto"/>
            <w:noWrap/>
          </w:tcPr>
          <w:p w14:paraId="6DCD6318" w14:textId="77777777" w:rsidR="004F2274" w:rsidRPr="00DE7BB7" w:rsidRDefault="004F2274" w:rsidP="00DE7BB7">
            <w:pPr>
              <w:jc w:val="right"/>
              <w:rPr>
                <w:rFonts w:cs="Arial"/>
                <w:color w:val="000000"/>
                <w:sz w:val="16"/>
                <w:lang w:val="en-GB"/>
              </w:rPr>
            </w:pPr>
            <w:r w:rsidRPr="00DE7BB7">
              <w:rPr>
                <w:rFonts w:cs="Arial"/>
                <w:color w:val="000000"/>
                <w:sz w:val="16"/>
                <w:lang w:val="en-GB"/>
              </w:rPr>
              <w:t>1,122,000</w:t>
            </w:r>
          </w:p>
        </w:tc>
        <w:tc>
          <w:tcPr>
            <w:tcW w:w="1166" w:type="dxa"/>
            <w:tcBorders>
              <w:bottom w:val="nil"/>
            </w:tcBorders>
            <w:shd w:val="clear" w:color="auto" w:fill="D3DFEE"/>
            <w:noWrap/>
          </w:tcPr>
          <w:p w14:paraId="7B5F8487" w14:textId="77777777" w:rsidR="004F2274" w:rsidRPr="00DE7BB7" w:rsidRDefault="004F2274" w:rsidP="00DE7BB7">
            <w:pPr>
              <w:jc w:val="right"/>
              <w:rPr>
                <w:rFonts w:cs="Arial"/>
                <w:color w:val="000000"/>
                <w:sz w:val="16"/>
                <w:lang w:val="en-GB"/>
              </w:rPr>
            </w:pPr>
            <w:r w:rsidRPr="00DE7BB7">
              <w:rPr>
                <w:rFonts w:cs="Arial"/>
                <w:color w:val="000000"/>
                <w:sz w:val="16"/>
                <w:lang w:val="en-GB"/>
              </w:rPr>
              <w:t>1,001,000</w:t>
            </w:r>
          </w:p>
        </w:tc>
      </w:tr>
      <w:tr w:rsidR="004F2274" w:rsidRPr="0058033D" w14:paraId="129B63CF" w14:textId="77777777" w:rsidTr="00DE7BB7">
        <w:trPr>
          <w:trHeight w:val="255"/>
        </w:trPr>
        <w:tc>
          <w:tcPr>
            <w:tcW w:w="3080" w:type="dxa"/>
            <w:tcBorders>
              <w:left w:val="nil"/>
              <w:right w:val="nil"/>
            </w:tcBorders>
            <w:shd w:val="clear" w:color="auto" w:fill="D3DFEE"/>
            <w:noWrap/>
          </w:tcPr>
          <w:p w14:paraId="4465C9BC" w14:textId="4BD44240"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Innovation box</w:t>
            </w:r>
            <w:r w:rsidRPr="00DE7BB7">
              <w:rPr>
                <w:rFonts w:cs="Arial"/>
                <w:b/>
                <w:bCs/>
                <w:color w:val="000000"/>
                <w:sz w:val="16"/>
                <w:vertAlign w:val="superscript"/>
                <w:lang w:val="en-GB"/>
              </w:rPr>
              <w:t>2</w:t>
            </w:r>
          </w:p>
        </w:tc>
        <w:tc>
          <w:tcPr>
            <w:tcW w:w="1166" w:type="dxa"/>
            <w:tcBorders>
              <w:left w:val="nil"/>
              <w:bottom w:val="nil"/>
              <w:right w:val="nil"/>
            </w:tcBorders>
            <w:shd w:val="clear" w:color="auto" w:fill="D3DFEE"/>
            <w:noWrap/>
          </w:tcPr>
          <w:p w14:paraId="0FF91627" w14:textId="77777777" w:rsidR="004F2274" w:rsidRPr="00DE7BB7" w:rsidRDefault="004F2274" w:rsidP="00DE7BB7">
            <w:pPr>
              <w:jc w:val="right"/>
              <w:rPr>
                <w:rFonts w:cs="Arial"/>
                <w:color w:val="000000"/>
                <w:sz w:val="16"/>
                <w:lang w:val="en-GB"/>
              </w:rPr>
            </w:pPr>
            <w:r w:rsidRPr="00DE7BB7">
              <w:rPr>
                <w:rFonts w:cs="Arial"/>
                <w:color w:val="000000"/>
                <w:sz w:val="16"/>
                <w:lang w:val="en-GB"/>
              </w:rPr>
              <w:t>88,000</w:t>
            </w:r>
          </w:p>
        </w:tc>
        <w:tc>
          <w:tcPr>
            <w:tcW w:w="1166" w:type="dxa"/>
            <w:tcBorders>
              <w:left w:val="nil"/>
              <w:right w:val="nil"/>
            </w:tcBorders>
            <w:shd w:val="clear" w:color="auto" w:fill="D3DFEE"/>
            <w:noWrap/>
          </w:tcPr>
          <w:p w14:paraId="61D39C60" w14:textId="77777777" w:rsidR="004F2274" w:rsidRPr="00DE7BB7" w:rsidRDefault="004F2274" w:rsidP="00DE7BB7">
            <w:pPr>
              <w:jc w:val="right"/>
              <w:rPr>
                <w:rFonts w:cs="Arial"/>
                <w:color w:val="000000"/>
                <w:sz w:val="16"/>
                <w:lang w:val="en-GB"/>
              </w:rPr>
            </w:pPr>
            <w:r w:rsidRPr="00DE7BB7">
              <w:rPr>
                <w:rFonts w:cs="Arial"/>
                <w:color w:val="000000"/>
                <w:sz w:val="16"/>
                <w:lang w:val="en-GB"/>
              </w:rPr>
              <w:t>345,000</w:t>
            </w:r>
          </w:p>
        </w:tc>
        <w:tc>
          <w:tcPr>
            <w:tcW w:w="1166" w:type="dxa"/>
            <w:tcBorders>
              <w:left w:val="nil"/>
              <w:bottom w:val="nil"/>
              <w:right w:val="nil"/>
            </w:tcBorders>
            <w:shd w:val="clear" w:color="auto" w:fill="D3DFEE"/>
            <w:noWrap/>
          </w:tcPr>
          <w:p w14:paraId="0E22F049" w14:textId="77777777" w:rsidR="004F2274" w:rsidRPr="00DE7BB7" w:rsidRDefault="004F2274" w:rsidP="00DE7BB7">
            <w:pPr>
              <w:jc w:val="right"/>
              <w:rPr>
                <w:rFonts w:cs="Arial"/>
                <w:color w:val="000000"/>
                <w:sz w:val="16"/>
                <w:lang w:val="en-GB"/>
              </w:rPr>
            </w:pPr>
            <w:r w:rsidRPr="00DE7BB7">
              <w:rPr>
                <w:rFonts w:cs="Arial"/>
                <w:color w:val="000000"/>
                <w:sz w:val="16"/>
                <w:lang w:val="en-GB"/>
              </w:rPr>
              <w:t>601,000</w:t>
            </w:r>
          </w:p>
        </w:tc>
        <w:tc>
          <w:tcPr>
            <w:tcW w:w="1166" w:type="dxa"/>
            <w:tcBorders>
              <w:left w:val="nil"/>
              <w:right w:val="nil"/>
            </w:tcBorders>
            <w:shd w:val="clear" w:color="auto" w:fill="D3DFEE"/>
            <w:noWrap/>
          </w:tcPr>
          <w:p w14:paraId="6D68D917" w14:textId="77777777" w:rsidR="004F2274" w:rsidRPr="00DE7BB7" w:rsidRDefault="004F2274" w:rsidP="00DE7BB7">
            <w:pPr>
              <w:jc w:val="right"/>
              <w:rPr>
                <w:rFonts w:cs="Arial"/>
                <w:color w:val="000000"/>
                <w:sz w:val="16"/>
                <w:lang w:val="en-GB"/>
              </w:rPr>
            </w:pPr>
            <w:r w:rsidRPr="00DE7BB7">
              <w:rPr>
                <w:rFonts w:cs="Arial"/>
                <w:color w:val="000000"/>
                <w:sz w:val="16"/>
                <w:lang w:val="en-GB"/>
              </w:rPr>
              <w:t>852,000</w:t>
            </w:r>
          </w:p>
        </w:tc>
        <w:tc>
          <w:tcPr>
            <w:tcW w:w="1166" w:type="dxa"/>
            <w:tcBorders>
              <w:left w:val="nil"/>
              <w:bottom w:val="nil"/>
              <w:right w:val="nil"/>
            </w:tcBorders>
            <w:shd w:val="clear" w:color="auto" w:fill="D3DFEE"/>
            <w:noWrap/>
          </w:tcPr>
          <w:p w14:paraId="6A5D2683" w14:textId="77777777" w:rsidR="004F2274" w:rsidRPr="00DE7BB7" w:rsidRDefault="004F2274" w:rsidP="00DE7BB7">
            <w:pPr>
              <w:jc w:val="right"/>
              <w:rPr>
                <w:rFonts w:cs="Arial"/>
                <w:color w:val="000000"/>
                <w:sz w:val="16"/>
                <w:lang w:val="en-GB"/>
              </w:rPr>
            </w:pPr>
            <w:r w:rsidRPr="00DE7BB7">
              <w:rPr>
                <w:rFonts w:cs="Arial"/>
                <w:color w:val="000000"/>
                <w:sz w:val="16"/>
                <w:lang w:val="en-GB"/>
              </w:rPr>
              <w:t>852,000</w:t>
            </w:r>
          </w:p>
        </w:tc>
      </w:tr>
      <w:tr w:rsidR="004F2274" w:rsidRPr="0058033D" w14:paraId="5D84C1E1" w14:textId="77777777" w:rsidTr="00DE7BB7">
        <w:trPr>
          <w:trHeight w:val="255"/>
        </w:trPr>
        <w:tc>
          <w:tcPr>
            <w:tcW w:w="3080" w:type="dxa"/>
            <w:shd w:val="clear" w:color="auto" w:fill="auto"/>
            <w:noWrap/>
          </w:tcPr>
          <w:p w14:paraId="6E50A51C"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Loans</w:t>
            </w:r>
          </w:p>
        </w:tc>
        <w:tc>
          <w:tcPr>
            <w:tcW w:w="1166" w:type="dxa"/>
            <w:tcBorders>
              <w:bottom w:val="nil"/>
            </w:tcBorders>
            <w:shd w:val="clear" w:color="auto" w:fill="D3DFEE"/>
            <w:noWrap/>
          </w:tcPr>
          <w:p w14:paraId="26DB03C2"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36,780</w:t>
            </w:r>
          </w:p>
        </w:tc>
        <w:tc>
          <w:tcPr>
            <w:tcW w:w="1166" w:type="dxa"/>
            <w:shd w:val="clear" w:color="auto" w:fill="auto"/>
            <w:noWrap/>
          </w:tcPr>
          <w:p w14:paraId="3B2BE233"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33,229</w:t>
            </w:r>
          </w:p>
        </w:tc>
        <w:tc>
          <w:tcPr>
            <w:tcW w:w="1166" w:type="dxa"/>
            <w:tcBorders>
              <w:bottom w:val="nil"/>
            </w:tcBorders>
            <w:shd w:val="clear" w:color="auto" w:fill="D3DFEE"/>
            <w:noWrap/>
          </w:tcPr>
          <w:p w14:paraId="1D918543"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47,144</w:t>
            </w:r>
          </w:p>
        </w:tc>
        <w:tc>
          <w:tcPr>
            <w:tcW w:w="1166" w:type="dxa"/>
            <w:shd w:val="clear" w:color="auto" w:fill="auto"/>
            <w:noWrap/>
          </w:tcPr>
          <w:p w14:paraId="72B220CC"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40,396</w:t>
            </w:r>
          </w:p>
        </w:tc>
        <w:tc>
          <w:tcPr>
            <w:tcW w:w="1166" w:type="dxa"/>
            <w:tcBorders>
              <w:bottom w:val="nil"/>
            </w:tcBorders>
            <w:shd w:val="clear" w:color="auto" w:fill="D3DFEE"/>
            <w:noWrap/>
          </w:tcPr>
          <w:p w14:paraId="36A11A8F"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130,527</w:t>
            </w:r>
          </w:p>
        </w:tc>
      </w:tr>
      <w:tr w:rsidR="004F2274" w:rsidRPr="0058033D" w14:paraId="64C5B4AB" w14:textId="77777777" w:rsidTr="00DE7BB7">
        <w:trPr>
          <w:trHeight w:val="255"/>
        </w:trPr>
        <w:tc>
          <w:tcPr>
            <w:tcW w:w="3080" w:type="dxa"/>
            <w:tcBorders>
              <w:left w:val="nil"/>
              <w:right w:val="nil"/>
            </w:tcBorders>
            <w:shd w:val="clear" w:color="auto" w:fill="D3DFEE"/>
            <w:noWrap/>
          </w:tcPr>
          <w:p w14:paraId="490EBE16"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Guarantees</w:t>
            </w:r>
          </w:p>
        </w:tc>
        <w:tc>
          <w:tcPr>
            <w:tcW w:w="1166" w:type="dxa"/>
            <w:tcBorders>
              <w:left w:val="nil"/>
              <w:bottom w:val="nil"/>
              <w:right w:val="nil"/>
            </w:tcBorders>
            <w:shd w:val="clear" w:color="auto" w:fill="D3DFEE"/>
            <w:noWrap/>
          </w:tcPr>
          <w:p w14:paraId="559F3AAB"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103,684</w:t>
            </w:r>
          </w:p>
        </w:tc>
        <w:tc>
          <w:tcPr>
            <w:tcW w:w="1166" w:type="dxa"/>
            <w:tcBorders>
              <w:left w:val="nil"/>
              <w:right w:val="nil"/>
            </w:tcBorders>
            <w:shd w:val="clear" w:color="auto" w:fill="D3DFEE"/>
            <w:noWrap/>
          </w:tcPr>
          <w:p w14:paraId="589A8271"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73,284</w:t>
            </w:r>
          </w:p>
        </w:tc>
        <w:tc>
          <w:tcPr>
            <w:tcW w:w="1166" w:type="dxa"/>
            <w:tcBorders>
              <w:left w:val="nil"/>
              <w:bottom w:val="nil"/>
              <w:right w:val="nil"/>
            </w:tcBorders>
            <w:shd w:val="clear" w:color="auto" w:fill="D3DFEE"/>
            <w:noWrap/>
          </w:tcPr>
          <w:p w14:paraId="3A8B1E77"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87,913</w:t>
            </w:r>
          </w:p>
        </w:tc>
        <w:tc>
          <w:tcPr>
            <w:tcW w:w="1166" w:type="dxa"/>
            <w:tcBorders>
              <w:left w:val="nil"/>
              <w:right w:val="nil"/>
            </w:tcBorders>
            <w:shd w:val="clear" w:color="auto" w:fill="D3DFEE"/>
            <w:noWrap/>
          </w:tcPr>
          <w:p w14:paraId="061C86E9"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145,397</w:t>
            </w:r>
          </w:p>
        </w:tc>
        <w:tc>
          <w:tcPr>
            <w:tcW w:w="1166" w:type="dxa"/>
            <w:tcBorders>
              <w:left w:val="nil"/>
              <w:bottom w:val="nil"/>
              <w:right w:val="nil"/>
            </w:tcBorders>
            <w:shd w:val="clear" w:color="auto" w:fill="D3DFEE"/>
            <w:noWrap/>
          </w:tcPr>
          <w:p w14:paraId="0F705DA8"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114,100</w:t>
            </w:r>
          </w:p>
        </w:tc>
      </w:tr>
      <w:tr w:rsidR="004F2274" w:rsidRPr="0058033D" w14:paraId="6095D89C" w14:textId="77777777" w:rsidTr="00DE7BB7">
        <w:trPr>
          <w:trHeight w:val="255"/>
        </w:trPr>
        <w:tc>
          <w:tcPr>
            <w:tcW w:w="3080" w:type="dxa"/>
            <w:shd w:val="clear" w:color="auto" w:fill="auto"/>
            <w:noWrap/>
          </w:tcPr>
          <w:p w14:paraId="0FB0FEA2"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Subsidies</w:t>
            </w:r>
          </w:p>
        </w:tc>
        <w:tc>
          <w:tcPr>
            <w:tcW w:w="1166" w:type="dxa"/>
            <w:tcBorders>
              <w:bottom w:val="nil"/>
            </w:tcBorders>
            <w:shd w:val="clear" w:color="auto" w:fill="D3DFEE"/>
            <w:noWrap/>
          </w:tcPr>
          <w:p w14:paraId="14253FA8"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270,252</w:t>
            </w:r>
          </w:p>
        </w:tc>
        <w:tc>
          <w:tcPr>
            <w:tcW w:w="1166" w:type="dxa"/>
            <w:shd w:val="clear" w:color="auto" w:fill="auto"/>
            <w:noWrap/>
          </w:tcPr>
          <w:p w14:paraId="7407C959"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296,868</w:t>
            </w:r>
          </w:p>
        </w:tc>
        <w:tc>
          <w:tcPr>
            <w:tcW w:w="1166" w:type="dxa"/>
            <w:tcBorders>
              <w:bottom w:val="nil"/>
            </w:tcBorders>
            <w:shd w:val="clear" w:color="auto" w:fill="D3DFEE"/>
            <w:noWrap/>
          </w:tcPr>
          <w:p w14:paraId="69C459CF"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246,096</w:t>
            </w:r>
          </w:p>
        </w:tc>
        <w:tc>
          <w:tcPr>
            <w:tcW w:w="1166" w:type="dxa"/>
            <w:shd w:val="clear" w:color="auto" w:fill="auto"/>
            <w:noWrap/>
          </w:tcPr>
          <w:p w14:paraId="2CB64B6B"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220,427</w:t>
            </w:r>
          </w:p>
        </w:tc>
        <w:tc>
          <w:tcPr>
            <w:tcW w:w="1166" w:type="dxa"/>
            <w:tcBorders>
              <w:bottom w:val="nil"/>
            </w:tcBorders>
            <w:shd w:val="clear" w:color="auto" w:fill="D3DFEE"/>
            <w:noWrap/>
          </w:tcPr>
          <w:p w14:paraId="68780CF4"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133,823</w:t>
            </w:r>
          </w:p>
        </w:tc>
      </w:tr>
      <w:tr w:rsidR="004F2274" w:rsidRPr="0058033D" w14:paraId="6DB80975" w14:textId="77777777" w:rsidTr="00DE7BB7">
        <w:trPr>
          <w:trHeight w:val="255"/>
        </w:trPr>
        <w:tc>
          <w:tcPr>
            <w:tcW w:w="3080" w:type="dxa"/>
            <w:tcBorders>
              <w:left w:val="nil"/>
              <w:right w:val="nil"/>
            </w:tcBorders>
            <w:shd w:val="clear" w:color="auto" w:fill="D3DFEE"/>
            <w:noWrap/>
          </w:tcPr>
          <w:p w14:paraId="6FA3CF0E" w14:textId="2755683F"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incl.: - </w:t>
            </w:r>
            <w:r w:rsidR="008F1238" w:rsidRPr="00DE7BB7">
              <w:rPr>
                <w:rFonts w:cs="Arial"/>
                <w:b/>
                <w:bCs/>
                <w:color w:val="000000"/>
                <w:sz w:val="16"/>
                <w:lang w:val="en-GB"/>
              </w:rPr>
              <w:t xml:space="preserve">Phasing </w:t>
            </w:r>
            <w:r w:rsidRPr="00DE7BB7">
              <w:rPr>
                <w:rFonts w:cs="Arial"/>
                <w:b/>
                <w:bCs/>
                <w:color w:val="000000"/>
                <w:sz w:val="16"/>
                <w:lang w:val="en-GB"/>
              </w:rPr>
              <w:t>out subsidies</w:t>
            </w:r>
          </w:p>
        </w:tc>
        <w:tc>
          <w:tcPr>
            <w:tcW w:w="1166" w:type="dxa"/>
            <w:tcBorders>
              <w:left w:val="nil"/>
              <w:bottom w:val="nil"/>
              <w:right w:val="nil"/>
            </w:tcBorders>
            <w:shd w:val="clear" w:color="auto" w:fill="D3DFEE"/>
            <w:noWrap/>
          </w:tcPr>
          <w:p w14:paraId="7A4B4BFC" w14:textId="77777777" w:rsidR="004F2274" w:rsidRPr="00DE7BB7" w:rsidRDefault="004F2274" w:rsidP="00DE7BB7">
            <w:pPr>
              <w:jc w:val="right"/>
              <w:rPr>
                <w:rFonts w:cs="Arial"/>
                <w:color w:val="000000"/>
                <w:sz w:val="16"/>
                <w:lang w:val="en-GB"/>
              </w:rPr>
            </w:pPr>
            <w:r w:rsidRPr="00DE7BB7">
              <w:rPr>
                <w:rFonts w:cs="Arial"/>
                <w:color w:val="000000"/>
                <w:sz w:val="16"/>
                <w:lang w:val="en-GB"/>
              </w:rPr>
              <w:t>45,153</w:t>
            </w:r>
          </w:p>
        </w:tc>
        <w:tc>
          <w:tcPr>
            <w:tcW w:w="1166" w:type="dxa"/>
            <w:tcBorders>
              <w:left w:val="nil"/>
              <w:right w:val="nil"/>
            </w:tcBorders>
            <w:shd w:val="clear" w:color="auto" w:fill="D3DFEE"/>
            <w:noWrap/>
          </w:tcPr>
          <w:p w14:paraId="35AF0526" w14:textId="77777777" w:rsidR="004F2274" w:rsidRPr="00DE7BB7" w:rsidRDefault="004F2274" w:rsidP="00DE7BB7">
            <w:pPr>
              <w:jc w:val="right"/>
              <w:rPr>
                <w:rFonts w:cs="Arial"/>
                <w:color w:val="000000"/>
                <w:sz w:val="16"/>
                <w:lang w:val="en-GB"/>
              </w:rPr>
            </w:pPr>
            <w:r w:rsidRPr="00DE7BB7">
              <w:rPr>
                <w:rFonts w:cs="Arial"/>
                <w:color w:val="000000"/>
                <w:sz w:val="16"/>
                <w:lang w:val="en-GB"/>
              </w:rPr>
              <w:t>49,402</w:t>
            </w:r>
          </w:p>
        </w:tc>
        <w:tc>
          <w:tcPr>
            <w:tcW w:w="1166" w:type="dxa"/>
            <w:tcBorders>
              <w:left w:val="nil"/>
              <w:bottom w:val="nil"/>
              <w:right w:val="nil"/>
            </w:tcBorders>
            <w:shd w:val="clear" w:color="auto" w:fill="D3DFEE"/>
            <w:noWrap/>
          </w:tcPr>
          <w:p w14:paraId="16654D5C" w14:textId="77777777" w:rsidR="004F2274" w:rsidRPr="00DE7BB7" w:rsidRDefault="004F2274" w:rsidP="00DE7BB7">
            <w:pPr>
              <w:jc w:val="right"/>
              <w:rPr>
                <w:rFonts w:cs="Arial"/>
                <w:color w:val="000000"/>
                <w:sz w:val="16"/>
                <w:lang w:val="en-GB"/>
              </w:rPr>
            </w:pPr>
            <w:r w:rsidRPr="00DE7BB7">
              <w:rPr>
                <w:rFonts w:cs="Arial"/>
                <w:color w:val="000000"/>
                <w:sz w:val="16"/>
                <w:lang w:val="en-GB"/>
              </w:rPr>
              <w:t>49,989</w:t>
            </w:r>
          </w:p>
        </w:tc>
        <w:tc>
          <w:tcPr>
            <w:tcW w:w="1166" w:type="dxa"/>
            <w:tcBorders>
              <w:left w:val="nil"/>
              <w:right w:val="nil"/>
            </w:tcBorders>
            <w:shd w:val="clear" w:color="auto" w:fill="D3DFEE"/>
            <w:noWrap/>
          </w:tcPr>
          <w:p w14:paraId="475591FF" w14:textId="77777777" w:rsidR="004F2274" w:rsidRPr="00DE7BB7" w:rsidRDefault="004F2274" w:rsidP="00DE7BB7">
            <w:pPr>
              <w:jc w:val="right"/>
              <w:rPr>
                <w:rFonts w:cs="Arial"/>
                <w:color w:val="000000"/>
                <w:sz w:val="16"/>
                <w:lang w:val="en-GB"/>
              </w:rPr>
            </w:pPr>
            <w:r w:rsidRPr="00DE7BB7">
              <w:rPr>
                <w:rFonts w:cs="Arial"/>
                <w:color w:val="000000"/>
                <w:sz w:val="16"/>
                <w:lang w:val="en-GB"/>
              </w:rPr>
              <w:t>57,645</w:t>
            </w:r>
          </w:p>
        </w:tc>
        <w:tc>
          <w:tcPr>
            <w:tcW w:w="1166" w:type="dxa"/>
            <w:tcBorders>
              <w:left w:val="nil"/>
              <w:bottom w:val="nil"/>
              <w:right w:val="nil"/>
            </w:tcBorders>
            <w:shd w:val="clear" w:color="auto" w:fill="D3DFEE"/>
            <w:noWrap/>
          </w:tcPr>
          <w:p w14:paraId="38CEB9BB" w14:textId="77777777" w:rsidR="004F2274" w:rsidRPr="00DE7BB7" w:rsidRDefault="004F2274" w:rsidP="00DE7BB7">
            <w:pPr>
              <w:jc w:val="right"/>
              <w:rPr>
                <w:rFonts w:cs="Arial"/>
                <w:color w:val="000000"/>
                <w:sz w:val="16"/>
                <w:lang w:val="en-GB"/>
              </w:rPr>
            </w:pPr>
            <w:r w:rsidRPr="00DE7BB7">
              <w:rPr>
                <w:rFonts w:cs="Arial"/>
                <w:color w:val="000000"/>
                <w:sz w:val="16"/>
                <w:lang w:val="en-GB"/>
              </w:rPr>
              <w:t>31,484</w:t>
            </w:r>
          </w:p>
        </w:tc>
      </w:tr>
      <w:tr w:rsidR="004F2274" w:rsidRPr="0058033D" w14:paraId="439A3F2A" w14:textId="77777777" w:rsidTr="00DE7BB7">
        <w:trPr>
          <w:trHeight w:val="255"/>
        </w:trPr>
        <w:tc>
          <w:tcPr>
            <w:tcW w:w="3080" w:type="dxa"/>
            <w:shd w:val="clear" w:color="auto" w:fill="auto"/>
            <w:noWrap/>
          </w:tcPr>
          <w:p w14:paraId="484FB521" w14:textId="10C65DB3"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Innovation</w:t>
            </w:r>
          </w:p>
        </w:tc>
        <w:tc>
          <w:tcPr>
            <w:tcW w:w="1166" w:type="dxa"/>
            <w:tcBorders>
              <w:bottom w:val="nil"/>
            </w:tcBorders>
            <w:shd w:val="clear" w:color="auto" w:fill="D3DFEE"/>
            <w:noWrap/>
          </w:tcPr>
          <w:p w14:paraId="34E494EC" w14:textId="77777777" w:rsidR="004F2274" w:rsidRPr="00DE7BB7" w:rsidRDefault="004F2274" w:rsidP="00DE7BB7">
            <w:pPr>
              <w:jc w:val="right"/>
              <w:rPr>
                <w:rFonts w:cs="Arial"/>
                <w:color w:val="000000"/>
                <w:sz w:val="16"/>
                <w:lang w:val="en-GB"/>
              </w:rPr>
            </w:pPr>
            <w:r w:rsidRPr="00DE7BB7">
              <w:rPr>
                <w:rFonts w:cs="Arial"/>
                <w:color w:val="000000"/>
                <w:sz w:val="16"/>
                <w:lang w:val="en-GB"/>
              </w:rPr>
              <w:t>182,680</w:t>
            </w:r>
          </w:p>
        </w:tc>
        <w:tc>
          <w:tcPr>
            <w:tcW w:w="1166" w:type="dxa"/>
            <w:shd w:val="clear" w:color="auto" w:fill="auto"/>
            <w:noWrap/>
          </w:tcPr>
          <w:p w14:paraId="4031E4B8" w14:textId="77777777" w:rsidR="004F2274" w:rsidRPr="00DE7BB7" w:rsidRDefault="004F2274" w:rsidP="00DE7BB7">
            <w:pPr>
              <w:jc w:val="right"/>
              <w:rPr>
                <w:rFonts w:cs="Arial"/>
                <w:color w:val="000000"/>
                <w:sz w:val="16"/>
                <w:lang w:val="en-GB"/>
              </w:rPr>
            </w:pPr>
            <w:r w:rsidRPr="00DE7BB7">
              <w:rPr>
                <w:rFonts w:cs="Arial"/>
                <w:color w:val="000000"/>
                <w:sz w:val="16"/>
                <w:lang w:val="en-GB"/>
              </w:rPr>
              <w:t>185,596</w:t>
            </w:r>
          </w:p>
        </w:tc>
        <w:tc>
          <w:tcPr>
            <w:tcW w:w="1166" w:type="dxa"/>
            <w:tcBorders>
              <w:bottom w:val="nil"/>
            </w:tcBorders>
            <w:shd w:val="clear" w:color="auto" w:fill="D3DFEE"/>
            <w:noWrap/>
          </w:tcPr>
          <w:p w14:paraId="55204F85" w14:textId="77777777" w:rsidR="004F2274" w:rsidRPr="00DE7BB7" w:rsidRDefault="004F2274" w:rsidP="00DE7BB7">
            <w:pPr>
              <w:jc w:val="right"/>
              <w:rPr>
                <w:rFonts w:cs="Arial"/>
                <w:color w:val="000000"/>
                <w:sz w:val="16"/>
                <w:lang w:val="en-GB"/>
              </w:rPr>
            </w:pPr>
            <w:r w:rsidRPr="00DE7BB7">
              <w:rPr>
                <w:rFonts w:cs="Arial"/>
                <w:color w:val="000000"/>
                <w:sz w:val="16"/>
                <w:lang w:val="en-GB"/>
              </w:rPr>
              <w:t>138,100</w:t>
            </w:r>
          </w:p>
        </w:tc>
        <w:tc>
          <w:tcPr>
            <w:tcW w:w="1166" w:type="dxa"/>
            <w:shd w:val="clear" w:color="auto" w:fill="auto"/>
            <w:noWrap/>
          </w:tcPr>
          <w:p w14:paraId="539771A3" w14:textId="77777777" w:rsidR="004F2274" w:rsidRPr="00DE7BB7" w:rsidRDefault="004F2274" w:rsidP="00DE7BB7">
            <w:pPr>
              <w:jc w:val="right"/>
              <w:rPr>
                <w:rFonts w:cs="Arial"/>
                <w:color w:val="000000"/>
                <w:sz w:val="16"/>
                <w:lang w:val="en-GB"/>
              </w:rPr>
            </w:pPr>
            <w:r w:rsidRPr="00DE7BB7">
              <w:rPr>
                <w:rFonts w:cs="Arial"/>
                <w:color w:val="000000"/>
                <w:sz w:val="16"/>
                <w:lang w:val="en-GB"/>
              </w:rPr>
              <w:t>96,356</w:t>
            </w:r>
          </w:p>
        </w:tc>
        <w:tc>
          <w:tcPr>
            <w:tcW w:w="1166" w:type="dxa"/>
            <w:tcBorders>
              <w:bottom w:val="nil"/>
            </w:tcBorders>
            <w:shd w:val="clear" w:color="auto" w:fill="D3DFEE"/>
            <w:noWrap/>
          </w:tcPr>
          <w:p w14:paraId="73EF6FA0" w14:textId="77777777" w:rsidR="004F2274" w:rsidRPr="00DE7BB7" w:rsidRDefault="004F2274" w:rsidP="00DE7BB7">
            <w:pPr>
              <w:jc w:val="right"/>
              <w:rPr>
                <w:rFonts w:cs="Arial"/>
                <w:color w:val="000000"/>
                <w:sz w:val="16"/>
                <w:lang w:val="en-GB"/>
              </w:rPr>
            </w:pPr>
            <w:r w:rsidRPr="00DE7BB7">
              <w:rPr>
                <w:rFonts w:cs="Arial"/>
                <w:color w:val="000000"/>
                <w:sz w:val="16"/>
                <w:lang w:val="en-GB"/>
              </w:rPr>
              <w:t>48,564</w:t>
            </w:r>
          </w:p>
        </w:tc>
      </w:tr>
      <w:tr w:rsidR="004F2274" w:rsidRPr="0058033D" w14:paraId="2D0C4724" w14:textId="77777777" w:rsidTr="00DE7BB7">
        <w:trPr>
          <w:trHeight w:val="255"/>
        </w:trPr>
        <w:tc>
          <w:tcPr>
            <w:tcW w:w="3080" w:type="dxa"/>
            <w:tcBorders>
              <w:left w:val="nil"/>
              <w:right w:val="nil"/>
            </w:tcBorders>
            <w:shd w:val="clear" w:color="auto" w:fill="D3DFEE"/>
            <w:noWrap/>
          </w:tcPr>
          <w:p w14:paraId="0F7619C8" w14:textId="25054E62"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xml:space="preserve">- Enterprise </w:t>
            </w:r>
          </w:p>
        </w:tc>
        <w:tc>
          <w:tcPr>
            <w:tcW w:w="1166" w:type="dxa"/>
            <w:tcBorders>
              <w:left w:val="nil"/>
              <w:bottom w:val="nil"/>
              <w:right w:val="nil"/>
            </w:tcBorders>
            <w:shd w:val="clear" w:color="auto" w:fill="D3DFEE"/>
            <w:noWrap/>
          </w:tcPr>
          <w:p w14:paraId="40C7DA3C" w14:textId="77777777" w:rsidR="004F2274" w:rsidRPr="00DE7BB7" w:rsidRDefault="004F2274" w:rsidP="00DE7BB7">
            <w:pPr>
              <w:jc w:val="right"/>
              <w:rPr>
                <w:rFonts w:cs="Arial"/>
                <w:color w:val="000000"/>
                <w:sz w:val="16"/>
                <w:lang w:val="en-GB"/>
              </w:rPr>
            </w:pPr>
            <w:r w:rsidRPr="00DE7BB7">
              <w:rPr>
                <w:rFonts w:cs="Arial"/>
                <w:color w:val="000000"/>
                <w:sz w:val="16"/>
                <w:lang w:val="en-GB"/>
              </w:rPr>
              <w:t>5,395</w:t>
            </w:r>
          </w:p>
        </w:tc>
        <w:tc>
          <w:tcPr>
            <w:tcW w:w="1166" w:type="dxa"/>
            <w:tcBorders>
              <w:left w:val="nil"/>
              <w:right w:val="nil"/>
            </w:tcBorders>
            <w:shd w:val="clear" w:color="auto" w:fill="D3DFEE"/>
            <w:noWrap/>
          </w:tcPr>
          <w:p w14:paraId="4E0BFBB3" w14:textId="77777777" w:rsidR="004F2274" w:rsidRPr="00DE7BB7" w:rsidRDefault="004F2274" w:rsidP="00DE7BB7">
            <w:pPr>
              <w:jc w:val="right"/>
              <w:rPr>
                <w:rFonts w:cs="Arial"/>
                <w:color w:val="000000"/>
                <w:sz w:val="16"/>
                <w:lang w:val="en-GB"/>
              </w:rPr>
            </w:pPr>
            <w:r w:rsidRPr="00DE7BB7">
              <w:rPr>
                <w:rFonts w:cs="Arial"/>
                <w:color w:val="000000"/>
                <w:sz w:val="16"/>
                <w:lang w:val="en-GB"/>
              </w:rPr>
              <w:t>9,835</w:t>
            </w:r>
          </w:p>
        </w:tc>
        <w:tc>
          <w:tcPr>
            <w:tcW w:w="1166" w:type="dxa"/>
            <w:tcBorders>
              <w:left w:val="nil"/>
              <w:bottom w:val="nil"/>
              <w:right w:val="nil"/>
            </w:tcBorders>
            <w:shd w:val="clear" w:color="auto" w:fill="D3DFEE"/>
            <w:noWrap/>
          </w:tcPr>
          <w:p w14:paraId="3CC3DBF1" w14:textId="77777777" w:rsidR="004F2274" w:rsidRPr="00DE7BB7" w:rsidRDefault="004F2274" w:rsidP="00DE7BB7">
            <w:pPr>
              <w:jc w:val="right"/>
              <w:rPr>
                <w:rFonts w:cs="Arial"/>
                <w:color w:val="000000"/>
                <w:sz w:val="16"/>
                <w:lang w:val="en-GB"/>
              </w:rPr>
            </w:pPr>
            <w:r w:rsidRPr="00DE7BB7">
              <w:rPr>
                <w:rFonts w:cs="Arial"/>
                <w:color w:val="000000"/>
                <w:sz w:val="16"/>
                <w:lang w:val="en-GB"/>
              </w:rPr>
              <w:t>6,636</w:t>
            </w:r>
          </w:p>
        </w:tc>
        <w:tc>
          <w:tcPr>
            <w:tcW w:w="1166" w:type="dxa"/>
            <w:tcBorders>
              <w:left w:val="nil"/>
              <w:right w:val="nil"/>
            </w:tcBorders>
            <w:shd w:val="clear" w:color="auto" w:fill="D3DFEE"/>
            <w:noWrap/>
          </w:tcPr>
          <w:p w14:paraId="40D98531" w14:textId="77777777" w:rsidR="004F2274" w:rsidRPr="00DE7BB7" w:rsidRDefault="004F2274" w:rsidP="00DE7BB7">
            <w:pPr>
              <w:jc w:val="right"/>
              <w:rPr>
                <w:rFonts w:cs="Arial"/>
                <w:color w:val="000000"/>
                <w:sz w:val="16"/>
                <w:lang w:val="en-GB"/>
              </w:rPr>
            </w:pPr>
            <w:r w:rsidRPr="00DE7BB7">
              <w:rPr>
                <w:rFonts w:cs="Arial"/>
                <w:color w:val="000000"/>
                <w:sz w:val="16"/>
                <w:lang w:val="en-GB"/>
              </w:rPr>
              <w:t>7,928</w:t>
            </w:r>
          </w:p>
        </w:tc>
        <w:tc>
          <w:tcPr>
            <w:tcW w:w="1166" w:type="dxa"/>
            <w:tcBorders>
              <w:left w:val="nil"/>
              <w:bottom w:val="nil"/>
              <w:right w:val="nil"/>
            </w:tcBorders>
            <w:shd w:val="clear" w:color="auto" w:fill="D3DFEE"/>
            <w:noWrap/>
          </w:tcPr>
          <w:p w14:paraId="73D77E11" w14:textId="77777777" w:rsidR="004F2274" w:rsidRPr="00DE7BB7" w:rsidRDefault="004F2274" w:rsidP="00DE7BB7">
            <w:pPr>
              <w:jc w:val="right"/>
              <w:rPr>
                <w:rFonts w:cs="Arial"/>
                <w:color w:val="000000"/>
                <w:sz w:val="16"/>
                <w:lang w:val="en-GB"/>
              </w:rPr>
            </w:pPr>
            <w:r w:rsidRPr="00DE7BB7">
              <w:rPr>
                <w:rFonts w:cs="Arial"/>
                <w:color w:val="000000"/>
                <w:sz w:val="16"/>
                <w:lang w:val="en-GB"/>
              </w:rPr>
              <w:t>7,383</w:t>
            </w:r>
          </w:p>
        </w:tc>
      </w:tr>
      <w:tr w:rsidR="004F2274" w:rsidRPr="0058033D" w14:paraId="12C44C0E" w14:textId="77777777" w:rsidTr="00DE7BB7">
        <w:trPr>
          <w:trHeight w:val="255"/>
        </w:trPr>
        <w:tc>
          <w:tcPr>
            <w:tcW w:w="3080" w:type="dxa"/>
            <w:shd w:val="clear" w:color="auto" w:fill="auto"/>
            <w:noWrap/>
          </w:tcPr>
          <w:p w14:paraId="4B11F862" w14:textId="579CBB79"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ICT &amp; innovation</w:t>
            </w:r>
          </w:p>
        </w:tc>
        <w:tc>
          <w:tcPr>
            <w:tcW w:w="1166" w:type="dxa"/>
            <w:tcBorders>
              <w:bottom w:val="nil"/>
            </w:tcBorders>
            <w:shd w:val="clear" w:color="auto" w:fill="D3DFEE"/>
            <w:noWrap/>
          </w:tcPr>
          <w:p w14:paraId="0B72AC4F" w14:textId="77777777" w:rsidR="004F2274" w:rsidRPr="00DE7BB7" w:rsidRDefault="004F2274" w:rsidP="00DE7BB7">
            <w:pPr>
              <w:jc w:val="right"/>
              <w:rPr>
                <w:rFonts w:cs="Arial"/>
                <w:color w:val="000000"/>
                <w:sz w:val="16"/>
                <w:lang w:val="en-GB"/>
              </w:rPr>
            </w:pPr>
            <w:r w:rsidRPr="00DE7BB7">
              <w:rPr>
                <w:rFonts w:cs="Arial"/>
                <w:color w:val="000000"/>
                <w:sz w:val="16"/>
                <w:lang w:val="en-GB"/>
              </w:rPr>
              <w:t>27,500</w:t>
            </w:r>
          </w:p>
        </w:tc>
        <w:tc>
          <w:tcPr>
            <w:tcW w:w="1166" w:type="dxa"/>
            <w:shd w:val="clear" w:color="auto" w:fill="auto"/>
            <w:noWrap/>
          </w:tcPr>
          <w:p w14:paraId="49490AF8" w14:textId="77777777" w:rsidR="004F2274" w:rsidRPr="00DE7BB7" w:rsidRDefault="004F2274" w:rsidP="00DE7BB7">
            <w:pPr>
              <w:jc w:val="right"/>
              <w:rPr>
                <w:rFonts w:cs="Arial"/>
                <w:color w:val="000000"/>
                <w:sz w:val="16"/>
                <w:lang w:val="en-GB"/>
              </w:rPr>
            </w:pPr>
            <w:r w:rsidRPr="00DE7BB7">
              <w:rPr>
                <w:rFonts w:cs="Arial"/>
                <w:color w:val="000000"/>
                <w:sz w:val="16"/>
                <w:lang w:val="en-GB"/>
              </w:rPr>
              <w:t>19,500</w:t>
            </w:r>
          </w:p>
        </w:tc>
        <w:tc>
          <w:tcPr>
            <w:tcW w:w="1166" w:type="dxa"/>
            <w:tcBorders>
              <w:bottom w:val="nil"/>
            </w:tcBorders>
            <w:shd w:val="clear" w:color="auto" w:fill="D3DFEE"/>
            <w:noWrap/>
          </w:tcPr>
          <w:p w14:paraId="1236B5BF" w14:textId="77777777" w:rsidR="004F2274" w:rsidRPr="00DE7BB7" w:rsidRDefault="004F2274" w:rsidP="00DE7BB7">
            <w:pPr>
              <w:jc w:val="right"/>
              <w:rPr>
                <w:rFonts w:cs="Arial"/>
                <w:color w:val="000000"/>
                <w:sz w:val="16"/>
                <w:lang w:val="en-GB"/>
              </w:rPr>
            </w:pPr>
            <w:r w:rsidRPr="00DE7BB7">
              <w:rPr>
                <w:rFonts w:cs="Arial"/>
                <w:color w:val="000000"/>
                <w:sz w:val="16"/>
                <w:lang w:val="en-GB"/>
              </w:rPr>
              <w:t>25,270</w:t>
            </w:r>
          </w:p>
        </w:tc>
        <w:tc>
          <w:tcPr>
            <w:tcW w:w="1166" w:type="dxa"/>
            <w:shd w:val="clear" w:color="auto" w:fill="auto"/>
            <w:noWrap/>
          </w:tcPr>
          <w:p w14:paraId="57E71835" w14:textId="77777777" w:rsidR="004F2274" w:rsidRPr="00DE7BB7" w:rsidRDefault="004F2274" w:rsidP="00DE7BB7">
            <w:pPr>
              <w:jc w:val="right"/>
              <w:rPr>
                <w:rFonts w:cs="Arial"/>
                <w:color w:val="000000"/>
                <w:sz w:val="16"/>
                <w:lang w:val="en-GB"/>
              </w:rPr>
            </w:pPr>
            <w:r w:rsidRPr="00DE7BB7">
              <w:rPr>
                <w:rFonts w:cs="Arial"/>
                <w:color w:val="000000"/>
                <w:sz w:val="16"/>
                <w:lang w:val="en-GB"/>
              </w:rPr>
              <w:t>20,155</w:t>
            </w:r>
          </w:p>
        </w:tc>
        <w:tc>
          <w:tcPr>
            <w:tcW w:w="1166" w:type="dxa"/>
            <w:tcBorders>
              <w:bottom w:val="nil"/>
            </w:tcBorders>
            <w:shd w:val="clear" w:color="auto" w:fill="D3DFEE"/>
            <w:noWrap/>
          </w:tcPr>
          <w:p w14:paraId="57988F74" w14:textId="77777777" w:rsidR="004F2274" w:rsidRPr="00DE7BB7" w:rsidRDefault="004F2274" w:rsidP="00DE7BB7">
            <w:pPr>
              <w:jc w:val="right"/>
              <w:rPr>
                <w:rFonts w:cs="Arial"/>
                <w:color w:val="000000"/>
                <w:sz w:val="16"/>
                <w:lang w:val="en-GB"/>
              </w:rPr>
            </w:pPr>
            <w:r w:rsidRPr="00DE7BB7">
              <w:rPr>
                <w:rFonts w:cs="Arial"/>
                <w:color w:val="000000"/>
                <w:sz w:val="16"/>
                <w:lang w:val="en-GB"/>
              </w:rPr>
              <w:t>14,610</w:t>
            </w:r>
          </w:p>
        </w:tc>
      </w:tr>
      <w:tr w:rsidR="004F2274" w:rsidRPr="0058033D" w14:paraId="510FFD0D" w14:textId="77777777" w:rsidTr="00DE7BB7">
        <w:trPr>
          <w:trHeight w:val="255"/>
        </w:trPr>
        <w:tc>
          <w:tcPr>
            <w:tcW w:w="3080" w:type="dxa"/>
            <w:tcBorders>
              <w:left w:val="nil"/>
              <w:right w:val="nil"/>
            </w:tcBorders>
            <w:shd w:val="clear" w:color="auto" w:fill="D3DFEE"/>
            <w:noWrap/>
          </w:tcPr>
          <w:p w14:paraId="0FA672AE" w14:textId="32D101CD"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Bio</w:t>
            </w:r>
            <w:r w:rsidR="007C3572" w:rsidRPr="00DE7BB7">
              <w:rPr>
                <w:rFonts w:cs="Arial"/>
                <w:b/>
                <w:bCs/>
                <w:color w:val="000000"/>
                <w:sz w:val="16"/>
                <w:lang w:val="en-GB"/>
              </w:rPr>
              <w:t xml:space="preserve">-Based </w:t>
            </w:r>
            <w:r w:rsidRPr="00DE7BB7">
              <w:rPr>
                <w:rFonts w:cs="Arial"/>
                <w:b/>
                <w:bCs/>
                <w:color w:val="000000"/>
                <w:sz w:val="16"/>
                <w:lang w:val="en-GB"/>
              </w:rPr>
              <w:t>Economy</w:t>
            </w:r>
          </w:p>
        </w:tc>
        <w:tc>
          <w:tcPr>
            <w:tcW w:w="1166" w:type="dxa"/>
            <w:tcBorders>
              <w:left w:val="nil"/>
              <w:bottom w:val="nil"/>
              <w:right w:val="nil"/>
            </w:tcBorders>
            <w:shd w:val="clear" w:color="auto" w:fill="D3DFEE"/>
            <w:noWrap/>
          </w:tcPr>
          <w:p w14:paraId="7F8A3C86"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7540CD2C"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bottom w:val="nil"/>
              <w:right w:val="nil"/>
            </w:tcBorders>
            <w:shd w:val="clear" w:color="auto" w:fill="D3DFEE"/>
            <w:noWrap/>
          </w:tcPr>
          <w:p w14:paraId="520C11C9"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34132F27" w14:textId="77777777" w:rsidR="004F2274" w:rsidRPr="00DE7BB7" w:rsidRDefault="004F2274" w:rsidP="00DE7BB7">
            <w:pPr>
              <w:jc w:val="right"/>
              <w:rPr>
                <w:rFonts w:cs="Arial"/>
                <w:color w:val="000000"/>
                <w:sz w:val="16"/>
                <w:lang w:val="en-GB"/>
              </w:rPr>
            </w:pPr>
            <w:r w:rsidRPr="00DE7BB7">
              <w:rPr>
                <w:rFonts w:cs="Arial"/>
                <w:color w:val="000000"/>
                <w:sz w:val="16"/>
                <w:lang w:val="en-GB"/>
              </w:rPr>
              <w:t>10,741</w:t>
            </w:r>
          </w:p>
        </w:tc>
        <w:tc>
          <w:tcPr>
            <w:tcW w:w="1166" w:type="dxa"/>
            <w:tcBorders>
              <w:left w:val="nil"/>
              <w:bottom w:val="nil"/>
              <w:right w:val="nil"/>
            </w:tcBorders>
            <w:shd w:val="clear" w:color="auto" w:fill="D3DFEE"/>
            <w:noWrap/>
          </w:tcPr>
          <w:p w14:paraId="5F04AA8E" w14:textId="77777777" w:rsidR="004F2274" w:rsidRPr="00DE7BB7" w:rsidRDefault="004F2274" w:rsidP="00DE7BB7">
            <w:pPr>
              <w:jc w:val="right"/>
              <w:rPr>
                <w:rFonts w:cs="Arial"/>
                <w:color w:val="000000"/>
                <w:sz w:val="16"/>
                <w:lang w:val="en-GB"/>
              </w:rPr>
            </w:pPr>
            <w:r w:rsidRPr="00DE7BB7">
              <w:rPr>
                <w:rFonts w:cs="Arial"/>
                <w:color w:val="000000"/>
                <w:sz w:val="16"/>
                <w:lang w:val="en-GB"/>
              </w:rPr>
              <w:t>6,668</w:t>
            </w:r>
          </w:p>
        </w:tc>
      </w:tr>
      <w:tr w:rsidR="004F2274" w:rsidRPr="0058033D" w14:paraId="607E536A" w14:textId="77777777" w:rsidTr="00DE7BB7">
        <w:trPr>
          <w:trHeight w:val="255"/>
        </w:trPr>
        <w:tc>
          <w:tcPr>
            <w:tcW w:w="3080" w:type="dxa"/>
            <w:shd w:val="clear" w:color="auto" w:fill="auto"/>
            <w:noWrap/>
          </w:tcPr>
          <w:p w14:paraId="6D6BB20A"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Agencies</w:t>
            </w:r>
          </w:p>
        </w:tc>
        <w:tc>
          <w:tcPr>
            <w:tcW w:w="1166" w:type="dxa"/>
            <w:tcBorders>
              <w:bottom w:val="nil"/>
            </w:tcBorders>
            <w:shd w:val="clear" w:color="auto" w:fill="D3DFEE"/>
            <w:noWrap/>
          </w:tcPr>
          <w:p w14:paraId="579A0D10"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105,424</w:t>
            </w:r>
          </w:p>
        </w:tc>
        <w:tc>
          <w:tcPr>
            <w:tcW w:w="1166" w:type="dxa"/>
            <w:shd w:val="clear" w:color="auto" w:fill="auto"/>
            <w:noWrap/>
          </w:tcPr>
          <w:p w14:paraId="4BF3FA26"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146,885</w:t>
            </w:r>
          </w:p>
        </w:tc>
        <w:tc>
          <w:tcPr>
            <w:tcW w:w="1166" w:type="dxa"/>
            <w:tcBorders>
              <w:bottom w:val="nil"/>
            </w:tcBorders>
            <w:shd w:val="clear" w:color="auto" w:fill="D3DFEE"/>
            <w:noWrap/>
          </w:tcPr>
          <w:p w14:paraId="69D06DC0"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145,916</w:t>
            </w:r>
          </w:p>
        </w:tc>
        <w:tc>
          <w:tcPr>
            <w:tcW w:w="1166" w:type="dxa"/>
            <w:shd w:val="clear" w:color="auto" w:fill="auto"/>
            <w:noWrap/>
          </w:tcPr>
          <w:p w14:paraId="7C0F58CE"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129,432</w:t>
            </w:r>
          </w:p>
        </w:tc>
        <w:tc>
          <w:tcPr>
            <w:tcW w:w="1166" w:type="dxa"/>
            <w:tcBorders>
              <w:bottom w:val="nil"/>
            </w:tcBorders>
            <w:shd w:val="clear" w:color="auto" w:fill="D3DFEE"/>
            <w:noWrap/>
          </w:tcPr>
          <w:p w14:paraId="73CED2EA"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133,572</w:t>
            </w:r>
          </w:p>
        </w:tc>
      </w:tr>
      <w:tr w:rsidR="004F2274" w:rsidRPr="0058033D" w14:paraId="0029D2FE" w14:textId="77777777" w:rsidTr="00DE7BB7">
        <w:trPr>
          <w:trHeight w:val="255"/>
        </w:trPr>
        <w:tc>
          <w:tcPr>
            <w:tcW w:w="3080" w:type="dxa"/>
            <w:tcBorders>
              <w:left w:val="nil"/>
              <w:right w:val="nil"/>
            </w:tcBorders>
            <w:shd w:val="clear" w:color="auto" w:fill="D3DFEE"/>
            <w:noWrap/>
          </w:tcPr>
          <w:p w14:paraId="695305D0" w14:textId="173EDE15"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incl. </w:t>
            </w:r>
            <w:r w:rsidR="00D6380D" w:rsidRPr="00DE7BB7">
              <w:rPr>
                <w:rFonts w:cs="Arial"/>
                <w:b/>
                <w:bCs/>
                <w:color w:val="000000"/>
                <w:sz w:val="16"/>
                <w:lang w:val="en-GB"/>
              </w:rPr>
              <w:tab/>
            </w:r>
            <w:r w:rsidRPr="00DE7BB7">
              <w:rPr>
                <w:rFonts w:cs="Arial"/>
                <w:b/>
                <w:bCs/>
                <w:color w:val="000000"/>
                <w:sz w:val="16"/>
                <w:lang w:val="en-GB"/>
              </w:rPr>
              <w:t>- RVO.nl</w:t>
            </w:r>
          </w:p>
        </w:tc>
        <w:tc>
          <w:tcPr>
            <w:tcW w:w="1166" w:type="dxa"/>
            <w:tcBorders>
              <w:left w:val="nil"/>
              <w:bottom w:val="nil"/>
              <w:right w:val="nil"/>
            </w:tcBorders>
            <w:shd w:val="clear" w:color="auto" w:fill="D3DFEE"/>
            <w:noWrap/>
          </w:tcPr>
          <w:p w14:paraId="3112E384" w14:textId="77777777" w:rsidR="004F2274" w:rsidRPr="00DE7BB7" w:rsidRDefault="004F2274" w:rsidP="00DE7BB7">
            <w:pPr>
              <w:jc w:val="right"/>
              <w:rPr>
                <w:rFonts w:cs="Arial"/>
                <w:color w:val="000000"/>
                <w:sz w:val="16"/>
                <w:lang w:val="en-GB"/>
              </w:rPr>
            </w:pPr>
            <w:r w:rsidRPr="00DE7BB7">
              <w:rPr>
                <w:rFonts w:cs="Arial"/>
                <w:color w:val="000000"/>
                <w:sz w:val="16"/>
                <w:lang w:val="en-GB"/>
              </w:rPr>
              <w:t>66,928</w:t>
            </w:r>
          </w:p>
        </w:tc>
        <w:tc>
          <w:tcPr>
            <w:tcW w:w="1166" w:type="dxa"/>
            <w:tcBorders>
              <w:left w:val="nil"/>
              <w:right w:val="nil"/>
            </w:tcBorders>
            <w:shd w:val="clear" w:color="auto" w:fill="D3DFEE"/>
            <w:noWrap/>
          </w:tcPr>
          <w:p w14:paraId="3CAF0875" w14:textId="77777777" w:rsidR="004F2274" w:rsidRPr="00DE7BB7" w:rsidRDefault="004F2274" w:rsidP="00DE7BB7">
            <w:pPr>
              <w:jc w:val="right"/>
              <w:rPr>
                <w:rFonts w:cs="Arial"/>
                <w:color w:val="000000"/>
                <w:sz w:val="16"/>
                <w:lang w:val="en-GB"/>
              </w:rPr>
            </w:pPr>
            <w:r w:rsidRPr="00DE7BB7">
              <w:rPr>
                <w:rFonts w:cs="Arial"/>
                <w:color w:val="000000"/>
                <w:sz w:val="16"/>
                <w:lang w:val="en-GB"/>
              </w:rPr>
              <w:t>96,689</w:t>
            </w:r>
          </w:p>
        </w:tc>
        <w:tc>
          <w:tcPr>
            <w:tcW w:w="1166" w:type="dxa"/>
            <w:tcBorders>
              <w:left w:val="nil"/>
              <w:bottom w:val="nil"/>
              <w:right w:val="nil"/>
            </w:tcBorders>
            <w:shd w:val="clear" w:color="auto" w:fill="D3DFEE"/>
            <w:noWrap/>
          </w:tcPr>
          <w:p w14:paraId="21E4519D" w14:textId="77777777" w:rsidR="004F2274" w:rsidRPr="00DE7BB7" w:rsidRDefault="004F2274" w:rsidP="00DE7BB7">
            <w:pPr>
              <w:jc w:val="right"/>
              <w:rPr>
                <w:rFonts w:cs="Arial"/>
                <w:color w:val="000000"/>
                <w:sz w:val="16"/>
                <w:lang w:val="en-GB"/>
              </w:rPr>
            </w:pPr>
            <w:r w:rsidRPr="00DE7BB7">
              <w:rPr>
                <w:rFonts w:cs="Arial"/>
                <w:color w:val="000000"/>
                <w:sz w:val="16"/>
                <w:lang w:val="en-GB"/>
              </w:rPr>
              <w:t>97,410</w:t>
            </w:r>
          </w:p>
        </w:tc>
        <w:tc>
          <w:tcPr>
            <w:tcW w:w="1166" w:type="dxa"/>
            <w:tcBorders>
              <w:left w:val="nil"/>
              <w:right w:val="nil"/>
            </w:tcBorders>
            <w:shd w:val="clear" w:color="auto" w:fill="D3DFEE"/>
            <w:noWrap/>
          </w:tcPr>
          <w:p w14:paraId="4F1BB718" w14:textId="77777777" w:rsidR="004F2274" w:rsidRPr="00DE7BB7" w:rsidRDefault="004F2274" w:rsidP="00DE7BB7">
            <w:pPr>
              <w:jc w:val="right"/>
              <w:rPr>
                <w:rFonts w:cs="Arial"/>
                <w:color w:val="000000"/>
                <w:sz w:val="16"/>
                <w:lang w:val="en-GB"/>
              </w:rPr>
            </w:pPr>
            <w:r w:rsidRPr="00DE7BB7">
              <w:rPr>
                <w:rFonts w:cs="Arial"/>
                <w:color w:val="000000"/>
                <w:sz w:val="16"/>
                <w:lang w:val="en-GB"/>
              </w:rPr>
              <w:t>90,419</w:t>
            </w:r>
          </w:p>
        </w:tc>
        <w:tc>
          <w:tcPr>
            <w:tcW w:w="1166" w:type="dxa"/>
            <w:tcBorders>
              <w:left w:val="nil"/>
              <w:bottom w:val="nil"/>
              <w:right w:val="nil"/>
            </w:tcBorders>
            <w:shd w:val="clear" w:color="auto" w:fill="D3DFEE"/>
            <w:noWrap/>
          </w:tcPr>
          <w:p w14:paraId="754C035C" w14:textId="77777777" w:rsidR="004F2274" w:rsidRPr="00DE7BB7" w:rsidRDefault="004F2274" w:rsidP="00DE7BB7">
            <w:pPr>
              <w:jc w:val="right"/>
              <w:rPr>
                <w:rFonts w:cs="Arial"/>
                <w:color w:val="000000"/>
                <w:sz w:val="16"/>
                <w:lang w:val="en-GB"/>
              </w:rPr>
            </w:pPr>
            <w:r w:rsidRPr="00DE7BB7">
              <w:rPr>
                <w:rFonts w:cs="Arial"/>
                <w:color w:val="000000"/>
                <w:sz w:val="16"/>
                <w:lang w:val="en-GB"/>
              </w:rPr>
              <w:t>96,634</w:t>
            </w:r>
          </w:p>
        </w:tc>
      </w:tr>
      <w:tr w:rsidR="004F2274" w:rsidRPr="0058033D" w14:paraId="50425187" w14:textId="77777777" w:rsidTr="00DE7BB7">
        <w:trPr>
          <w:trHeight w:val="255"/>
        </w:trPr>
        <w:tc>
          <w:tcPr>
            <w:tcW w:w="3080" w:type="dxa"/>
            <w:shd w:val="clear" w:color="auto" w:fill="auto"/>
            <w:noWrap/>
          </w:tcPr>
          <w:p w14:paraId="5F900368" w14:textId="61DA7F7A"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Syntens</w:t>
            </w:r>
          </w:p>
        </w:tc>
        <w:tc>
          <w:tcPr>
            <w:tcW w:w="1166" w:type="dxa"/>
            <w:tcBorders>
              <w:bottom w:val="nil"/>
            </w:tcBorders>
            <w:shd w:val="clear" w:color="auto" w:fill="D3DFEE"/>
            <w:noWrap/>
          </w:tcPr>
          <w:p w14:paraId="32DFA245" w14:textId="77777777" w:rsidR="004F2274" w:rsidRPr="00DE7BB7" w:rsidRDefault="004F2274" w:rsidP="00DE7BB7">
            <w:pPr>
              <w:jc w:val="right"/>
              <w:rPr>
                <w:rFonts w:cs="Arial"/>
                <w:color w:val="000000"/>
                <w:sz w:val="16"/>
                <w:lang w:val="en-GB"/>
              </w:rPr>
            </w:pPr>
            <w:r w:rsidRPr="00DE7BB7">
              <w:rPr>
                <w:rFonts w:cs="Arial"/>
                <w:color w:val="000000"/>
                <w:sz w:val="16"/>
                <w:lang w:val="en-GB"/>
              </w:rPr>
              <w:t>32,967</w:t>
            </w:r>
          </w:p>
        </w:tc>
        <w:tc>
          <w:tcPr>
            <w:tcW w:w="1166" w:type="dxa"/>
            <w:shd w:val="clear" w:color="auto" w:fill="auto"/>
            <w:noWrap/>
          </w:tcPr>
          <w:p w14:paraId="48611219" w14:textId="77777777" w:rsidR="004F2274" w:rsidRPr="00DE7BB7" w:rsidRDefault="004F2274" w:rsidP="00DE7BB7">
            <w:pPr>
              <w:jc w:val="right"/>
              <w:rPr>
                <w:rFonts w:cs="Arial"/>
                <w:color w:val="000000"/>
                <w:sz w:val="16"/>
                <w:lang w:val="en-GB"/>
              </w:rPr>
            </w:pPr>
            <w:r w:rsidRPr="00DE7BB7">
              <w:rPr>
                <w:rFonts w:cs="Arial"/>
                <w:color w:val="000000"/>
                <w:sz w:val="16"/>
                <w:lang w:val="en-GB"/>
              </w:rPr>
              <w:t>33,038</w:t>
            </w:r>
          </w:p>
        </w:tc>
        <w:tc>
          <w:tcPr>
            <w:tcW w:w="1166" w:type="dxa"/>
            <w:tcBorders>
              <w:bottom w:val="nil"/>
            </w:tcBorders>
            <w:shd w:val="clear" w:color="auto" w:fill="D3DFEE"/>
            <w:noWrap/>
          </w:tcPr>
          <w:p w14:paraId="4F002B8A" w14:textId="77777777" w:rsidR="004F2274" w:rsidRPr="00DE7BB7" w:rsidRDefault="004F2274" w:rsidP="00DE7BB7">
            <w:pPr>
              <w:jc w:val="right"/>
              <w:rPr>
                <w:rFonts w:cs="Arial"/>
                <w:color w:val="000000"/>
                <w:sz w:val="16"/>
                <w:lang w:val="en-GB"/>
              </w:rPr>
            </w:pPr>
            <w:r w:rsidRPr="00DE7BB7">
              <w:rPr>
                <w:rFonts w:cs="Arial"/>
                <w:color w:val="000000"/>
                <w:sz w:val="16"/>
                <w:lang w:val="en-GB"/>
              </w:rPr>
              <w:t>32,506</w:t>
            </w:r>
          </w:p>
        </w:tc>
        <w:tc>
          <w:tcPr>
            <w:tcW w:w="1166" w:type="dxa"/>
            <w:shd w:val="clear" w:color="auto" w:fill="auto"/>
            <w:noWrap/>
          </w:tcPr>
          <w:p w14:paraId="54931A88" w14:textId="77777777" w:rsidR="004F2274" w:rsidRPr="00DE7BB7" w:rsidRDefault="004F2274" w:rsidP="00DE7BB7">
            <w:pPr>
              <w:jc w:val="right"/>
              <w:rPr>
                <w:rFonts w:cs="Arial"/>
                <w:color w:val="000000"/>
                <w:sz w:val="16"/>
                <w:lang w:val="en-GB"/>
              </w:rPr>
            </w:pPr>
            <w:r w:rsidRPr="00DE7BB7">
              <w:rPr>
                <w:rFonts w:cs="Arial"/>
                <w:color w:val="000000"/>
                <w:sz w:val="16"/>
                <w:lang w:val="en-GB"/>
              </w:rPr>
              <w:t>31,453</w:t>
            </w:r>
          </w:p>
        </w:tc>
        <w:tc>
          <w:tcPr>
            <w:tcW w:w="1166" w:type="dxa"/>
            <w:tcBorders>
              <w:bottom w:val="nil"/>
            </w:tcBorders>
            <w:shd w:val="clear" w:color="auto" w:fill="D3DFEE"/>
            <w:noWrap/>
          </w:tcPr>
          <w:p w14:paraId="2A6DC599" w14:textId="77777777" w:rsidR="004F2274" w:rsidRPr="00DE7BB7" w:rsidRDefault="004F2274" w:rsidP="00DE7BB7">
            <w:pPr>
              <w:jc w:val="right"/>
              <w:rPr>
                <w:rFonts w:cs="Arial"/>
                <w:color w:val="000000"/>
                <w:sz w:val="16"/>
                <w:lang w:val="en-GB"/>
              </w:rPr>
            </w:pPr>
            <w:r w:rsidRPr="00DE7BB7">
              <w:rPr>
                <w:rFonts w:cs="Arial"/>
                <w:color w:val="000000"/>
                <w:sz w:val="16"/>
                <w:lang w:val="en-GB"/>
              </w:rPr>
              <w:t>19,797</w:t>
            </w:r>
          </w:p>
        </w:tc>
      </w:tr>
      <w:tr w:rsidR="004F2274" w:rsidRPr="0058033D" w14:paraId="5F4F073B" w14:textId="77777777" w:rsidTr="00DE7BB7">
        <w:trPr>
          <w:trHeight w:val="255"/>
        </w:trPr>
        <w:tc>
          <w:tcPr>
            <w:tcW w:w="3080" w:type="dxa"/>
            <w:tcBorders>
              <w:left w:val="nil"/>
              <w:right w:val="nil"/>
            </w:tcBorders>
            <w:shd w:val="clear" w:color="auto" w:fill="D3DFEE"/>
            <w:noWrap/>
          </w:tcPr>
          <w:p w14:paraId="1B3E84CF"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Contributions to organizations</w:t>
            </w:r>
          </w:p>
        </w:tc>
        <w:tc>
          <w:tcPr>
            <w:tcW w:w="1166" w:type="dxa"/>
            <w:tcBorders>
              <w:left w:val="nil"/>
              <w:bottom w:val="nil"/>
              <w:right w:val="nil"/>
            </w:tcBorders>
            <w:shd w:val="clear" w:color="auto" w:fill="D3DFEE"/>
            <w:noWrap/>
          </w:tcPr>
          <w:p w14:paraId="4879A7BB"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295,980</w:t>
            </w:r>
          </w:p>
        </w:tc>
        <w:tc>
          <w:tcPr>
            <w:tcW w:w="1166" w:type="dxa"/>
            <w:tcBorders>
              <w:left w:val="nil"/>
              <w:right w:val="nil"/>
            </w:tcBorders>
            <w:shd w:val="clear" w:color="auto" w:fill="D3DFEE"/>
            <w:noWrap/>
          </w:tcPr>
          <w:p w14:paraId="7E24830D"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351,713</w:t>
            </w:r>
          </w:p>
        </w:tc>
        <w:tc>
          <w:tcPr>
            <w:tcW w:w="1166" w:type="dxa"/>
            <w:tcBorders>
              <w:left w:val="nil"/>
              <w:bottom w:val="nil"/>
              <w:right w:val="nil"/>
            </w:tcBorders>
            <w:shd w:val="clear" w:color="auto" w:fill="D3DFEE"/>
            <w:noWrap/>
          </w:tcPr>
          <w:p w14:paraId="59C48CEC"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563,662</w:t>
            </w:r>
          </w:p>
        </w:tc>
        <w:tc>
          <w:tcPr>
            <w:tcW w:w="1166" w:type="dxa"/>
            <w:tcBorders>
              <w:left w:val="nil"/>
              <w:right w:val="nil"/>
            </w:tcBorders>
            <w:shd w:val="clear" w:color="auto" w:fill="D3DFEE"/>
            <w:noWrap/>
          </w:tcPr>
          <w:p w14:paraId="645F15AB"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504,864</w:t>
            </w:r>
          </w:p>
        </w:tc>
        <w:tc>
          <w:tcPr>
            <w:tcW w:w="1166" w:type="dxa"/>
            <w:tcBorders>
              <w:left w:val="nil"/>
              <w:bottom w:val="nil"/>
              <w:right w:val="nil"/>
            </w:tcBorders>
            <w:shd w:val="clear" w:color="auto" w:fill="D3DFEE"/>
            <w:noWrap/>
          </w:tcPr>
          <w:p w14:paraId="2ECF3C74"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678,234</w:t>
            </w:r>
          </w:p>
        </w:tc>
      </w:tr>
      <w:tr w:rsidR="004F2274" w:rsidRPr="0058033D" w14:paraId="57694001" w14:textId="77777777" w:rsidTr="00DE7BB7">
        <w:trPr>
          <w:trHeight w:val="255"/>
        </w:trPr>
        <w:tc>
          <w:tcPr>
            <w:tcW w:w="3080" w:type="dxa"/>
            <w:shd w:val="clear" w:color="auto" w:fill="auto"/>
            <w:noWrap/>
          </w:tcPr>
          <w:p w14:paraId="75D53B25" w14:textId="65EB1EDF" w:rsidR="004F2274" w:rsidRPr="00DE7BB7" w:rsidRDefault="004F2274" w:rsidP="00DE7BB7">
            <w:pPr>
              <w:tabs>
                <w:tab w:val="left" w:pos="426"/>
              </w:tabs>
              <w:rPr>
                <w:rFonts w:cs="Arial"/>
                <w:b/>
                <w:bCs/>
                <w:color w:val="000000"/>
                <w:sz w:val="16"/>
                <w:vertAlign w:val="superscript"/>
                <w:lang w:val="en-GB"/>
              </w:rPr>
            </w:pPr>
            <w:r w:rsidRPr="00DE7BB7">
              <w:rPr>
                <w:rFonts w:cs="Arial"/>
                <w:b/>
                <w:bCs/>
                <w:color w:val="000000"/>
                <w:sz w:val="16"/>
                <w:lang w:val="en-GB"/>
              </w:rPr>
              <w:t xml:space="preserve">incl. </w:t>
            </w:r>
            <w:r w:rsidR="00D6380D" w:rsidRPr="00DE7BB7">
              <w:rPr>
                <w:rFonts w:cs="Arial"/>
                <w:b/>
                <w:bCs/>
                <w:color w:val="000000"/>
                <w:sz w:val="16"/>
                <w:lang w:val="en-GB"/>
              </w:rPr>
              <w:tab/>
            </w:r>
            <w:r w:rsidRPr="00DE7BB7">
              <w:rPr>
                <w:rFonts w:cs="Arial"/>
                <w:b/>
                <w:bCs/>
                <w:color w:val="000000"/>
                <w:sz w:val="16"/>
                <w:lang w:val="en-GB"/>
              </w:rPr>
              <w:t>– TNO</w:t>
            </w:r>
            <w:r w:rsidRPr="00DE7BB7">
              <w:rPr>
                <w:rFonts w:cs="Arial"/>
                <w:b/>
                <w:bCs/>
                <w:color w:val="000000"/>
                <w:sz w:val="16"/>
                <w:vertAlign w:val="superscript"/>
                <w:lang w:val="en-GB"/>
              </w:rPr>
              <w:t>3</w:t>
            </w:r>
          </w:p>
        </w:tc>
        <w:tc>
          <w:tcPr>
            <w:tcW w:w="1166" w:type="dxa"/>
            <w:tcBorders>
              <w:bottom w:val="nil"/>
            </w:tcBorders>
            <w:shd w:val="clear" w:color="auto" w:fill="D3DFEE"/>
            <w:noWrap/>
          </w:tcPr>
          <w:p w14:paraId="104AFD0B" w14:textId="77777777" w:rsidR="004F2274" w:rsidRPr="00DE7BB7" w:rsidRDefault="004F2274" w:rsidP="00DE7BB7">
            <w:pPr>
              <w:jc w:val="right"/>
              <w:rPr>
                <w:rFonts w:cs="Arial"/>
                <w:color w:val="000000"/>
                <w:sz w:val="16"/>
                <w:lang w:val="en-GB"/>
              </w:rPr>
            </w:pPr>
            <w:r w:rsidRPr="00DE7BB7">
              <w:rPr>
                <w:rFonts w:cs="Arial"/>
                <w:color w:val="000000"/>
                <w:sz w:val="16"/>
                <w:lang w:val="en-GB"/>
              </w:rPr>
              <w:t>29,059</w:t>
            </w:r>
          </w:p>
        </w:tc>
        <w:tc>
          <w:tcPr>
            <w:tcW w:w="1166" w:type="dxa"/>
            <w:shd w:val="clear" w:color="auto" w:fill="auto"/>
            <w:noWrap/>
          </w:tcPr>
          <w:p w14:paraId="27DA598D" w14:textId="77777777" w:rsidR="004F2274" w:rsidRPr="00DE7BB7" w:rsidRDefault="004F2274" w:rsidP="00DE7BB7">
            <w:pPr>
              <w:jc w:val="right"/>
              <w:rPr>
                <w:rFonts w:cs="Arial"/>
                <w:color w:val="000000"/>
                <w:sz w:val="16"/>
                <w:lang w:val="en-GB"/>
              </w:rPr>
            </w:pPr>
            <w:r w:rsidRPr="00DE7BB7">
              <w:rPr>
                <w:rFonts w:cs="Arial"/>
                <w:color w:val="000000"/>
                <w:sz w:val="16"/>
                <w:lang w:val="en-GB"/>
              </w:rPr>
              <w:t>29,190</w:t>
            </w:r>
          </w:p>
        </w:tc>
        <w:tc>
          <w:tcPr>
            <w:tcW w:w="1166" w:type="dxa"/>
            <w:tcBorders>
              <w:bottom w:val="nil"/>
            </w:tcBorders>
            <w:shd w:val="clear" w:color="auto" w:fill="D3DFEE"/>
            <w:noWrap/>
          </w:tcPr>
          <w:p w14:paraId="7EAA45CB" w14:textId="77777777" w:rsidR="004F2274" w:rsidRPr="00DE7BB7" w:rsidRDefault="004F2274" w:rsidP="00DE7BB7">
            <w:pPr>
              <w:jc w:val="right"/>
              <w:rPr>
                <w:rFonts w:cs="Arial"/>
                <w:color w:val="000000"/>
                <w:sz w:val="16"/>
                <w:lang w:val="en-GB"/>
              </w:rPr>
            </w:pPr>
            <w:r w:rsidRPr="00DE7BB7">
              <w:rPr>
                <w:rFonts w:cs="Arial"/>
                <w:color w:val="000000"/>
                <w:sz w:val="16"/>
                <w:lang w:val="en-GB"/>
              </w:rPr>
              <w:t>147,180</w:t>
            </w:r>
          </w:p>
        </w:tc>
        <w:tc>
          <w:tcPr>
            <w:tcW w:w="1166" w:type="dxa"/>
            <w:shd w:val="clear" w:color="auto" w:fill="auto"/>
            <w:noWrap/>
          </w:tcPr>
          <w:p w14:paraId="65447933" w14:textId="77777777" w:rsidR="004F2274" w:rsidRPr="00DE7BB7" w:rsidRDefault="004F2274" w:rsidP="00DE7BB7">
            <w:pPr>
              <w:jc w:val="right"/>
              <w:rPr>
                <w:rFonts w:cs="Arial"/>
                <w:color w:val="000000"/>
                <w:sz w:val="16"/>
                <w:lang w:val="en-GB"/>
              </w:rPr>
            </w:pPr>
            <w:r w:rsidRPr="00DE7BB7">
              <w:rPr>
                <w:rFonts w:cs="Arial"/>
                <w:color w:val="000000"/>
                <w:sz w:val="16"/>
                <w:lang w:val="en-GB"/>
              </w:rPr>
              <w:t>145,931</w:t>
            </w:r>
          </w:p>
        </w:tc>
        <w:tc>
          <w:tcPr>
            <w:tcW w:w="1166" w:type="dxa"/>
            <w:tcBorders>
              <w:bottom w:val="nil"/>
            </w:tcBorders>
            <w:shd w:val="clear" w:color="auto" w:fill="D3DFEE"/>
            <w:noWrap/>
          </w:tcPr>
          <w:p w14:paraId="0EEA8E7E" w14:textId="77777777" w:rsidR="004F2274" w:rsidRPr="00DE7BB7" w:rsidRDefault="004F2274" w:rsidP="00DE7BB7">
            <w:pPr>
              <w:jc w:val="right"/>
              <w:rPr>
                <w:rFonts w:cs="Arial"/>
                <w:color w:val="000000"/>
                <w:sz w:val="16"/>
                <w:lang w:val="en-GB"/>
              </w:rPr>
            </w:pPr>
            <w:r w:rsidRPr="00DE7BB7">
              <w:rPr>
                <w:rFonts w:cs="Arial"/>
                <w:color w:val="000000"/>
                <w:sz w:val="16"/>
                <w:lang w:val="en-GB"/>
              </w:rPr>
              <w:t>154,840</w:t>
            </w:r>
          </w:p>
        </w:tc>
      </w:tr>
      <w:tr w:rsidR="004F2274" w:rsidRPr="0058033D" w14:paraId="10B409A7" w14:textId="77777777" w:rsidTr="00DE7BB7">
        <w:trPr>
          <w:trHeight w:val="255"/>
        </w:trPr>
        <w:tc>
          <w:tcPr>
            <w:tcW w:w="3080" w:type="dxa"/>
            <w:tcBorders>
              <w:left w:val="nil"/>
              <w:right w:val="nil"/>
            </w:tcBorders>
            <w:shd w:val="clear" w:color="auto" w:fill="D3DFEE"/>
            <w:noWrap/>
          </w:tcPr>
          <w:p w14:paraId="7BC94418" w14:textId="533651C0" w:rsidR="004F2274" w:rsidRPr="00DE7BB7" w:rsidRDefault="004F2274" w:rsidP="00DE7BB7">
            <w:pPr>
              <w:tabs>
                <w:tab w:val="left" w:pos="426"/>
              </w:tabs>
              <w:rPr>
                <w:rFonts w:cs="Arial"/>
                <w:b/>
                <w:bCs/>
                <w:color w:val="000000"/>
                <w:sz w:val="16"/>
                <w:vertAlign w:val="superscript"/>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GTIs</w:t>
            </w:r>
            <w:r w:rsidRPr="00DE7BB7">
              <w:rPr>
                <w:rFonts w:cs="Arial"/>
                <w:b/>
                <w:bCs/>
                <w:color w:val="000000"/>
                <w:sz w:val="16"/>
                <w:vertAlign w:val="superscript"/>
                <w:lang w:val="en-GB"/>
              </w:rPr>
              <w:t>3</w:t>
            </w:r>
          </w:p>
        </w:tc>
        <w:tc>
          <w:tcPr>
            <w:tcW w:w="1166" w:type="dxa"/>
            <w:tcBorders>
              <w:left w:val="nil"/>
              <w:bottom w:val="nil"/>
              <w:right w:val="nil"/>
            </w:tcBorders>
            <w:shd w:val="clear" w:color="auto" w:fill="D3DFEE"/>
            <w:noWrap/>
          </w:tcPr>
          <w:p w14:paraId="734655D6" w14:textId="77777777" w:rsidR="004F2274" w:rsidRPr="00DE7BB7" w:rsidRDefault="004F2274" w:rsidP="00DE7BB7">
            <w:pPr>
              <w:jc w:val="right"/>
              <w:rPr>
                <w:rFonts w:cs="Arial"/>
                <w:color w:val="000000"/>
                <w:sz w:val="16"/>
                <w:lang w:val="en-GB"/>
              </w:rPr>
            </w:pPr>
            <w:r w:rsidRPr="00DE7BB7">
              <w:rPr>
                <w:rFonts w:cs="Arial"/>
                <w:color w:val="000000"/>
                <w:sz w:val="16"/>
                <w:lang w:val="en-GB"/>
              </w:rPr>
              <w:t>6,209</w:t>
            </w:r>
          </w:p>
        </w:tc>
        <w:tc>
          <w:tcPr>
            <w:tcW w:w="1166" w:type="dxa"/>
            <w:tcBorders>
              <w:left w:val="nil"/>
              <w:right w:val="nil"/>
            </w:tcBorders>
            <w:shd w:val="clear" w:color="auto" w:fill="D3DFEE"/>
            <w:noWrap/>
          </w:tcPr>
          <w:p w14:paraId="6C57DC2A" w14:textId="77777777" w:rsidR="004F2274" w:rsidRPr="00DE7BB7" w:rsidRDefault="004F2274" w:rsidP="00DE7BB7">
            <w:pPr>
              <w:jc w:val="right"/>
              <w:rPr>
                <w:rFonts w:cs="Arial"/>
                <w:color w:val="000000"/>
                <w:sz w:val="16"/>
                <w:lang w:val="en-GB"/>
              </w:rPr>
            </w:pPr>
            <w:r w:rsidRPr="00DE7BB7">
              <w:rPr>
                <w:rFonts w:cs="Arial"/>
                <w:color w:val="000000"/>
                <w:sz w:val="16"/>
                <w:lang w:val="en-GB"/>
              </w:rPr>
              <w:t>14,259</w:t>
            </w:r>
          </w:p>
        </w:tc>
        <w:tc>
          <w:tcPr>
            <w:tcW w:w="1166" w:type="dxa"/>
            <w:tcBorders>
              <w:left w:val="nil"/>
              <w:bottom w:val="nil"/>
              <w:right w:val="nil"/>
            </w:tcBorders>
            <w:shd w:val="clear" w:color="auto" w:fill="D3DFEE"/>
            <w:noWrap/>
          </w:tcPr>
          <w:p w14:paraId="01A626FB" w14:textId="77777777" w:rsidR="004F2274" w:rsidRPr="00DE7BB7" w:rsidRDefault="004F2274" w:rsidP="00DE7BB7">
            <w:pPr>
              <w:jc w:val="right"/>
              <w:rPr>
                <w:rFonts w:cs="Arial"/>
                <w:color w:val="000000"/>
                <w:sz w:val="16"/>
                <w:lang w:val="en-GB"/>
              </w:rPr>
            </w:pPr>
            <w:r w:rsidRPr="00DE7BB7">
              <w:rPr>
                <w:rFonts w:cs="Arial"/>
                <w:color w:val="000000"/>
                <w:sz w:val="16"/>
                <w:lang w:val="en-GB"/>
              </w:rPr>
              <w:t>46,670</w:t>
            </w:r>
          </w:p>
        </w:tc>
        <w:tc>
          <w:tcPr>
            <w:tcW w:w="1166" w:type="dxa"/>
            <w:tcBorders>
              <w:left w:val="nil"/>
              <w:right w:val="nil"/>
            </w:tcBorders>
            <w:shd w:val="clear" w:color="auto" w:fill="D3DFEE"/>
            <w:noWrap/>
          </w:tcPr>
          <w:p w14:paraId="5E321810" w14:textId="77777777" w:rsidR="004F2274" w:rsidRPr="00DE7BB7" w:rsidRDefault="004F2274" w:rsidP="00DE7BB7">
            <w:pPr>
              <w:jc w:val="right"/>
              <w:rPr>
                <w:rFonts w:cs="Arial"/>
                <w:color w:val="000000"/>
                <w:sz w:val="16"/>
                <w:lang w:val="en-GB"/>
              </w:rPr>
            </w:pPr>
            <w:r w:rsidRPr="00DE7BB7">
              <w:rPr>
                <w:rFonts w:cs="Arial"/>
                <w:color w:val="000000"/>
                <w:sz w:val="16"/>
                <w:lang w:val="en-GB"/>
              </w:rPr>
              <w:t>49,047</w:t>
            </w:r>
          </w:p>
        </w:tc>
        <w:tc>
          <w:tcPr>
            <w:tcW w:w="1166" w:type="dxa"/>
            <w:tcBorders>
              <w:left w:val="nil"/>
              <w:bottom w:val="nil"/>
              <w:right w:val="nil"/>
            </w:tcBorders>
            <w:shd w:val="clear" w:color="auto" w:fill="D3DFEE"/>
            <w:noWrap/>
          </w:tcPr>
          <w:p w14:paraId="42D21673" w14:textId="77777777" w:rsidR="004F2274" w:rsidRPr="00DE7BB7" w:rsidRDefault="004F2274" w:rsidP="00DE7BB7">
            <w:pPr>
              <w:jc w:val="right"/>
              <w:rPr>
                <w:rFonts w:cs="Arial"/>
                <w:color w:val="000000"/>
                <w:sz w:val="16"/>
                <w:lang w:val="en-GB"/>
              </w:rPr>
            </w:pPr>
            <w:r w:rsidRPr="00DE7BB7">
              <w:rPr>
                <w:rFonts w:cs="Arial"/>
                <w:color w:val="000000"/>
                <w:sz w:val="16"/>
                <w:lang w:val="en-GB"/>
              </w:rPr>
              <w:t>54,802</w:t>
            </w:r>
          </w:p>
        </w:tc>
      </w:tr>
      <w:tr w:rsidR="004F2274" w:rsidRPr="0058033D" w14:paraId="689EB498" w14:textId="77777777" w:rsidTr="00DE7BB7">
        <w:trPr>
          <w:trHeight w:val="255"/>
        </w:trPr>
        <w:tc>
          <w:tcPr>
            <w:tcW w:w="3080" w:type="dxa"/>
            <w:shd w:val="clear" w:color="auto" w:fill="auto"/>
            <w:noWrap/>
          </w:tcPr>
          <w:p w14:paraId="65E31745" w14:textId="0A7D6025"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Top sectors</w:t>
            </w:r>
          </w:p>
        </w:tc>
        <w:tc>
          <w:tcPr>
            <w:tcW w:w="1166" w:type="dxa"/>
            <w:tcBorders>
              <w:bottom w:val="nil"/>
            </w:tcBorders>
            <w:shd w:val="clear" w:color="auto" w:fill="D3DFEE"/>
            <w:noWrap/>
          </w:tcPr>
          <w:p w14:paraId="54009678" w14:textId="77777777" w:rsidR="004F2274" w:rsidRPr="00DE7BB7" w:rsidRDefault="004F2274" w:rsidP="00DE7BB7">
            <w:pPr>
              <w:jc w:val="right"/>
              <w:rPr>
                <w:rFonts w:cs="Arial"/>
                <w:color w:val="000000"/>
                <w:sz w:val="16"/>
                <w:lang w:val="en-GB"/>
              </w:rPr>
            </w:pPr>
            <w:r w:rsidRPr="00DE7BB7">
              <w:rPr>
                <w:rFonts w:cs="Arial"/>
                <w:color w:val="000000"/>
                <w:sz w:val="16"/>
                <w:lang w:val="en-GB"/>
              </w:rPr>
              <w:t>153,090</w:t>
            </w:r>
          </w:p>
        </w:tc>
        <w:tc>
          <w:tcPr>
            <w:tcW w:w="1166" w:type="dxa"/>
            <w:shd w:val="clear" w:color="auto" w:fill="auto"/>
            <w:noWrap/>
          </w:tcPr>
          <w:p w14:paraId="359962B8" w14:textId="77777777" w:rsidR="004F2274" w:rsidRPr="00DE7BB7" w:rsidRDefault="004F2274" w:rsidP="00DE7BB7">
            <w:pPr>
              <w:jc w:val="right"/>
              <w:rPr>
                <w:rFonts w:cs="Arial"/>
                <w:color w:val="000000"/>
                <w:sz w:val="16"/>
                <w:lang w:val="en-GB"/>
              </w:rPr>
            </w:pPr>
            <w:r w:rsidRPr="00DE7BB7">
              <w:rPr>
                <w:rFonts w:cs="Arial"/>
                <w:color w:val="000000"/>
                <w:sz w:val="16"/>
                <w:lang w:val="en-GB"/>
              </w:rPr>
              <w:t>235,658</w:t>
            </w:r>
          </w:p>
        </w:tc>
        <w:tc>
          <w:tcPr>
            <w:tcW w:w="1166" w:type="dxa"/>
            <w:tcBorders>
              <w:bottom w:val="nil"/>
            </w:tcBorders>
            <w:shd w:val="clear" w:color="auto" w:fill="D3DFEE"/>
            <w:noWrap/>
          </w:tcPr>
          <w:p w14:paraId="586D009D" w14:textId="77777777" w:rsidR="004F2274" w:rsidRPr="00DE7BB7" w:rsidRDefault="004F2274" w:rsidP="00DE7BB7">
            <w:pPr>
              <w:jc w:val="right"/>
              <w:rPr>
                <w:rFonts w:cs="Arial"/>
                <w:color w:val="000000"/>
                <w:sz w:val="16"/>
                <w:lang w:val="en-GB"/>
              </w:rPr>
            </w:pPr>
            <w:r w:rsidRPr="00DE7BB7">
              <w:rPr>
                <w:rFonts w:cs="Arial"/>
                <w:color w:val="000000"/>
                <w:sz w:val="16"/>
                <w:lang w:val="en-GB"/>
              </w:rPr>
              <w:t>242,596</w:t>
            </w:r>
          </w:p>
        </w:tc>
        <w:tc>
          <w:tcPr>
            <w:tcW w:w="1166" w:type="dxa"/>
            <w:shd w:val="clear" w:color="auto" w:fill="auto"/>
            <w:noWrap/>
          </w:tcPr>
          <w:p w14:paraId="68BD63B8" w14:textId="77777777" w:rsidR="004F2274" w:rsidRPr="00DE7BB7" w:rsidRDefault="004F2274" w:rsidP="00DE7BB7">
            <w:pPr>
              <w:jc w:val="right"/>
              <w:rPr>
                <w:rFonts w:cs="Arial"/>
                <w:color w:val="000000"/>
                <w:sz w:val="16"/>
                <w:lang w:val="en-GB"/>
              </w:rPr>
            </w:pPr>
            <w:r w:rsidRPr="00DE7BB7">
              <w:rPr>
                <w:rFonts w:cs="Arial"/>
                <w:color w:val="000000"/>
                <w:sz w:val="16"/>
                <w:lang w:val="en-GB"/>
              </w:rPr>
              <w:t>227,401</w:t>
            </w:r>
          </w:p>
        </w:tc>
        <w:tc>
          <w:tcPr>
            <w:tcW w:w="1166" w:type="dxa"/>
            <w:tcBorders>
              <w:bottom w:val="nil"/>
            </w:tcBorders>
            <w:shd w:val="clear" w:color="auto" w:fill="D3DFEE"/>
            <w:noWrap/>
          </w:tcPr>
          <w:p w14:paraId="44A77E22" w14:textId="77777777" w:rsidR="004F2274" w:rsidRPr="00DE7BB7" w:rsidRDefault="004F2274" w:rsidP="00DE7BB7">
            <w:pPr>
              <w:jc w:val="right"/>
              <w:rPr>
                <w:rFonts w:cs="Arial"/>
                <w:color w:val="000000"/>
                <w:sz w:val="16"/>
                <w:lang w:val="en-GB"/>
              </w:rPr>
            </w:pPr>
            <w:r w:rsidRPr="00DE7BB7">
              <w:rPr>
                <w:rFonts w:cs="Arial"/>
                <w:color w:val="000000"/>
                <w:sz w:val="16"/>
                <w:lang w:val="en-GB"/>
              </w:rPr>
              <w:t>183,625</w:t>
            </w:r>
          </w:p>
        </w:tc>
      </w:tr>
      <w:tr w:rsidR="004F2274" w:rsidRPr="0058033D" w14:paraId="485BFC1E" w14:textId="77777777" w:rsidTr="00DE7BB7">
        <w:trPr>
          <w:trHeight w:val="255"/>
        </w:trPr>
        <w:tc>
          <w:tcPr>
            <w:tcW w:w="3080" w:type="dxa"/>
            <w:tcBorders>
              <w:left w:val="nil"/>
              <w:right w:val="nil"/>
            </w:tcBorders>
            <w:shd w:val="clear" w:color="auto" w:fill="D3DFEE"/>
            <w:noWrap/>
          </w:tcPr>
          <w:p w14:paraId="2B8307AF" w14:textId="06DE25AA"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TKI supplement</w:t>
            </w:r>
          </w:p>
        </w:tc>
        <w:tc>
          <w:tcPr>
            <w:tcW w:w="1166" w:type="dxa"/>
            <w:tcBorders>
              <w:left w:val="nil"/>
              <w:bottom w:val="nil"/>
              <w:right w:val="nil"/>
            </w:tcBorders>
            <w:shd w:val="clear" w:color="auto" w:fill="D3DFEE"/>
            <w:noWrap/>
          </w:tcPr>
          <w:p w14:paraId="5CCA7D98"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5F4112D3"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bottom w:val="nil"/>
              <w:right w:val="nil"/>
            </w:tcBorders>
            <w:shd w:val="clear" w:color="auto" w:fill="D3DFEE"/>
            <w:noWrap/>
          </w:tcPr>
          <w:p w14:paraId="5E7C03FD"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56B1EADC"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bottom w:val="nil"/>
              <w:right w:val="nil"/>
            </w:tcBorders>
            <w:shd w:val="clear" w:color="auto" w:fill="D3DFEE"/>
            <w:noWrap/>
          </w:tcPr>
          <w:p w14:paraId="028BCD9F" w14:textId="77777777" w:rsidR="004F2274" w:rsidRPr="00DE7BB7" w:rsidRDefault="004F2274" w:rsidP="00DE7BB7">
            <w:pPr>
              <w:jc w:val="right"/>
              <w:rPr>
                <w:rFonts w:cs="Arial"/>
                <w:color w:val="000000"/>
                <w:sz w:val="16"/>
                <w:lang w:val="en-GB"/>
              </w:rPr>
            </w:pPr>
            <w:r w:rsidRPr="00DE7BB7">
              <w:rPr>
                <w:rFonts w:cs="Arial"/>
                <w:color w:val="000000"/>
                <w:sz w:val="16"/>
                <w:lang w:val="en-GB"/>
              </w:rPr>
              <w:t>25,434</w:t>
            </w:r>
          </w:p>
        </w:tc>
      </w:tr>
      <w:tr w:rsidR="004F2274" w:rsidRPr="0058033D" w14:paraId="319984F5" w14:textId="77777777" w:rsidTr="00DE7BB7">
        <w:trPr>
          <w:trHeight w:val="255"/>
        </w:trPr>
        <w:tc>
          <w:tcPr>
            <w:tcW w:w="3080" w:type="dxa"/>
            <w:shd w:val="clear" w:color="auto" w:fill="auto"/>
            <w:noWrap/>
          </w:tcPr>
          <w:p w14:paraId="0BE3DCF3" w14:textId="1357A368"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ESA (space)</w:t>
            </w:r>
          </w:p>
        </w:tc>
        <w:tc>
          <w:tcPr>
            <w:tcW w:w="1166" w:type="dxa"/>
            <w:tcBorders>
              <w:bottom w:val="nil"/>
            </w:tcBorders>
            <w:shd w:val="clear" w:color="auto" w:fill="D3DFEE"/>
            <w:noWrap/>
          </w:tcPr>
          <w:p w14:paraId="3FA01CC9" w14:textId="77777777" w:rsidR="004F2274" w:rsidRPr="00DE7BB7" w:rsidRDefault="004F2274" w:rsidP="00DE7BB7">
            <w:pPr>
              <w:jc w:val="right"/>
              <w:rPr>
                <w:rFonts w:cs="Arial"/>
                <w:color w:val="000000"/>
                <w:sz w:val="16"/>
                <w:lang w:val="en-GB"/>
              </w:rPr>
            </w:pPr>
            <w:r w:rsidRPr="00DE7BB7">
              <w:rPr>
                <w:rFonts w:cs="Arial"/>
                <w:color w:val="000000"/>
                <w:sz w:val="16"/>
                <w:lang w:val="en-GB"/>
              </w:rPr>
              <w:t>91,155</w:t>
            </w:r>
          </w:p>
        </w:tc>
        <w:tc>
          <w:tcPr>
            <w:tcW w:w="1166" w:type="dxa"/>
            <w:shd w:val="clear" w:color="auto" w:fill="auto"/>
            <w:noWrap/>
          </w:tcPr>
          <w:p w14:paraId="7C7D21EF" w14:textId="77777777" w:rsidR="004F2274" w:rsidRPr="00DE7BB7" w:rsidRDefault="004F2274" w:rsidP="00DE7BB7">
            <w:pPr>
              <w:jc w:val="right"/>
              <w:rPr>
                <w:rFonts w:cs="Arial"/>
                <w:color w:val="000000"/>
                <w:sz w:val="16"/>
                <w:lang w:val="en-GB"/>
              </w:rPr>
            </w:pPr>
            <w:r w:rsidRPr="00DE7BB7">
              <w:rPr>
                <w:rFonts w:cs="Arial"/>
                <w:color w:val="000000"/>
                <w:sz w:val="16"/>
                <w:lang w:val="en-GB"/>
              </w:rPr>
              <w:t>58,436</w:t>
            </w:r>
          </w:p>
        </w:tc>
        <w:tc>
          <w:tcPr>
            <w:tcW w:w="1166" w:type="dxa"/>
            <w:tcBorders>
              <w:bottom w:val="nil"/>
            </w:tcBorders>
            <w:shd w:val="clear" w:color="auto" w:fill="D3DFEE"/>
            <w:noWrap/>
          </w:tcPr>
          <w:p w14:paraId="678BC2A3" w14:textId="77777777" w:rsidR="004F2274" w:rsidRPr="00DE7BB7" w:rsidRDefault="004F2274" w:rsidP="00DE7BB7">
            <w:pPr>
              <w:jc w:val="right"/>
              <w:rPr>
                <w:rFonts w:cs="Arial"/>
                <w:color w:val="000000"/>
                <w:sz w:val="16"/>
                <w:lang w:val="en-GB"/>
              </w:rPr>
            </w:pPr>
            <w:r w:rsidRPr="00DE7BB7">
              <w:rPr>
                <w:rFonts w:cs="Arial"/>
                <w:color w:val="000000"/>
                <w:sz w:val="16"/>
                <w:lang w:val="en-GB"/>
              </w:rPr>
              <w:t>111,136</w:t>
            </w:r>
          </w:p>
        </w:tc>
        <w:tc>
          <w:tcPr>
            <w:tcW w:w="1166" w:type="dxa"/>
            <w:shd w:val="clear" w:color="auto" w:fill="auto"/>
            <w:noWrap/>
          </w:tcPr>
          <w:p w14:paraId="77B6C7F2" w14:textId="77777777" w:rsidR="004F2274" w:rsidRPr="00DE7BB7" w:rsidRDefault="004F2274" w:rsidP="00DE7BB7">
            <w:pPr>
              <w:jc w:val="right"/>
              <w:rPr>
                <w:rFonts w:cs="Arial"/>
                <w:color w:val="000000"/>
                <w:sz w:val="16"/>
                <w:lang w:val="en-GB"/>
              </w:rPr>
            </w:pPr>
            <w:r w:rsidRPr="00DE7BB7">
              <w:rPr>
                <w:rFonts w:cs="Arial"/>
                <w:color w:val="000000"/>
                <w:sz w:val="16"/>
                <w:lang w:val="en-GB"/>
              </w:rPr>
              <w:t>48,805</w:t>
            </w:r>
          </w:p>
        </w:tc>
        <w:tc>
          <w:tcPr>
            <w:tcW w:w="1166" w:type="dxa"/>
            <w:tcBorders>
              <w:bottom w:val="nil"/>
            </w:tcBorders>
            <w:shd w:val="clear" w:color="auto" w:fill="D3DFEE"/>
            <w:noWrap/>
          </w:tcPr>
          <w:p w14:paraId="3A217BDC" w14:textId="77777777" w:rsidR="004F2274" w:rsidRPr="00DE7BB7" w:rsidRDefault="004F2274" w:rsidP="00DE7BB7">
            <w:pPr>
              <w:jc w:val="right"/>
              <w:rPr>
                <w:rFonts w:cs="Arial"/>
                <w:color w:val="000000"/>
                <w:sz w:val="16"/>
                <w:lang w:val="en-GB"/>
              </w:rPr>
            </w:pPr>
            <w:r w:rsidRPr="00DE7BB7">
              <w:rPr>
                <w:rFonts w:cs="Arial"/>
                <w:color w:val="000000"/>
                <w:sz w:val="16"/>
                <w:lang w:val="en-GB"/>
              </w:rPr>
              <w:t>92,895</w:t>
            </w:r>
          </w:p>
        </w:tc>
      </w:tr>
      <w:tr w:rsidR="004F2274" w:rsidRPr="0058033D" w14:paraId="5231BE18" w14:textId="77777777" w:rsidTr="00DE7BB7">
        <w:trPr>
          <w:trHeight w:val="255"/>
        </w:trPr>
        <w:tc>
          <w:tcPr>
            <w:tcW w:w="3080" w:type="dxa"/>
            <w:tcBorders>
              <w:left w:val="nil"/>
              <w:right w:val="nil"/>
            </w:tcBorders>
            <w:shd w:val="clear" w:color="auto" w:fill="D3DFEE"/>
            <w:noWrap/>
          </w:tcPr>
          <w:p w14:paraId="698E8344" w14:textId="3EF79D03" w:rsidR="004F2274" w:rsidRPr="00DE7BB7" w:rsidRDefault="004F2274" w:rsidP="00DE7BB7">
            <w:pPr>
              <w:tabs>
                <w:tab w:val="left" w:pos="426"/>
              </w:tabs>
              <w:rPr>
                <w:rFonts w:cs="Arial"/>
                <w:b/>
                <w:bCs/>
                <w:color w:val="000000"/>
                <w:sz w:val="16"/>
                <w:vertAlign w:val="superscript"/>
                <w:lang w:val="en-GB"/>
              </w:rPr>
            </w:pPr>
            <w:r w:rsidRPr="00DE7BB7">
              <w:rPr>
                <w:rFonts w:cs="Arial"/>
                <w:b/>
                <w:bCs/>
                <w:color w:val="000000"/>
                <w:sz w:val="16"/>
                <w:lang w:val="en-GB"/>
              </w:rPr>
              <w:t xml:space="preserve"> </w:t>
            </w:r>
            <w:r w:rsidR="00D6380D" w:rsidRPr="00DE7BB7">
              <w:rPr>
                <w:rFonts w:cs="Arial"/>
                <w:b/>
                <w:bCs/>
                <w:color w:val="000000"/>
                <w:sz w:val="16"/>
                <w:lang w:val="en-GB"/>
              </w:rPr>
              <w:tab/>
            </w:r>
            <w:r w:rsidRPr="00DE7BB7">
              <w:rPr>
                <w:rFonts w:cs="Arial"/>
                <w:b/>
                <w:bCs/>
                <w:color w:val="000000"/>
                <w:sz w:val="16"/>
                <w:lang w:val="en-GB"/>
              </w:rPr>
              <w:t>- Ch</w:t>
            </w:r>
            <w:r w:rsidR="000471B5" w:rsidRPr="00DE7BB7">
              <w:rPr>
                <w:rFonts w:cs="Arial"/>
                <w:b/>
                <w:bCs/>
                <w:color w:val="000000"/>
                <w:sz w:val="16"/>
                <w:lang w:val="en-GB"/>
              </w:rPr>
              <w:t>amber</w:t>
            </w:r>
            <w:r w:rsidRPr="00DE7BB7">
              <w:rPr>
                <w:rFonts w:cs="Arial"/>
                <w:b/>
                <w:bCs/>
                <w:color w:val="000000"/>
                <w:sz w:val="16"/>
                <w:lang w:val="en-GB"/>
              </w:rPr>
              <w:t xml:space="preserve"> of Commerce</w:t>
            </w:r>
            <w:r w:rsidRPr="00DE7BB7">
              <w:rPr>
                <w:rFonts w:cs="Arial"/>
                <w:b/>
                <w:bCs/>
                <w:color w:val="000000"/>
                <w:sz w:val="16"/>
                <w:vertAlign w:val="superscript"/>
                <w:lang w:val="en-GB"/>
              </w:rPr>
              <w:t>3</w:t>
            </w:r>
          </w:p>
        </w:tc>
        <w:tc>
          <w:tcPr>
            <w:tcW w:w="1166" w:type="dxa"/>
            <w:tcBorders>
              <w:left w:val="nil"/>
              <w:bottom w:val="nil"/>
              <w:right w:val="nil"/>
            </w:tcBorders>
            <w:shd w:val="clear" w:color="auto" w:fill="D3DFEE"/>
            <w:noWrap/>
          </w:tcPr>
          <w:p w14:paraId="1B4EC6DC"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382FA2C4"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bottom w:val="nil"/>
              <w:right w:val="nil"/>
            </w:tcBorders>
            <w:shd w:val="clear" w:color="auto" w:fill="D3DFEE"/>
            <w:noWrap/>
          </w:tcPr>
          <w:p w14:paraId="1683FF90" w14:textId="77777777" w:rsidR="004F2274" w:rsidRPr="00DE7BB7" w:rsidRDefault="004F2274" w:rsidP="00DE7BB7">
            <w:pPr>
              <w:jc w:val="right"/>
              <w:rPr>
                <w:rFonts w:cs="Arial"/>
                <w:color w:val="000000"/>
                <w:sz w:val="16"/>
                <w:lang w:val="en-GB"/>
              </w:rPr>
            </w:pPr>
            <w:r w:rsidRPr="00DE7BB7">
              <w:rPr>
                <w:rFonts w:cs="Arial"/>
                <w:color w:val="000000"/>
                <w:sz w:val="16"/>
                <w:lang w:val="en-GB"/>
              </w:rPr>
              <w:t>.</w:t>
            </w:r>
          </w:p>
        </w:tc>
        <w:tc>
          <w:tcPr>
            <w:tcW w:w="1166" w:type="dxa"/>
            <w:tcBorders>
              <w:left w:val="nil"/>
              <w:right w:val="nil"/>
            </w:tcBorders>
            <w:shd w:val="clear" w:color="auto" w:fill="D3DFEE"/>
            <w:noWrap/>
          </w:tcPr>
          <w:p w14:paraId="60F0004A" w14:textId="77777777" w:rsidR="004F2274" w:rsidRPr="00DE7BB7" w:rsidRDefault="004F2274" w:rsidP="00DE7BB7">
            <w:pPr>
              <w:jc w:val="right"/>
              <w:rPr>
                <w:rFonts w:cs="Arial"/>
                <w:color w:val="000000"/>
                <w:sz w:val="16"/>
                <w:lang w:val="en-GB"/>
              </w:rPr>
            </w:pPr>
            <w:r w:rsidRPr="00DE7BB7">
              <w:rPr>
                <w:rFonts w:cs="Arial"/>
                <w:color w:val="000000"/>
                <w:sz w:val="16"/>
                <w:lang w:val="en-GB"/>
              </w:rPr>
              <w:t>18,496</w:t>
            </w:r>
          </w:p>
        </w:tc>
        <w:tc>
          <w:tcPr>
            <w:tcW w:w="1166" w:type="dxa"/>
            <w:tcBorders>
              <w:left w:val="nil"/>
              <w:bottom w:val="nil"/>
              <w:right w:val="nil"/>
            </w:tcBorders>
            <w:shd w:val="clear" w:color="auto" w:fill="D3DFEE"/>
            <w:noWrap/>
          </w:tcPr>
          <w:p w14:paraId="724813EF" w14:textId="77777777" w:rsidR="004F2274" w:rsidRPr="00DE7BB7" w:rsidRDefault="004F2274" w:rsidP="00DE7BB7">
            <w:pPr>
              <w:jc w:val="right"/>
              <w:rPr>
                <w:rFonts w:cs="Arial"/>
                <w:color w:val="000000"/>
                <w:sz w:val="16"/>
                <w:lang w:val="en-GB"/>
              </w:rPr>
            </w:pPr>
            <w:r w:rsidRPr="00DE7BB7">
              <w:rPr>
                <w:rFonts w:cs="Arial"/>
                <w:color w:val="000000"/>
                <w:sz w:val="16"/>
                <w:lang w:val="en-GB"/>
              </w:rPr>
              <w:t>153,144</w:t>
            </w:r>
          </w:p>
        </w:tc>
      </w:tr>
      <w:tr w:rsidR="004F2274" w:rsidRPr="0058033D" w14:paraId="52443137" w14:textId="77777777" w:rsidTr="00DE7BB7">
        <w:trPr>
          <w:trHeight w:val="255"/>
        </w:trPr>
        <w:tc>
          <w:tcPr>
            <w:tcW w:w="3080" w:type="dxa"/>
            <w:shd w:val="clear" w:color="auto" w:fill="auto"/>
            <w:noWrap/>
          </w:tcPr>
          <w:p w14:paraId="59568BBD" w14:textId="77777777"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Other direct expenditure</w:t>
            </w:r>
          </w:p>
        </w:tc>
        <w:tc>
          <w:tcPr>
            <w:tcW w:w="1166" w:type="dxa"/>
            <w:tcBorders>
              <w:bottom w:val="nil"/>
            </w:tcBorders>
            <w:shd w:val="clear" w:color="auto" w:fill="D3DFEE"/>
            <w:noWrap/>
          </w:tcPr>
          <w:p w14:paraId="683BB683"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83,327</w:t>
            </w:r>
          </w:p>
        </w:tc>
        <w:tc>
          <w:tcPr>
            <w:tcW w:w="1166" w:type="dxa"/>
            <w:shd w:val="clear" w:color="auto" w:fill="auto"/>
            <w:noWrap/>
          </w:tcPr>
          <w:p w14:paraId="55D5AC29"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95,292</w:t>
            </w:r>
          </w:p>
        </w:tc>
        <w:tc>
          <w:tcPr>
            <w:tcW w:w="1166" w:type="dxa"/>
            <w:tcBorders>
              <w:bottom w:val="nil"/>
            </w:tcBorders>
            <w:shd w:val="clear" w:color="auto" w:fill="D3DFEE"/>
            <w:noWrap/>
          </w:tcPr>
          <w:p w14:paraId="013A824E"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83,028</w:t>
            </w:r>
          </w:p>
        </w:tc>
        <w:tc>
          <w:tcPr>
            <w:tcW w:w="1166" w:type="dxa"/>
            <w:shd w:val="clear" w:color="auto" w:fill="auto"/>
            <w:noWrap/>
          </w:tcPr>
          <w:p w14:paraId="3CA5A2E8"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46,474</w:t>
            </w:r>
          </w:p>
        </w:tc>
        <w:tc>
          <w:tcPr>
            <w:tcW w:w="1166" w:type="dxa"/>
            <w:tcBorders>
              <w:bottom w:val="nil"/>
            </w:tcBorders>
            <w:shd w:val="clear" w:color="auto" w:fill="D3DFEE"/>
            <w:noWrap/>
          </w:tcPr>
          <w:p w14:paraId="39677D71"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24,600</w:t>
            </w:r>
          </w:p>
        </w:tc>
      </w:tr>
      <w:tr w:rsidR="004F2274" w:rsidRPr="0058033D" w14:paraId="77608CCC" w14:textId="77777777" w:rsidTr="00DE7BB7">
        <w:trPr>
          <w:trHeight w:val="255"/>
        </w:trPr>
        <w:tc>
          <w:tcPr>
            <w:tcW w:w="3080" w:type="dxa"/>
            <w:tcBorders>
              <w:left w:val="nil"/>
              <w:right w:val="nil"/>
            </w:tcBorders>
            <w:shd w:val="clear" w:color="auto" w:fill="D3DFEE"/>
            <w:noWrap/>
          </w:tcPr>
          <w:p w14:paraId="1D20EAAB" w14:textId="76217A64" w:rsidR="004F2274" w:rsidRPr="00DE7BB7" w:rsidRDefault="004F2274" w:rsidP="00DE7BB7">
            <w:pPr>
              <w:tabs>
                <w:tab w:val="left" w:pos="426"/>
              </w:tabs>
              <w:rPr>
                <w:rFonts w:cs="Arial"/>
                <w:b/>
                <w:bCs/>
                <w:color w:val="000000"/>
                <w:sz w:val="16"/>
                <w:lang w:val="en-GB"/>
              </w:rPr>
            </w:pPr>
            <w:r w:rsidRPr="00DE7BB7">
              <w:rPr>
                <w:rFonts w:cs="Arial"/>
                <w:b/>
                <w:bCs/>
                <w:color w:val="000000"/>
                <w:sz w:val="16"/>
                <w:lang w:val="en-GB"/>
              </w:rPr>
              <w:t xml:space="preserve">incl. </w:t>
            </w:r>
            <w:r w:rsidR="00D6380D" w:rsidRPr="00DE7BB7">
              <w:rPr>
                <w:rFonts w:cs="Arial"/>
                <w:b/>
                <w:bCs/>
                <w:color w:val="000000"/>
                <w:sz w:val="16"/>
                <w:lang w:val="en-GB"/>
              </w:rPr>
              <w:tab/>
            </w:r>
            <w:r w:rsidRPr="00DE7BB7">
              <w:rPr>
                <w:rFonts w:cs="Arial"/>
                <w:b/>
                <w:bCs/>
                <w:color w:val="000000"/>
                <w:sz w:val="16"/>
                <w:lang w:val="en-GB"/>
              </w:rPr>
              <w:t xml:space="preserve">- </w:t>
            </w:r>
            <w:r w:rsidR="008F1238" w:rsidRPr="00DE7BB7">
              <w:rPr>
                <w:rFonts w:cs="Arial"/>
                <w:b/>
                <w:bCs/>
                <w:color w:val="000000"/>
                <w:sz w:val="16"/>
                <w:szCs w:val="16"/>
              </w:rPr>
              <w:t>E-</w:t>
            </w:r>
            <w:r w:rsidR="00E3780B" w:rsidRPr="00DE7BB7">
              <w:rPr>
                <w:rFonts w:cs="Arial"/>
                <w:b/>
                <w:bCs/>
                <w:color w:val="000000"/>
                <w:sz w:val="16"/>
                <w:szCs w:val="16"/>
              </w:rPr>
              <w:t>government</w:t>
            </w:r>
          </w:p>
        </w:tc>
        <w:tc>
          <w:tcPr>
            <w:tcW w:w="1166" w:type="dxa"/>
            <w:tcBorders>
              <w:left w:val="nil"/>
              <w:bottom w:val="nil"/>
              <w:right w:val="nil"/>
            </w:tcBorders>
            <w:shd w:val="clear" w:color="auto" w:fill="D3DFEE"/>
            <w:noWrap/>
          </w:tcPr>
          <w:p w14:paraId="12D753E0" w14:textId="77777777" w:rsidR="004F2274" w:rsidRPr="00DE7BB7" w:rsidRDefault="004F2274" w:rsidP="00DE7BB7">
            <w:pPr>
              <w:jc w:val="right"/>
              <w:rPr>
                <w:rFonts w:cs="Arial"/>
                <w:color w:val="000000"/>
                <w:sz w:val="16"/>
                <w:lang w:val="en-GB"/>
              </w:rPr>
            </w:pPr>
            <w:r w:rsidRPr="00DE7BB7">
              <w:rPr>
                <w:rFonts w:cs="Arial"/>
                <w:color w:val="000000"/>
                <w:sz w:val="16"/>
                <w:lang w:val="en-GB"/>
              </w:rPr>
              <w:t>22,000</w:t>
            </w:r>
          </w:p>
        </w:tc>
        <w:tc>
          <w:tcPr>
            <w:tcW w:w="1166" w:type="dxa"/>
            <w:tcBorders>
              <w:left w:val="nil"/>
              <w:right w:val="nil"/>
            </w:tcBorders>
            <w:shd w:val="clear" w:color="auto" w:fill="D3DFEE"/>
            <w:noWrap/>
          </w:tcPr>
          <w:p w14:paraId="69B9833A" w14:textId="77777777" w:rsidR="004F2274" w:rsidRPr="00DE7BB7" w:rsidRDefault="004F2274" w:rsidP="00DE7BB7">
            <w:pPr>
              <w:jc w:val="right"/>
              <w:rPr>
                <w:rFonts w:cs="Arial"/>
                <w:color w:val="000000"/>
                <w:sz w:val="16"/>
                <w:lang w:val="en-GB"/>
              </w:rPr>
            </w:pPr>
            <w:r w:rsidRPr="00DE7BB7">
              <w:rPr>
                <w:rFonts w:cs="Arial"/>
                <w:color w:val="000000"/>
                <w:sz w:val="16"/>
                <w:lang w:val="en-GB"/>
              </w:rPr>
              <w:t>35,200</w:t>
            </w:r>
          </w:p>
        </w:tc>
        <w:tc>
          <w:tcPr>
            <w:tcW w:w="1166" w:type="dxa"/>
            <w:tcBorders>
              <w:left w:val="nil"/>
              <w:bottom w:val="nil"/>
              <w:right w:val="nil"/>
            </w:tcBorders>
            <w:shd w:val="clear" w:color="auto" w:fill="D3DFEE"/>
            <w:noWrap/>
          </w:tcPr>
          <w:p w14:paraId="0CEC3385" w14:textId="77777777" w:rsidR="004F2274" w:rsidRPr="00DE7BB7" w:rsidRDefault="004F2274" w:rsidP="00DE7BB7">
            <w:pPr>
              <w:jc w:val="right"/>
              <w:rPr>
                <w:rFonts w:cs="Arial"/>
                <w:color w:val="000000"/>
                <w:sz w:val="16"/>
                <w:lang w:val="en-GB"/>
              </w:rPr>
            </w:pPr>
            <w:r w:rsidRPr="00DE7BB7">
              <w:rPr>
                <w:rFonts w:cs="Arial"/>
                <w:color w:val="000000"/>
                <w:sz w:val="16"/>
                <w:lang w:val="en-GB"/>
              </w:rPr>
              <w:t>22,800</w:t>
            </w:r>
          </w:p>
        </w:tc>
        <w:tc>
          <w:tcPr>
            <w:tcW w:w="1166" w:type="dxa"/>
            <w:tcBorders>
              <w:left w:val="nil"/>
              <w:right w:val="nil"/>
            </w:tcBorders>
            <w:shd w:val="clear" w:color="auto" w:fill="D3DFEE"/>
            <w:noWrap/>
          </w:tcPr>
          <w:p w14:paraId="5C813AEC" w14:textId="77777777" w:rsidR="004F2274" w:rsidRPr="00DE7BB7" w:rsidRDefault="004F2274" w:rsidP="00DE7BB7">
            <w:pPr>
              <w:jc w:val="right"/>
              <w:rPr>
                <w:rFonts w:cs="Arial"/>
                <w:color w:val="000000"/>
                <w:sz w:val="16"/>
                <w:lang w:val="en-GB"/>
              </w:rPr>
            </w:pPr>
            <w:r w:rsidRPr="00DE7BB7">
              <w:rPr>
                <w:rFonts w:cs="Arial"/>
                <w:color w:val="000000"/>
                <w:sz w:val="16"/>
                <w:lang w:val="en-GB"/>
              </w:rPr>
              <w:t>8,695</w:t>
            </w:r>
          </w:p>
        </w:tc>
        <w:tc>
          <w:tcPr>
            <w:tcW w:w="1166" w:type="dxa"/>
            <w:tcBorders>
              <w:left w:val="nil"/>
              <w:bottom w:val="nil"/>
              <w:right w:val="nil"/>
            </w:tcBorders>
            <w:shd w:val="clear" w:color="auto" w:fill="D3DFEE"/>
            <w:noWrap/>
          </w:tcPr>
          <w:p w14:paraId="64BE661F" w14:textId="77777777" w:rsidR="004F2274" w:rsidRPr="00DE7BB7" w:rsidRDefault="004F2274" w:rsidP="00DE7BB7">
            <w:pPr>
              <w:jc w:val="right"/>
              <w:rPr>
                <w:rFonts w:cs="Arial"/>
                <w:color w:val="000000"/>
                <w:sz w:val="16"/>
                <w:lang w:val="en-GB"/>
              </w:rPr>
            </w:pPr>
            <w:r w:rsidRPr="00DE7BB7">
              <w:rPr>
                <w:rFonts w:cs="Arial"/>
                <w:color w:val="000000"/>
                <w:sz w:val="16"/>
                <w:lang w:val="en-GB"/>
              </w:rPr>
              <w:t>3,210</w:t>
            </w:r>
          </w:p>
        </w:tc>
      </w:tr>
      <w:tr w:rsidR="004F2274" w:rsidRPr="0058033D" w14:paraId="0BF498AA" w14:textId="77777777" w:rsidTr="00DE7BB7">
        <w:trPr>
          <w:trHeight w:val="255"/>
        </w:trPr>
        <w:tc>
          <w:tcPr>
            <w:tcW w:w="3080" w:type="dxa"/>
            <w:shd w:val="clear" w:color="auto" w:fill="auto"/>
            <w:noWrap/>
          </w:tcPr>
          <w:p w14:paraId="4E0670A2" w14:textId="77777777" w:rsidR="004F2274" w:rsidRPr="00DE7BB7" w:rsidRDefault="004F2274" w:rsidP="00A14D20">
            <w:pPr>
              <w:rPr>
                <w:b/>
                <w:bCs/>
                <w:color w:val="000000"/>
                <w:sz w:val="16"/>
                <w:lang w:val="en-GB"/>
              </w:rPr>
            </w:pPr>
          </w:p>
        </w:tc>
        <w:tc>
          <w:tcPr>
            <w:tcW w:w="1166" w:type="dxa"/>
            <w:tcBorders>
              <w:bottom w:val="nil"/>
            </w:tcBorders>
            <w:shd w:val="clear" w:color="auto" w:fill="D3DFEE"/>
            <w:noWrap/>
          </w:tcPr>
          <w:p w14:paraId="681BE0DF" w14:textId="77777777" w:rsidR="004F2274" w:rsidRPr="00DE7BB7" w:rsidRDefault="004F2274" w:rsidP="00DE7BB7">
            <w:pPr>
              <w:jc w:val="right"/>
              <w:rPr>
                <w:rFonts w:cs="Arial"/>
                <w:color w:val="000000"/>
                <w:sz w:val="16"/>
                <w:lang w:val="en-GB"/>
              </w:rPr>
            </w:pPr>
            <w:r w:rsidRPr="00DE7BB7">
              <w:rPr>
                <w:rFonts w:cs="Arial"/>
                <w:color w:val="000000"/>
                <w:sz w:val="16"/>
                <w:lang w:val="en-GB"/>
              </w:rPr>
              <w:t> </w:t>
            </w:r>
          </w:p>
        </w:tc>
        <w:tc>
          <w:tcPr>
            <w:tcW w:w="1166" w:type="dxa"/>
            <w:shd w:val="clear" w:color="auto" w:fill="auto"/>
            <w:noWrap/>
          </w:tcPr>
          <w:p w14:paraId="108ECC0B" w14:textId="77777777" w:rsidR="004F2274" w:rsidRPr="00DE7BB7" w:rsidRDefault="004F2274" w:rsidP="00DE7BB7">
            <w:pPr>
              <w:jc w:val="right"/>
              <w:rPr>
                <w:rFonts w:cs="Arial"/>
                <w:color w:val="000000"/>
                <w:sz w:val="16"/>
                <w:lang w:val="en-GB"/>
              </w:rPr>
            </w:pPr>
            <w:r w:rsidRPr="00DE7BB7">
              <w:rPr>
                <w:rFonts w:cs="Arial"/>
                <w:color w:val="000000"/>
                <w:sz w:val="16"/>
                <w:lang w:val="en-GB"/>
              </w:rPr>
              <w:t> </w:t>
            </w:r>
          </w:p>
        </w:tc>
        <w:tc>
          <w:tcPr>
            <w:tcW w:w="1166" w:type="dxa"/>
            <w:tcBorders>
              <w:bottom w:val="nil"/>
            </w:tcBorders>
            <w:shd w:val="clear" w:color="auto" w:fill="D3DFEE"/>
            <w:noWrap/>
          </w:tcPr>
          <w:p w14:paraId="51366D3B" w14:textId="77777777" w:rsidR="004F2274" w:rsidRPr="00DE7BB7" w:rsidRDefault="004F2274" w:rsidP="00DE7BB7">
            <w:pPr>
              <w:jc w:val="right"/>
              <w:rPr>
                <w:rFonts w:cs="Arial"/>
                <w:color w:val="000000"/>
                <w:sz w:val="16"/>
                <w:lang w:val="en-GB"/>
              </w:rPr>
            </w:pPr>
            <w:r w:rsidRPr="00DE7BB7">
              <w:rPr>
                <w:rFonts w:cs="Arial"/>
                <w:color w:val="000000"/>
                <w:sz w:val="16"/>
                <w:lang w:val="en-GB"/>
              </w:rPr>
              <w:t> </w:t>
            </w:r>
          </w:p>
        </w:tc>
        <w:tc>
          <w:tcPr>
            <w:tcW w:w="1166" w:type="dxa"/>
            <w:shd w:val="clear" w:color="auto" w:fill="auto"/>
            <w:noWrap/>
          </w:tcPr>
          <w:p w14:paraId="300942DB" w14:textId="77777777" w:rsidR="004F2274" w:rsidRPr="00DE7BB7" w:rsidRDefault="004F2274" w:rsidP="00DE7BB7">
            <w:pPr>
              <w:jc w:val="right"/>
              <w:rPr>
                <w:rFonts w:cs="Arial"/>
                <w:color w:val="000000"/>
                <w:sz w:val="16"/>
                <w:lang w:val="en-GB"/>
              </w:rPr>
            </w:pPr>
            <w:r w:rsidRPr="00DE7BB7">
              <w:rPr>
                <w:rFonts w:cs="Arial"/>
                <w:color w:val="000000"/>
                <w:sz w:val="16"/>
                <w:lang w:val="en-GB"/>
              </w:rPr>
              <w:t> </w:t>
            </w:r>
          </w:p>
        </w:tc>
        <w:tc>
          <w:tcPr>
            <w:tcW w:w="1166" w:type="dxa"/>
            <w:tcBorders>
              <w:bottom w:val="nil"/>
            </w:tcBorders>
            <w:shd w:val="clear" w:color="auto" w:fill="D3DFEE"/>
            <w:noWrap/>
          </w:tcPr>
          <w:p w14:paraId="6E569DE7" w14:textId="77777777" w:rsidR="004F2274" w:rsidRPr="00DE7BB7" w:rsidRDefault="004F2274" w:rsidP="00DE7BB7">
            <w:pPr>
              <w:jc w:val="right"/>
              <w:rPr>
                <w:rFonts w:cs="Arial"/>
                <w:color w:val="000000"/>
                <w:sz w:val="16"/>
                <w:lang w:val="en-GB"/>
              </w:rPr>
            </w:pPr>
            <w:r w:rsidRPr="00DE7BB7">
              <w:rPr>
                <w:rFonts w:cs="Arial"/>
                <w:color w:val="000000"/>
                <w:sz w:val="16"/>
                <w:lang w:val="en-GB"/>
              </w:rPr>
              <w:t> </w:t>
            </w:r>
          </w:p>
        </w:tc>
      </w:tr>
      <w:tr w:rsidR="004F2274" w:rsidRPr="0058033D" w14:paraId="6F3C011B" w14:textId="77777777" w:rsidTr="00DE7BB7">
        <w:trPr>
          <w:trHeight w:val="255"/>
        </w:trPr>
        <w:tc>
          <w:tcPr>
            <w:tcW w:w="3080" w:type="dxa"/>
            <w:tcBorders>
              <w:left w:val="nil"/>
              <w:bottom w:val="single" w:sz="8" w:space="0" w:color="4F81BD"/>
              <w:right w:val="nil"/>
            </w:tcBorders>
            <w:shd w:val="clear" w:color="auto" w:fill="D3DFEE"/>
            <w:noWrap/>
          </w:tcPr>
          <w:p w14:paraId="41915B0B" w14:textId="77777777" w:rsidR="004F2274" w:rsidRPr="00DE7BB7" w:rsidRDefault="004F2274" w:rsidP="00A14D20">
            <w:pPr>
              <w:rPr>
                <w:rFonts w:cs="Arial"/>
                <w:b/>
                <w:bCs/>
                <w:color w:val="000000"/>
                <w:sz w:val="16"/>
                <w:lang w:val="en-GB"/>
              </w:rPr>
            </w:pPr>
            <w:r w:rsidRPr="00DE7BB7">
              <w:rPr>
                <w:rFonts w:cs="Arial"/>
                <w:b/>
                <w:bCs/>
                <w:color w:val="000000"/>
                <w:sz w:val="16"/>
                <w:lang w:val="en-GB"/>
              </w:rPr>
              <w:t>Total</w:t>
            </w:r>
          </w:p>
        </w:tc>
        <w:tc>
          <w:tcPr>
            <w:tcW w:w="1166" w:type="dxa"/>
            <w:tcBorders>
              <w:left w:val="nil"/>
              <w:bottom w:val="single" w:sz="8" w:space="0" w:color="4F81BD"/>
              <w:right w:val="nil"/>
            </w:tcBorders>
            <w:shd w:val="clear" w:color="auto" w:fill="D3DFEE"/>
            <w:noWrap/>
          </w:tcPr>
          <w:p w14:paraId="005E9210"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5,611,447</w:t>
            </w:r>
          </w:p>
        </w:tc>
        <w:tc>
          <w:tcPr>
            <w:tcW w:w="1166" w:type="dxa"/>
            <w:tcBorders>
              <w:left w:val="nil"/>
              <w:bottom w:val="single" w:sz="8" w:space="0" w:color="4F81BD"/>
              <w:right w:val="nil"/>
            </w:tcBorders>
            <w:shd w:val="clear" w:color="auto" w:fill="D3DFEE"/>
            <w:noWrap/>
          </w:tcPr>
          <w:p w14:paraId="471613DA"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6,092,272</w:t>
            </w:r>
          </w:p>
        </w:tc>
        <w:tc>
          <w:tcPr>
            <w:tcW w:w="1166" w:type="dxa"/>
            <w:tcBorders>
              <w:left w:val="nil"/>
              <w:bottom w:val="single" w:sz="8" w:space="0" w:color="4F81BD"/>
              <w:right w:val="nil"/>
            </w:tcBorders>
            <w:shd w:val="clear" w:color="auto" w:fill="D3DFEE"/>
            <w:noWrap/>
          </w:tcPr>
          <w:p w14:paraId="35047A33"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7,110,759</w:t>
            </w:r>
          </w:p>
        </w:tc>
        <w:tc>
          <w:tcPr>
            <w:tcW w:w="1166" w:type="dxa"/>
            <w:tcBorders>
              <w:left w:val="nil"/>
              <w:bottom w:val="single" w:sz="8" w:space="0" w:color="4F81BD"/>
              <w:right w:val="nil"/>
            </w:tcBorders>
            <w:shd w:val="clear" w:color="auto" w:fill="D3DFEE"/>
            <w:noWrap/>
          </w:tcPr>
          <w:p w14:paraId="07D0BCE4"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7,439,990</w:t>
            </w:r>
          </w:p>
        </w:tc>
        <w:tc>
          <w:tcPr>
            <w:tcW w:w="1166" w:type="dxa"/>
            <w:tcBorders>
              <w:left w:val="nil"/>
              <w:bottom w:val="single" w:sz="8" w:space="0" w:color="4F81BD"/>
              <w:right w:val="nil"/>
            </w:tcBorders>
            <w:shd w:val="clear" w:color="auto" w:fill="D3DFEE"/>
            <w:noWrap/>
          </w:tcPr>
          <w:p w14:paraId="6DEB1971" w14:textId="77777777" w:rsidR="004F2274" w:rsidRPr="00DE7BB7" w:rsidRDefault="004F2274" w:rsidP="00DE7BB7">
            <w:pPr>
              <w:jc w:val="right"/>
              <w:rPr>
                <w:rFonts w:cs="Arial"/>
                <w:b/>
                <w:bCs/>
                <w:color w:val="000000"/>
                <w:sz w:val="16"/>
                <w:lang w:val="en-GB"/>
              </w:rPr>
            </w:pPr>
            <w:r w:rsidRPr="00DE7BB7">
              <w:rPr>
                <w:rFonts w:cs="Arial"/>
                <w:b/>
                <w:bCs/>
                <w:color w:val="000000"/>
                <w:sz w:val="16"/>
                <w:lang w:val="en-GB"/>
              </w:rPr>
              <w:t>7,591,856</w:t>
            </w:r>
          </w:p>
        </w:tc>
      </w:tr>
    </w:tbl>
    <w:p w14:paraId="6C0348CA" w14:textId="77777777" w:rsidR="004F2274" w:rsidRPr="0058033D" w:rsidRDefault="004F2274" w:rsidP="00563EB7">
      <w:pPr>
        <w:rPr>
          <w:bCs/>
          <w:color w:val="000000"/>
          <w:sz w:val="16"/>
          <w:vertAlign w:val="superscript"/>
          <w:lang w:val="en-GB"/>
        </w:rPr>
      </w:pPr>
    </w:p>
    <w:p w14:paraId="550C6172" w14:textId="7D614DB4" w:rsidR="004F2274" w:rsidRPr="0058033D" w:rsidRDefault="004F2274" w:rsidP="00827ADC">
      <w:pPr>
        <w:ind w:left="180" w:right="-211" w:hanging="180"/>
        <w:rPr>
          <w:bCs/>
          <w:color w:val="000000"/>
          <w:sz w:val="16"/>
          <w:lang w:val="en-GB"/>
        </w:rPr>
      </w:pPr>
      <w:r w:rsidRPr="0058033D">
        <w:rPr>
          <w:bCs/>
          <w:color w:val="000000"/>
          <w:sz w:val="16"/>
          <w:vertAlign w:val="superscript"/>
          <w:lang w:val="en-GB"/>
        </w:rPr>
        <w:t>1)</w:t>
      </w:r>
      <w:r w:rsidRPr="0058033D">
        <w:rPr>
          <w:b/>
          <w:bCs/>
          <w:color w:val="000000"/>
          <w:sz w:val="16"/>
          <w:vertAlign w:val="superscript"/>
          <w:lang w:val="en-GB"/>
        </w:rPr>
        <w:tab/>
      </w:r>
      <w:r w:rsidRPr="0058033D">
        <w:rPr>
          <w:bCs/>
          <w:color w:val="000000"/>
          <w:sz w:val="16"/>
          <w:lang w:val="en-GB"/>
        </w:rPr>
        <w:t>See annexe A in the background study (p. 138) for a detailed breakdown</w:t>
      </w:r>
      <w:r w:rsidR="00E3780B">
        <w:rPr>
          <w:bCs/>
          <w:color w:val="000000"/>
          <w:sz w:val="16"/>
          <w:lang w:val="en-GB"/>
        </w:rPr>
        <w:t>.</w:t>
      </w:r>
      <w:r w:rsidRPr="0058033D">
        <w:rPr>
          <w:bCs/>
          <w:color w:val="000000"/>
          <w:sz w:val="16"/>
          <w:lang w:val="en-GB"/>
        </w:rPr>
        <w:t xml:space="preserve"> </w:t>
      </w:r>
    </w:p>
    <w:p w14:paraId="57033A30" w14:textId="77777777" w:rsidR="004F2274" w:rsidRPr="0058033D" w:rsidRDefault="004F2274" w:rsidP="00827ADC">
      <w:pPr>
        <w:ind w:left="180" w:right="-211" w:hanging="180"/>
        <w:rPr>
          <w:bCs/>
          <w:color w:val="000000"/>
          <w:sz w:val="16"/>
          <w:lang w:val="en-GB"/>
        </w:rPr>
      </w:pPr>
      <w:r w:rsidRPr="0058033D">
        <w:rPr>
          <w:bCs/>
          <w:color w:val="000000"/>
          <w:sz w:val="16"/>
          <w:vertAlign w:val="superscript"/>
          <w:lang w:val="en-GB"/>
        </w:rPr>
        <w:t>2)</w:t>
      </w:r>
      <w:r w:rsidRPr="0058033D">
        <w:rPr>
          <w:bCs/>
          <w:color w:val="000000"/>
          <w:sz w:val="16"/>
          <w:vertAlign w:val="superscript"/>
          <w:lang w:val="en-GB"/>
        </w:rPr>
        <w:tab/>
      </w:r>
      <w:r w:rsidRPr="0058033D">
        <w:rPr>
          <w:bCs/>
          <w:color w:val="000000"/>
          <w:sz w:val="16"/>
          <w:lang w:val="en-GB"/>
        </w:rPr>
        <w:t>2013 figure not yet known. Based on 2012 figure for comparison of totals.</w:t>
      </w:r>
    </w:p>
    <w:p w14:paraId="31DC333B" w14:textId="77777777" w:rsidR="004F2274" w:rsidRPr="0058033D" w:rsidRDefault="004F2274" w:rsidP="00827ADC">
      <w:pPr>
        <w:ind w:left="180" w:right="-211" w:hanging="180"/>
        <w:rPr>
          <w:rFonts w:cs="Arial"/>
          <w:color w:val="000000"/>
          <w:sz w:val="16"/>
          <w:lang w:val="en-GB"/>
        </w:rPr>
      </w:pPr>
      <w:r w:rsidRPr="0058033D">
        <w:rPr>
          <w:rFonts w:cs="Arial"/>
          <w:color w:val="000000"/>
          <w:sz w:val="16"/>
          <w:vertAlign w:val="superscript"/>
          <w:lang w:val="en-GB"/>
        </w:rPr>
        <w:t>2)</w:t>
      </w:r>
      <w:r w:rsidRPr="0058033D">
        <w:rPr>
          <w:rFonts w:cs="Arial"/>
          <w:color w:val="000000"/>
          <w:sz w:val="16"/>
          <w:vertAlign w:val="superscript"/>
          <w:lang w:val="en-GB"/>
        </w:rPr>
        <w:tab/>
      </w:r>
      <w:r w:rsidRPr="0058033D">
        <w:rPr>
          <w:rFonts w:cs="Arial"/>
          <w:color w:val="000000"/>
          <w:sz w:val="16"/>
          <w:lang w:val="en-GB"/>
        </w:rPr>
        <w:t>The structural increase from the budget in 2011 is a result of the decision of the Rutte I government to transfer responsibility for TNO from Education, Culture and Science and for MARIN, Deltares &amp; NLR from Infrastructure and Milieu to EZ (incl. the budget).</w:t>
      </w:r>
    </w:p>
    <w:p w14:paraId="67A63892" w14:textId="444171E6" w:rsidR="004F2274" w:rsidRPr="0058033D" w:rsidRDefault="004F2274" w:rsidP="00827ADC">
      <w:pPr>
        <w:ind w:left="180" w:right="-211" w:hanging="180"/>
        <w:rPr>
          <w:b/>
          <w:lang w:val="en-GB"/>
        </w:rPr>
      </w:pPr>
      <w:r w:rsidRPr="0058033D">
        <w:rPr>
          <w:rFonts w:cs="Arial"/>
          <w:color w:val="000000"/>
          <w:vertAlign w:val="superscript"/>
          <w:lang w:val="en-GB"/>
        </w:rPr>
        <w:t>3)</w:t>
      </w:r>
      <w:r w:rsidRPr="0058033D">
        <w:rPr>
          <w:rFonts w:cs="Arial"/>
          <w:color w:val="000000"/>
          <w:vertAlign w:val="superscript"/>
          <w:lang w:val="en-GB"/>
        </w:rPr>
        <w:tab/>
      </w:r>
      <w:r w:rsidRPr="0058033D">
        <w:rPr>
          <w:rFonts w:cs="Arial"/>
          <w:color w:val="000000"/>
          <w:sz w:val="16"/>
          <w:lang w:val="en-GB"/>
        </w:rPr>
        <w:t>Before 2012, enterprises paid levies direct to the Ch</w:t>
      </w:r>
      <w:r w:rsidR="000471B5" w:rsidRPr="0058033D">
        <w:rPr>
          <w:rFonts w:cs="Arial"/>
          <w:color w:val="000000"/>
          <w:sz w:val="16"/>
          <w:lang w:val="en-GB"/>
        </w:rPr>
        <w:t xml:space="preserve">amber </w:t>
      </w:r>
      <w:r w:rsidRPr="0058033D">
        <w:rPr>
          <w:rFonts w:cs="Arial"/>
          <w:color w:val="000000"/>
          <w:sz w:val="16"/>
          <w:lang w:val="en-GB"/>
        </w:rPr>
        <w:t xml:space="preserve">of Commerce; the Rutte I government decided to fund the </w:t>
      </w:r>
      <w:r w:rsidR="000471B5" w:rsidRPr="0058033D">
        <w:rPr>
          <w:rFonts w:cs="Arial"/>
          <w:color w:val="000000"/>
          <w:sz w:val="16"/>
          <w:lang w:val="en-GB"/>
        </w:rPr>
        <w:t xml:space="preserve">Chamber of Commerce </w:t>
      </w:r>
      <w:r w:rsidRPr="0058033D">
        <w:rPr>
          <w:rFonts w:cs="Arial"/>
          <w:color w:val="000000"/>
          <w:sz w:val="16"/>
          <w:lang w:val="en-GB"/>
        </w:rPr>
        <w:t>from taxes through the State Budget.</w:t>
      </w:r>
    </w:p>
    <w:p w14:paraId="6ED52695" w14:textId="77777777" w:rsidR="004F2274" w:rsidRPr="0058033D" w:rsidRDefault="004F2274" w:rsidP="00D73C59">
      <w:pPr>
        <w:rPr>
          <w:b/>
          <w:bCs/>
          <w:lang w:val="en-GB"/>
        </w:rPr>
      </w:pPr>
      <w:r w:rsidRPr="0058033D">
        <w:rPr>
          <w:b/>
          <w:lang w:val="en-GB"/>
        </w:rPr>
        <w:br w:type="page"/>
        <w:t>Annexe 2: Tax</w:t>
      </w:r>
      <w:r w:rsidRPr="0058033D">
        <w:rPr>
          <w:b/>
          <w:bCs/>
          <w:lang w:val="en-GB"/>
        </w:rPr>
        <w:t xml:space="preserve"> measures with budgetary significance</w:t>
      </w:r>
    </w:p>
    <w:p w14:paraId="02361167" w14:textId="77777777" w:rsidR="004F2274" w:rsidRPr="0058033D" w:rsidRDefault="004F2274" w:rsidP="00D73C59">
      <w:pPr>
        <w:rPr>
          <w:b/>
          <w:bCs/>
          <w:lang w:val="en-GB"/>
        </w:rPr>
      </w:pPr>
    </w:p>
    <w:p w14:paraId="6F4645DA" w14:textId="77777777" w:rsidR="004F2274" w:rsidRPr="0058033D" w:rsidRDefault="004F2274" w:rsidP="00D73C59">
      <w:pPr>
        <w:spacing w:line="240" w:lineRule="auto"/>
        <w:rPr>
          <w:lang w:val="en-GB"/>
        </w:rPr>
      </w:pPr>
      <w:r w:rsidRPr="0058033D">
        <w:rPr>
          <w:lang w:val="en-GB"/>
        </w:rPr>
        <w:t>In millions of euros</w:t>
      </w:r>
    </w:p>
    <w:tbl>
      <w:tblPr>
        <w:tblW w:w="5338" w:type="pct"/>
        <w:tblBorders>
          <w:top w:val="single" w:sz="8" w:space="0" w:color="4F81BD"/>
          <w:bottom w:val="single" w:sz="8" w:space="0" w:color="4F81BD"/>
        </w:tblBorders>
        <w:tblLook w:val="00A0" w:firstRow="1" w:lastRow="0" w:firstColumn="1" w:lastColumn="0" w:noHBand="0" w:noVBand="0"/>
      </w:tblPr>
      <w:tblGrid>
        <w:gridCol w:w="4788"/>
        <w:gridCol w:w="1260"/>
        <w:gridCol w:w="1111"/>
        <w:gridCol w:w="1110"/>
      </w:tblGrid>
      <w:tr w:rsidR="004F2274" w:rsidRPr="0058033D" w14:paraId="7758DAC1" w14:textId="77777777" w:rsidTr="000471B5">
        <w:tc>
          <w:tcPr>
            <w:tcW w:w="2894" w:type="pct"/>
            <w:tcBorders>
              <w:top w:val="single" w:sz="8" w:space="0" w:color="4F81BD"/>
              <w:left w:val="nil"/>
              <w:bottom w:val="single" w:sz="8" w:space="0" w:color="4F81BD"/>
              <w:right w:val="nil"/>
            </w:tcBorders>
          </w:tcPr>
          <w:p w14:paraId="75F2A731" w14:textId="77777777" w:rsidR="004F2274" w:rsidRPr="0058033D" w:rsidRDefault="004F2274" w:rsidP="00567BCC">
            <w:pPr>
              <w:spacing w:line="360" w:lineRule="auto"/>
              <w:jc w:val="center"/>
              <w:rPr>
                <w:b/>
                <w:bCs/>
                <w:sz w:val="16"/>
                <w:lang w:val="en-GB"/>
              </w:rPr>
            </w:pPr>
            <w:r w:rsidRPr="0058033D">
              <w:rPr>
                <w:b/>
                <w:bCs/>
                <w:sz w:val="16"/>
                <w:lang w:val="en-GB"/>
              </w:rPr>
              <w:t> </w:t>
            </w:r>
          </w:p>
        </w:tc>
        <w:tc>
          <w:tcPr>
            <w:tcW w:w="762" w:type="pct"/>
            <w:tcBorders>
              <w:top w:val="single" w:sz="8" w:space="0" w:color="4F81BD"/>
              <w:left w:val="nil"/>
              <w:bottom w:val="single" w:sz="8" w:space="0" w:color="4F81BD"/>
              <w:right w:val="nil"/>
            </w:tcBorders>
          </w:tcPr>
          <w:p w14:paraId="79050267" w14:textId="77777777" w:rsidR="004F2274" w:rsidRPr="0058033D" w:rsidRDefault="004F2274" w:rsidP="00567BCC">
            <w:pPr>
              <w:spacing w:before="100" w:beforeAutospacing="1" w:after="100" w:afterAutospacing="1" w:line="360" w:lineRule="auto"/>
              <w:jc w:val="right"/>
              <w:rPr>
                <w:b/>
                <w:bCs/>
                <w:sz w:val="16"/>
                <w:lang w:val="en-GB"/>
              </w:rPr>
            </w:pPr>
            <w:r w:rsidRPr="0058033D">
              <w:rPr>
                <w:b/>
                <w:bCs/>
                <w:sz w:val="16"/>
                <w:lang w:val="en-GB"/>
              </w:rPr>
              <w:t>2013</w:t>
            </w:r>
          </w:p>
        </w:tc>
        <w:tc>
          <w:tcPr>
            <w:tcW w:w="672" w:type="pct"/>
            <w:tcBorders>
              <w:top w:val="single" w:sz="8" w:space="0" w:color="4F81BD"/>
              <w:left w:val="nil"/>
              <w:bottom w:val="single" w:sz="8" w:space="0" w:color="4F81BD"/>
              <w:right w:val="nil"/>
            </w:tcBorders>
          </w:tcPr>
          <w:p w14:paraId="503A1025" w14:textId="77777777" w:rsidR="004F2274" w:rsidRPr="0058033D" w:rsidRDefault="004F2274" w:rsidP="00567BCC">
            <w:pPr>
              <w:spacing w:before="100" w:beforeAutospacing="1" w:after="100" w:afterAutospacing="1" w:line="360" w:lineRule="auto"/>
              <w:jc w:val="right"/>
              <w:rPr>
                <w:b/>
                <w:bCs/>
                <w:sz w:val="16"/>
                <w:lang w:val="en-GB"/>
              </w:rPr>
            </w:pPr>
            <w:r w:rsidRPr="0058033D">
              <w:rPr>
                <w:b/>
                <w:bCs/>
                <w:sz w:val="16"/>
                <w:lang w:val="en-GB"/>
              </w:rPr>
              <w:t>2014</w:t>
            </w:r>
          </w:p>
        </w:tc>
        <w:tc>
          <w:tcPr>
            <w:tcW w:w="671" w:type="pct"/>
            <w:tcBorders>
              <w:top w:val="single" w:sz="8" w:space="0" w:color="4F81BD"/>
              <w:left w:val="nil"/>
              <w:bottom w:val="single" w:sz="8" w:space="0" w:color="4F81BD"/>
              <w:right w:val="nil"/>
            </w:tcBorders>
          </w:tcPr>
          <w:p w14:paraId="5E8A367A" w14:textId="77777777" w:rsidR="004F2274" w:rsidRPr="0058033D" w:rsidRDefault="004F2274" w:rsidP="00567BCC">
            <w:pPr>
              <w:spacing w:before="100" w:beforeAutospacing="1" w:after="100" w:afterAutospacing="1" w:line="360" w:lineRule="auto"/>
              <w:jc w:val="right"/>
              <w:rPr>
                <w:b/>
                <w:bCs/>
                <w:sz w:val="16"/>
                <w:lang w:val="en-GB"/>
              </w:rPr>
            </w:pPr>
            <w:r w:rsidRPr="0058033D">
              <w:rPr>
                <w:b/>
                <w:bCs/>
                <w:sz w:val="16"/>
                <w:lang w:val="en-GB"/>
              </w:rPr>
              <w:t>2015</w:t>
            </w:r>
          </w:p>
        </w:tc>
      </w:tr>
      <w:tr w:rsidR="004F2274" w:rsidRPr="0058033D" w14:paraId="759D0EF3" w14:textId="77777777" w:rsidTr="000471B5">
        <w:tc>
          <w:tcPr>
            <w:tcW w:w="2894" w:type="pct"/>
            <w:tcBorders>
              <w:left w:val="nil"/>
              <w:right w:val="nil"/>
            </w:tcBorders>
            <w:shd w:val="clear" w:color="auto" w:fill="D3DFEE"/>
          </w:tcPr>
          <w:p w14:paraId="26CD28A8"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Self-employed individuals allowance</w:t>
            </w:r>
          </w:p>
        </w:tc>
        <w:tc>
          <w:tcPr>
            <w:tcW w:w="762" w:type="pct"/>
            <w:tcBorders>
              <w:left w:val="nil"/>
              <w:right w:val="nil"/>
            </w:tcBorders>
            <w:shd w:val="clear" w:color="auto" w:fill="D3DFEE"/>
          </w:tcPr>
          <w:p w14:paraId="279D8954"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1,712</w:t>
            </w:r>
          </w:p>
        </w:tc>
        <w:tc>
          <w:tcPr>
            <w:tcW w:w="672" w:type="pct"/>
            <w:tcBorders>
              <w:left w:val="nil"/>
              <w:right w:val="nil"/>
            </w:tcBorders>
            <w:shd w:val="clear" w:color="auto" w:fill="D3DFEE"/>
          </w:tcPr>
          <w:p w14:paraId="61AA1C40"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1,718</w:t>
            </w:r>
          </w:p>
        </w:tc>
        <w:tc>
          <w:tcPr>
            <w:tcW w:w="671" w:type="pct"/>
            <w:tcBorders>
              <w:left w:val="nil"/>
              <w:right w:val="nil"/>
            </w:tcBorders>
            <w:shd w:val="clear" w:color="auto" w:fill="D3DFEE"/>
          </w:tcPr>
          <w:p w14:paraId="560AC10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1,741</w:t>
            </w:r>
          </w:p>
        </w:tc>
      </w:tr>
      <w:tr w:rsidR="004F2274" w:rsidRPr="0058033D" w14:paraId="6DA6A9D5" w14:textId="77777777" w:rsidTr="000471B5">
        <w:tc>
          <w:tcPr>
            <w:tcW w:w="2894" w:type="pct"/>
          </w:tcPr>
          <w:p w14:paraId="25536A74"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Extra self-employed individuals allowance for starters</w:t>
            </w:r>
          </w:p>
        </w:tc>
        <w:tc>
          <w:tcPr>
            <w:tcW w:w="762" w:type="pct"/>
          </w:tcPr>
          <w:p w14:paraId="0C27A675"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106</w:t>
            </w:r>
          </w:p>
        </w:tc>
        <w:tc>
          <w:tcPr>
            <w:tcW w:w="672" w:type="pct"/>
          </w:tcPr>
          <w:p w14:paraId="68298076"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168</w:t>
            </w:r>
          </w:p>
        </w:tc>
        <w:tc>
          <w:tcPr>
            <w:tcW w:w="671" w:type="pct"/>
          </w:tcPr>
          <w:p w14:paraId="1B322448"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110</w:t>
            </w:r>
          </w:p>
        </w:tc>
      </w:tr>
      <w:tr w:rsidR="004F2274" w:rsidRPr="0058033D" w14:paraId="2DF27AF7" w14:textId="77777777" w:rsidTr="000471B5">
        <w:tc>
          <w:tcPr>
            <w:tcW w:w="2894" w:type="pct"/>
            <w:tcBorders>
              <w:left w:val="nil"/>
              <w:right w:val="nil"/>
            </w:tcBorders>
            <w:shd w:val="clear" w:color="auto" w:fill="D3DFEE"/>
          </w:tcPr>
          <w:p w14:paraId="2DCE3BC1"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Starters deduction in the event of disability</w:t>
            </w:r>
          </w:p>
        </w:tc>
        <w:tc>
          <w:tcPr>
            <w:tcW w:w="762" w:type="pct"/>
            <w:tcBorders>
              <w:left w:val="nil"/>
              <w:right w:val="nil"/>
            </w:tcBorders>
            <w:shd w:val="clear" w:color="auto" w:fill="D3DFEE"/>
          </w:tcPr>
          <w:p w14:paraId="5BD719D4"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w:t>
            </w:r>
          </w:p>
        </w:tc>
        <w:tc>
          <w:tcPr>
            <w:tcW w:w="672" w:type="pct"/>
            <w:tcBorders>
              <w:left w:val="nil"/>
              <w:right w:val="nil"/>
            </w:tcBorders>
            <w:shd w:val="clear" w:color="auto" w:fill="D3DFEE"/>
          </w:tcPr>
          <w:p w14:paraId="6606B520"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w:t>
            </w:r>
          </w:p>
        </w:tc>
        <w:tc>
          <w:tcPr>
            <w:tcW w:w="671" w:type="pct"/>
            <w:tcBorders>
              <w:left w:val="nil"/>
              <w:right w:val="nil"/>
            </w:tcBorders>
            <w:shd w:val="clear" w:color="auto" w:fill="D3DFEE"/>
          </w:tcPr>
          <w:p w14:paraId="2A5F8809"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w:t>
            </w:r>
          </w:p>
        </w:tc>
      </w:tr>
      <w:tr w:rsidR="004F2274" w:rsidRPr="0058033D" w14:paraId="468ADEEF" w14:textId="77777777" w:rsidTr="000471B5">
        <w:tc>
          <w:tcPr>
            <w:tcW w:w="2894" w:type="pct"/>
          </w:tcPr>
          <w:p w14:paraId="4A642A53"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Tax-deferred special purpose (retirement) reserve, not converted into annuity</w:t>
            </w:r>
          </w:p>
        </w:tc>
        <w:tc>
          <w:tcPr>
            <w:tcW w:w="762" w:type="pct"/>
          </w:tcPr>
          <w:p w14:paraId="7FB88EC3"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53</w:t>
            </w:r>
          </w:p>
        </w:tc>
        <w:tc>
          <w:tcPr>
            <w:tcW w:w="672" w:type="pct"/>
          </w:tcPr>
          <w:p w14:paraId="6649BC29"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53</w:t>
            </w:r>
          </w:p>
        </w:tc>
        <w:tc>
          <w:tcPr>
            <w:tcW w:w="671" w:type="pct"/>
          </w:tcPr>
          <w:p w14:paraId="35C44B55"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54</w:t>
            </w:r>
          </w:p>
        </w:tc>
      </w:tr>
      <w:tr w:rsidR="004F2274" w:rsidRPr="0058033D" w14:paraId="650915D7" w14:textId="77777777" w:rsidTr="000471B5">
        <w:tc>
          <w:tcPr>
            <w:tcW w:w="2894" w:type="pct"/>
            <w:tcBorders>
              <w:left w:val="nil"/>
              <w:right w:val="nil"/>
            </w:tcBorders>
            <w:shd w:val="clear" w:color="auto" w:fill="D3DFEE"/>
          </w:tcPr>
          <w:p w14:paraId="5897559B"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Co-working partner’s relief</w:t>
            </w:r>
          </w:p>
        </w:tc>
        <w:tc>
          <w:tcPr>
            <w:tcW w:w="762" w:type="pct"/>
            <w:tcBorders>
              <w:left w:val="nil"/>
              <w:right w:val="nil"/>
            </w:tcBorders>
            <w:shd w:val="clear" w:color="auto" w:fill="D3DFEE"/>
          </w:tcPr>
          <w:p w14:paraId="40BC12E5"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7</w:t>
            </w:r>
          </w:p>
        </w:tc>
        <w:tc>
          <w:tcPr>
            <w:tcW w:w="672" w:type="pct"/>
            <w:tcBorders>
              <w:left w:val="nil"/>
              <w:right w:val="nil"/>
            </w:tcBorders>
            <w:shd w:val="clear" w:color="auto" w:fill="D3DFEE"/>
          </w:tcPr>
          <w:p w14:paraId="0A2DB123"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7</w:t>
            </w:r>
          </w:p>
        </w:tc>
        <w:tc>
          <w:tcPr>
            <w:tcW w:w="671" w:type="pct"/>
            <w:tcBorders>
              <w:left w:val="nil"/>
              <w:right w:val="nil"/>
            </w:tcBorders>
            <w:shd w:val="clear" w:color="auto" w:fill="D3DFEE"/>
          </w:tcPr>
          <w:p w14:paraId="15F14C4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7</w:t>
            </w:r>
          </w:p>
        </w:tc>
      </w:tr>
      <w:tr w:rsidR="004F2274" w:rsidRPr="0058033D" w14:paraId="575E5F0F" w14:textId="77777777" w:rsidTr="000471B5">
        <w:tc>
          <w:tcPr>
            <w:tcW w:w="2894" w:type="pct"/>
          </w:tcPr>
          <w:p w14:paraId="2897BA37"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Cessation relief</w:t>
            </w:r>
          </w:p>
        </w:tc>
        <w:tc>
          <w:tcPr>
            <w:tcW w:w="762" w:type="pct"/>
          </w:tcPr>
          <w:p w14:paraId="5FCF930A"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17</w:t>
            </w:r>
          </w:p>
        </w:tc>
        <w:tc>
          <w:tcPr>
            <w:tcW w:w="672" w:type="pct"/>
          </w:tcPr>
          <w:p w14:paraId="3948D647"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16</w:t>
            </w:r>
          </w:p>
        </w:tc>
        <w:tc>
          <w:tcPr>
            <w:tcW w:w="671" w:type="pct"/>
          </w:tcPr>
          <w:p w14:paraId="3A512DFF"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16</w:t>
            </w:r>
          </w:p>
        </w:tc>
      </w:tr>
      <w:tr w:rsidR="004F2274" w:rsidRPr="0058033D" w14:paraId="709EDEF4" w14:textId="77777777" w:rsidTr="000471B5">
        <w:tc>
          <w:tcPr>
            <w:tcW w:w="2894" w:type="pct"/>
            <w:tcBorders>
              <w:left w:val="nil"/>
              <w:right w:val="nil"/>
            </w:tcBorders>
            <w:shd w:val="clear" w:color="auto" w:fill="D3DFEE"/>
          </w:tcPr>
          <w:p w14:paraId="5A71B0F8"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Transfer of cessation profit</w:t>
            </w:r>
          </w:p>
        </w:tc>
        <w:tc>
          <w:tcPr>
            <w:tcW w:w="762" w:type="pct"/>
            <w:tcBorders>
              <w:left w:val="nil"/>
              <w:right w:val="nil"/>
            </w:tcBorders>
            <w:shd w:val="clear" w:color="auto" w:fill="D3DFEE"/>
          </w:tcPr>
          <w:p w14:paraId="569EF0DC"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220</w:t>
            </w:r>
          </w:p>
        </w:tc>
        <w:tc>
          <w:tcPr>
            <w:tcW w:w="672" w:type="pct"/>
            <w:tcBorders>
              <w:left w:val="nil"/>
              <w:right w:val="nil"/>
            </w:tcBorders>
            <w:shd w:val="clear" w:color="auto" w:fill="D3DFEE"/>
          </w:tcPr>
          <w:p w14:paraId="2A8B0ECD"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232</w:t>
            </w:r>
          </w:p>
        </w:tc>
        <w:tc>
          <w:tcPr>
            <w:tcW w:w="671" w:type="pct"/>
            <w:tcBorders>
              <w:left w:val="nil"/>
              <w:right w:val="nil"/>
            </w:tcBorders>
            <w:shd w:val="clear" w:color="auto" w:fill="D3DFEE"/>
          </w:tcPr>
          <w:p w14:paraId="33C39103"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245</w:t>
            </w:r>
          </w:p>
        </w:tc>
      </w:tr>
      <w:tr w:rsidR="004F2274" w:rsidRPr="0058033D" w14:paraId="64A2A86D" w14:textId="77777777" w:rsidTr="000471B5">
        <w:tc>
          <w:tcPr>
            <w:tcW w:w="2894" w:type="pct"/>
          </w:tcPr>
          <w:p w14:paraId="19DC1FB1" w14:textId="77777777" w:rsidR="004F2274" w:rsidRPr="0058033D" w:rsidRDefault="004F2274" w:rsidP="0001208A">
            <w:pPr>
              <w:spacing w:before="100" w:beforeAutospacing="1" w:after="100" w:afterAutospacing="1" w:line="360" w:lineRule="auto"/>
              <w:ind w:right="-108"/>
              <w:rPr>
                <w:b/>
                <w:bCs/>
                <w:sz w:val="16"/>
                <w:lang w:val="en-GB"/>
              </w:rPr>
            </w:pPr>
            <w:r w:rsidRPr="0058033D">
              <w:rPr>
                <w:b/>
                <w:bCs/>
                <w:sz w:val="16"/>
                <w:lang w:val="en-GB"/>
              </w:rPr>
              <w:t>Business succession facility in Inheritance Tax Act</w:t>
            </w:r>
          </w:p>
        </w:tc>
        <w:tc>
          <w:tcPr>
            <w:tcW w:w="762" w:type="pct"/>
          </w:tcPr>
          <w:p w14:paraId="2CB89641"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197</w:t>
            </w:r>
          </w:p>
        </w:tc>
        <w:tc>
          <w:tcPr>
            <w:tcW w:w="672" w:type="pct"/>
          </w:tcPr>
          <w:p w14:paraId="406903FF"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201</w:t>
            </w:r>
          </w:p>
        </w:tc>
        <w:tc>
          <w:tcPr>
            <w:tcW w:w="671" w:type="pct"/>
          </w:tcPr>
          <w:p w14:paraId="17CB12F3"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205</w:t>
            </w:r>
          </w:p>
        </w:tc>
      </w:tr>
      <w:tr w:rsidR="004F2274" w:rsidRPr="0058033D" w14:paraId="0CE958D8" w14:textId="77777777" w:rsidTr="000471B5">
        <w:tc>
          <w:tcPr>
            <w:tcW w:w="2894" w:type="pct"/>
            <w:tcBorders>
              <w:left w:val="nil"/>
              <w:right w:val="nil"/>
            </w:tcBorders>
            <w:shd w:val="clear" w:color="auto" w:fill="D3DFEE"/>
          </w:tcPr>
          <w:p w14:paraId="4F24479F"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Small-scale investment allowance</w:t>
            </w:r>
          </w:p>
        </w:tc>
        <w:tc>
          <w:tcPr>
            <w:tcW w:w="762" w:type="pct"/>
            <w:tcBorders>
              <w:left w:val="nil"/>
              <w:right w:val="nil"/>
            </w:tcBorders>
            <w:shd w:val="clear" w:color="auto" w:fill="D3DFEE"/>
          </w:tcPr>
          <w:p w14:paraId="3DDC796D"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353</w:t>
            </w:r>
          </w:p>
        </w:tc>
        <w:tc>
          <w:tcPr>
            <w:tcW w:w="672" w:type="pct"/>
            <w:tcBorders>
              <w:left w:val="nil"/>
              <w:right w:val="nil"/>
            </w:tcBorders>
            <w:shd w:val="clear" w:color="auto" w:fill="D3DFEE"/>
          </w:tcPr>
          <w:p w14:paraId="4E2B1C32"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371</w:t>
            </w:r>
          </w:p>
        </w:tc>
        <w:tc>
          <w:tcPr>
            <w:tcW w:w="671" w:type="pct"/>
            <w:tcBorders>
              <w:left w:val="nil"/>
              <w:right w:val="nil"/>
            </w:tcBorders>
            <w:shd w:val="clear" w:color="auto" w:fill="D3DFEE"/>
          </w:tcPr>
          <w:p w14:paraId="66E57C95"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397</w:t>
            </w:r>
          </w:p>
        </w:tc>
      </w:tr>
      <w:tr w:rsidR="004F2274" w:rsidRPr="0058033D" w14:paraId="6942D6F1" w14:textId="77777777" w:rsidTr="000471B5">
        <w:tc>
          <w:tcPr>
            <w:tcW w:w="2894" w:type="pct"/>
          </w:tcPr>
          <w:p w14:paraId="6F01FB7B"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Accelerated depreciation starters</w:t>
            </w:r>
          </w:p>
        </w:tc>
        <w:tc>
          <w:tcPr>
            <w:tcW w:w="762" w:type="pct"/>
          </w:tcPr>
          <w:p w14:paraId="3A19938C"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8</w:t>
            </w:r>
          </w:p>
        </w:tc>
        <w:tc>
          <w:tcPr>
            <w:tcW w:w="672" w:type="pct"/>
          </w:tcPr>
          <w:p w14:paraId="023E3110"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8</w:t>
            </w:r>
          </w:p>
        </w:tc>
        <w:tc>
          <w:tcPr>
            <w:tcW w:w="671" w:type="pct"/>
          </w:tcPr>
          <w:p w14:paraId="26ECE611"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8</w:t>
            </w:r>
          </w:p>
        </w:tc>
      </w:tr>
      <w:tr w:rsidR="004F2274" w:rsidRPr="0058033D" w14:paraId="122A8B2A" w14:textId="77777777" w:rsidTr="000471B5">
        <w:tc>
          <w:tcPr>
            <w:tcW w:w="2894" w:type="pct"/>
            <w:tcBorders>
              <w:left w:val="nil"/>
              <w:right w:val="nil"/>
            </w:tcBorders>
            <w:shd w:val="clear" w:color="auto" w:fill="D3DFEE"/>
          </w:tcPr>
          <w:p w14:paraId="443CD84E"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Accelerated depreciation for business assets</w:t>
            </w:r>
          </w:p>
        </w:tc>
        <w:tc>
          <w:tcPr>
            <w:tcW w:w="762" w:type="pct"/>
            <w:tcBorders>
              <w:left w:val="nil"/>
              <w:right w:val="nil"/>
            </w:tcBorders>
            <w:shd w:val="clear" w:color="auto" w:fill="D3DFEE"/>
          </w:tcPr>
          <w:p w14:paraId="6D4312BB"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57</w:t>
            </w:r>
          </w:p>
        </w:tc>
        <w:tc>
          <w:tcPr>
            <w:tcW w:w="672" w:type="pct"/>
            <w:tcBorders>
              <w:left w:val="nil"/>
              <w:right w:val="nil"/>
            </w:tcBorders>
            <w:shd w:val="clear" w:color="auto" w:fill="D3DFEE"/>
          </w:tcPr>
          <w:p w14:paraId="41328D70" w14:textId="77777777" w:rsidR="004F2274" w:rsidRPr="0058033D" w:rsidRDefault="004F2274" w:rsidP="00567BCC">
            <w:pPr>
              <w:spacing w:line="360" w:lineRule="auto"/>
              <w:jc w:val="right"/>
              <w:rPr>
                <w:sz w:val="16"/>
                <w:lang w:val="en-GB"/>
              </w:rPr>
            </w:pPr>
            <w:r w:rsidRPr="0058033D">
              <w:rPr>
                <w:sz w:val="16"/>
                <w:lang w:val="en-GB"/>
              </w:rPr>
              <w:t> </w:t>
            </w:r>
          </w:p>
        </w:tc>
        <w:tc>
          <w:tcPr>
            <w:tcW w:w="671" w:type="pct"/>
            <w:tcBorders>
              <w:left w:val="nil"/>
              <w:right w:val="nil"/>
            </w:tcBorders>
            <w:shd w:val="clear" w:color="auto" w:fill="D3DFEE"/>
          </w:tcPr>
          <w:p w14:paraId="4B68E51E" w14:textId="77777777" w:rsidR="004F2274" w:rsidRPr="0058033D" w:rsidRDefault="004F2274" w:rsidP="00567BCC">
            <w:pPr>
              <w:spacing w:line="360" w:lineRule="auto"/>
              <w:jc w:val="right"/>
              <w:rPr>
                <w:sz w:val="16"/>
                <w:lang w:val="en-GB"/>
              </w:rPr>
            </w:pPr>
            <w:r w:rsidRPr="0058033D">
              <w:rPr>
                <w:sz w:val="16"/>
                <w:lang w:val="en-GB"/>
              </w:rPr>
              <w:t> </w:t>
            </w:r>
          </w:p>
        </w:tc>
      </w:tr>
      <w:tr w:rsidR="004F2274" w:rsidRPr="0058033D" w14:paraId="66F13C33" w14:textId="77777777" w:rsidTr="000471B5">
        <w:tc>
          <w:tcPr>
            <w:tcW w:w="2894" w:type="pct"/>
          </w:tcPr>
          <w:p w14:paraId="052986E1"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Personal allowance for venture capital</w:t>
            </w:r>
          </w:p>
        </w:tc>
        <w:tc>
          <w:tcPr>
            <w:tcW w:w="762" w:type="pct"/>
          </w:tcPr>
          <w:p w14:paraId="25281731"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7</w:t>
            </w:r>
          </w:p>
        </w:tc>
        <w:tc>
          <w:tcPr>
            <w:tcW w:w="672" w:type="pct"/>
          </w:tcPr>
          <w:p w14:paraId="0E0E8826"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5</w:t>
            </w:r>
          </w:p>
        </w:tc>
        <w:tc>
          <w:tcPr>
            <w:tcW w:w="671" w:type="pct"/>
          </w:tcPr>
          <w:p w14:paraId="5E89C902"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3</w:t>
            </w:r>
          </w:p>
        </w:tc>
      </w:tr>
      <w:tr w:rsidR="004F2274" w:rsidRPr="0058033D" w14:paraId="7CDBCB78" w14:textId="77777777" w:rsidTr="000471B5">
        <w:tc>
          <w:tcPr>
            <w:tcW w:w="2894" w:type="pct"/>
            <w:tcBorders>
              <w:left w:val="nil"/>
              <w:right w:val="nil"/>
            </w:tcBorders>
            <w:shd w:val="clear" w:color="auto" w:fill="D3DFEE"/>
          </w:tcPr>
          <w:p w14:paraId="4F9F4EA3"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Low VAT rate on accommodation (incl. camping)</w:t>
            </w:r>
          </w:p>
        </w:tc>
        <w:tc>
          <w:tcPr>
            <w:tcW w:w="762" w:type="pct"/>
            <w:tcBorders>
              <w:left w:val="nil"/>
              <w:right w:val="nil"/>
            </w:tcBorders>
            <w:shd w:val="clear" w:color="auto" w:fill="D3DFEE"/>
          </w:tcPr>
          <w:p w14:paraId="2D98A273"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272</w:t>
            </w:r>
          </w:p>
        </w:tc>
        <w:tc>
          <w:tcPr>
            <w:tcW w:w="672" w:type="pct"/>
            <w:tcBorders>
              <w:left w:val="nil"/>
              <w:right w:val="nil"/>
            </w:tcBorders>
            <w:shd w:val="clear" w:color="auto" w:fill="D3DFEE"/>
          </w:tcPr>
          <w:p w14:paraId="539CEA72"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276</w:t>
            </w:r>
          </w:p>
        </w:tc>
        <w:tc>
          <w:tcPr>
            <w:tcW w:w="671" w:type="pct"/>
            <w:tcBorders>
              <w:left w:val="nil"/>
              <w:right w:val="nil"/>
            </w:tcBorders>
            <w:shd w:val="clear" w:color="auto" w:fill="D3DFEE"/>
          </w:tcPr>
          <w:p w14:paraId="45DAFAF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280</w:t>
            </w:r>
          </w:p>
        </w:tc>
      </w:tr>
      <w:tr w:rsidR="004F2274" w:rsidRPr="0058033D" w14:paraId="08D44BF4" w14:textId="77777777" w:rsidTr="000471B5">
        <w:tc>
          <w:tcPr>
            <w:tcW w:w="2894" w:type="pct"/>
          </w:tcPr>
          <w:p w14:paraId="1719BBB3" w14:textId="7416202B"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Low VAT rate on food in restaurants</w:t>
            </w:r>
            <w:r w:rsidR="000471B5" w:rsidRPr="0058033D">
              <w:rPr>
                <w:b/>
                <w:bCs/>
                <w:sz w:val="16"/>
                <w:lang w:val="en-GB"/>
              </w:rPr>
              <w:t xml:space="preserve"> etc.</w:t>
            </w:r>
          </w:p>
        </w:tc>
        <w:tc>
          <w:tcPr>
            <w:tcW w:w="762" w:type="pct"/>
          </w:tcPr>
          <w:p w14:paraId="5142744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1,370</w:t>
            </w:r>
          </w:p>
        </w:tc>
        <w:tc>
          <w:tcPr>
            <w:tcW w:w="672" w:type="pct"/>
          </w:tcPr>
          <w:p w14:paraId="7D74A99A"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1,386</w:t>
            </w:r>
          </w:p>
        </w:tc>
        <w:tc>
          <w:tcPr>
            <w:tcW w:w="671" w:type="pct"/>
          </w:tcPr>
          <w:p w14:paraId="7F9B6DE8"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1,404</w:t>
            </w:r>
          </w:p>
        </w:tc>
      </w:tr>
      <w:tr w:rsidR="004F2274" w:rsidRPr="0058033D" w14:paraId="5E101FEF" w14:textId="77777777" w:rsidTr="000471B5">
        <w:tc>
          <w:tcPr>
            <w:tcW w:w="2894" w:type="pct"/>
            <w:tcBorders>
              <w:left w:val="nil"/>
              <w:right w:val="nil"/>
            </w:tcBorders>
            <w:shd w:val="clear" w:color="auto" w:fill="D3DFEE"/>
          </w:tcPr>
          <w:p w14:paraId="53728E0E"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Small business VAT regulations</w:t>
            </w:r>
          </w:p>
        </w:tc>
        <w:tc>
          <w:tcPr>
            <w:tcW w:w="762" w:type="pct"/>
            <w:tcBorders>
              <w:left w:val="nil"/>
              <w:right w:val="nil"/>
            </w:tcBorders>
            <w:shd w:val="clear" w:color="auto" w:fill="D3DFEE"/>
          </w:tcPr>
          <w:p w14:paraId="6CC094B0"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129</w:t>
            </w:r>
          </w:p>
        </w:tc>
        <w:tc>
          <w:tcPr>
            <w:tcW w:w="672" w:type="pct"/>
            <w:tcBorders>
              <w:left w:val="nil"/>
              <w:right w:val="nil"/>
            </w:tcBorders>
            <w:shd w:val="clear" w:color="auto" w:fill="D3DFEE"/>
          </w:tcPr>
          <w:p w14:paraId="33150977"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136</w:t>
            </w:r>
          </w:p>
        </w:tc>
        <w:tc>
          <w:tcPr>
            <w:tcW w:w="671" w:type="pct"/>
            <w:tcBorders>
              <w:left w:val="nil"/>
              <w:right w:val="nil"/>
            </w:tcBorders>
            <w:shd w:val="clear" w:color="auto" w:fill="D3DFEE"/>
          </w:tcPr>
          <w:p w14:paraId="4918F8DD"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143</w:t>
            </w:r>
          </w:p>
        </w:tc>
      </w:tr>
      <w:tr w:rsidR="004F2274" w:rsidRPr="0058033D" w14:paraId="001B87E5" w14:textId="77777777" w:rsidTr="000471B5">
        <w:tc>
          <w:tcPr>
            <w:tcW w:w="2894" w:type="pct"/>
          </w:tcPr>
          <w:p w14:paraId="2BA5F203"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Low duty rate on small breweries</w:t>
            </w:r>
          </w:p>
        </w:tc>
        <w:tc>
          <w:tcPr>
            <w:tcW w:w="762" w:type="pct"/>
          </w:tcPr>
          <w:p w14:paraId="18421CE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w:t>
            </w:r>
          </w:p>
        </w:tc>
        <w:tc>
          <w:tcPr>
            <w:tcW w:w="672" w:type="pct"/>
          </w:tcPr>
          <w:p w14:paraId="3B5CA702"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w:t>
            </w:r>
          </w:p>
        </w:tc>
        <w:tc>
          <w:tcPr>
            <w:tcW w:w="671" w:type="pct"/>
          </w:tcPr>
          <w:p w14:paraId="6C7FDBA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w:t>
            </w:r>
          </w:p>
        </w:tc>
      </w:tr>
      <w:tr w:rsidR="004F2274" w:rsidRPr="0058033D" w14:paraId="2E4AE6A3" w14:textId="77777777" w:rsidTr="000471B5">
        <w:tc>
          <w:tcPr>
            <w:tcW w:w="2894" w:type="pct"/>
            <w:tcBorders>
              <w:left w:val="nil"/>
              <w:bottom w:val="single" w:sz="8" w:space="0" w:color="4F81BD"/>
              <w:right w:val="nil"/>
            </w:tcBorders>
            <w:shd w:val="clear" w:color="auto" w:fill="D3DFEE"/>
          </w:tcPr>
          <w:p w14:paraId="3B38FC09" w14:textId="77777777" w:rsidR="004F2274" w:rsidRPr="0058033D" w:rsidRDefault="004F2274" w:rsidP="00567BCC">
            <w:pPr>
              <w:spacing w:before="100" w:beforeAutospacing="1" w:after="100" w:afterAutospacing="1" w:line="360" w:lineRule="auto"/>
              <w:rPr>
                <w:b/>
                <w:bCs/>
                <w:sz w:val="16"/>
                <w:lang w:val="en-GB"/>
              </w:rPr>
            </w:pPr>
            <w:r w:rsidRPr="0058033D">
              <w:rPr>
                <w:b/>
                <w:bCs/>
                <w:sz w:val="16"/>
                <w:lang w:val="en-GB"/>
              </w:rPr>
              <w:t>Tax exemption for business transfers within a family</w:t>
            </w:r>
          </w:p>
        </w:tc>
        <w:tc>
          <w:tcPr>
            <w:tcW w:w="762" w:type="pct"/>
            <w:tcBorders>
              <w:left w:val="nil"/>
              <w:bottom w:val="single" w:sz="8" w:space="0" w:color="4F81BD"/>
              <w:right w:val="nil"/>
            </w:tcBorders>
            <w:shd w:val="clear" w:color="auto" w:fill="D3DFEE"/>
          </w:tcPr>
          <w:p w14:paraId="1429C6AE"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13</w:t>
            </w:r>
          </w:p>
        </w:tc>
        <w:tc>
          <w:tcPr>
            <w:tcW w:w="672" w:type="pct"/>
            <w:tcBorders>
              <w:left w:val="nil"/>
              <w:bottom w:val="single" w:sz="8" w:space="0" w:color="4F81BD"/>
              <w:right w:val="nil"/>
            </w:tcBorders>
            <w:shd w:val="clear" w:color="auto" w:fill="D3DFEE"/>
          </w:tcPr>
          <w:p w14:paraId="21B7C82C"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16</w:t>
            </w:r>
          </w:p>
        </w:tc>
        <w:tc>
          <w:tcPr>
            <w:tcW w:w="671" w:type="pct"/>
            <w:tcBorders>
              <w:left w:val="nil"/>
              <w:bottom w:val="single" w:sz="8" w:space="0" w:color="4F81BD"/>
              <w:right w:val="nil"/>
            </w:tcBorders>
            <w:shd w:val="clear" w:color="auto" w:fill="D3DFEE"/>
          </w:tcPr>
          <w:p w14:paraId="2286F3FD" w14:textId="77777777" w:rsidR="004F2274" w:rsidRPr="0058033D" w:rsidRDefault="004F2274" w:rsidP="00567BCC">
            <w:pPr>
              <w:spacing w:before="100" w:beforeAutospacing="1" w:after="100" w:afterAutospacing="1" w:line="360" w:lineRule="auto"/>
              <w:jc w:val="right"/>
              <w:rPr>
                <w:sz w:val="16"/>
                <w:lang w:val="en-GB"/>
              </w:rPr>
            </w:pPr>
            <w:r w:rsidRPr="0058033D">
              <w:rPr>
                <w:sz w:val="16"/>
                <w:lang w:val="en-GB"/>
              </w:rPr>
              <w:t>16</w:t>
            </w:r>
          </w:p>
        </w:tc>
      </w:tr>
    </w:tbl>
    <w:p w14:paraId="0A7EB7C3" w14:textId="77777777" w:rsidR="004F2274" w:rsidRPr="0058033D" w:rsidRDefault="004F2274" w:rsidP="00D73C59">
      <w:pPr>
        <w:rPr>
          <w:lang w:val="en-GB"/>
        </w:rPr>
      </w:pPr>
    </w:p>
    <w:p w14:paraId="3A5C5E53" w14:textId="77777777" w:rsidR="004F2274" w:rsidRPr="0058033D" w:rsidRDefault="004F2274" w:rsidP="00D73C59">
      <w:pPr>
        <w:rPr>
          <w:sz w:val="16"/>
          <w:lang w:val="en-GB"/>
        </w:rPr>
      </w:pPr>
      <w:r w:rsidRPr="0058033D">
        <w:rPr>
          <w:sz w:val="16"/>
          <w:lang w:val="en-GB"/>
        </w:rPr>
        <w:t>Source: State Budget 2015, Ministry of Economic Affairs, policy item 13.</w:t>
      </w:r>
    </w:p>
    <w:p w14:paraId="049B6F9F" w14:textId="77777777" w:rsidR="004F2274" w:rsidRDefault="004F2274" w:rsidP="00810C93">
      <w:pPr>
        <w:rPr>
          <w:lang w:val="en-GB"/>
        </w:rPr>
      </w:pPr>
    </w:p>
    <w:p w14:paraId="53EAB681" w14:textId="77777777" w:rsidR="001B564F" w:rsidRPr="0058033D" w:rsidRDefault="001B564F" w:rsidP="00810C93">
      <w:pPr>
        <w:rPr>
          <w:lang w:val="en-GB"/>
        </w:rPr>
      </w:pPr>
      <w:bookmarkStart w:id="0" w:name="_GoBack"/>
      <w:bookmarkEnd w:id="0"/>
    </w:p>
    <w:sectPr w:rsidR="001B564F" w:rsidRPr="0058033D" w:rsidSect="00CA7FD4">
      <w:headerReference w:type="default" r:id="rId10"/>
      <w:footerReference w:type="default" r:id="rId11"/>
      <w:headerReference w:type="first" r:id="rId12"/>
      <w:footerReference w:type="first" r:id="rId13"/>
      <w:pgSz w:w="11906" w:h="16838" w:code="9"/>
      <w:pgMar w:top="2398" w:right="2818" w:bottom="1304" w:left="1559" w:header="2398" w:footer="561" w:gutter="0"/>
      <w:paperSrc w:first="261"/>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027E0" w14:textId="77777777" w:rsidR="00DE7BB7" w:rsidRDefault="00DE7BB7">
      <w:r>
        <w:separator/>
      </w:r>
    </w:p>
    <w:p w14:paraId="32568B93" w14:textId="77777777" w:rsidR="00DE7BB7" w:rsidRDefault="00DE7BB7"/>
  </w:endnote>
  <w:endnote w:type="continuationSeparator" w:id="0">
    <w:p w14:paraId="43B15C95" w14:textId="77777777" w:rsidR="00DE7BB7" w:rsidRDefault="00DE7BB7">
      <w:r>
        <w:continuationSeparator/>
      </w:r>
    </w:p>
    <w:p w14:paraId="0639A5E3" w14:textId="77777777" w:rsidR="00DE7BB7" w:rsidRDefault="00DE7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KIX Barcode">
    <w:altName w:val="Courier New"/>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7E3F0" w14:textId="77777777" w:rsidR="00A47959" w:rsidRPr="00BC3B53" w:rsidRDefault="00A47959" w:rsidP="008C356D">
    <w:pPr>
      <w:pStyle w:val="Voettekst"/>
      <w:spacing w:line="240" w:lineRule="auto"/>
      <w:rPr>
        <w:sz w:val="2"/>
      </w:rPr>
    </w:pPr>
  </w:p>
  <w:tbl>
    <w:tblPr>
      <w:tblW w:w="9757" w:type="dxa"/>
      <w:tblLayout w:type="fixed"/>
      <w:tblCellMar>
        <w:left w:w="0" w:type="dxa"/>
        <w:right w:w="0" w:type="dxa"/>
      </w:tblCellMar>
      <w:tblLook w:val="0000" w:firstRow="0" w:lastRow="0" w:firstColumn="0" w:lastColumn="0" w:noHBand="0" w:noVBand="0"/>
    </w:tblPr>
    <w:tblGrid>
      <w:gridCol w:w="7601"/>
      <w:gridCol w:w="2156"/>
    </w:tblGrid>
    <w:tr w:rsidR="00A47959" w14:paraId="29B296D7" w14:textId="77777777">
      <w:trPr>
        <w:trHeight w:hRule="exact" w:val="240"/>
      </w:trPr>
      <w:tc>
        <w:tcPr>
          <w:tcW w:w="7601" w:type="dxa"/>
        </w:tcPr>
        <w:p w14:paraId="08004449" w14:textId="77777777" w:rsidR="00A47959" w:rsidRDefault="00A47959" w:rsidP="003F1F6B">
          <w:pPr>
            <w:pStyle w:val="Huisstijl-Rubricering"/>
            <w:rPr>
              <w:noProof w:val="0"/>
            </w:rPr>
          </w:pPr>
        </w:p>
      </w:tc>
      <w:tc>
        <w:tcPr>
          <w:tcW w:w="2156" w:type="dxa"/>
        </w:tcPr>
        <w:p w14:paraId="0D484CAF" w14:textId="77777777" w:rsidR="00A47959" w:rsidRPr="00645414" w:rsidRDefault="00A47959" w:rsidP="000854C1">
          <w:pPr>
            <w:pStyle w:val="Huisstijl-Paginanummering"/>
            <w:rPr>
              <w:noProof w:val="0"/>
            </w:rPr>
          </w:pPr>
          <w:r>
            <w:rPr>
              <w:noProof w:val="0"/>
            </w:rPr>
            <w:t>Page</w:t>
          </w:r>
          <w:r w:rsidRPr="00645414">
            <w:rPr>
              <w:noProof w:val="0"/>
            </w:rPr>
            <w:t xml:space="preserve"> </w:t>
          </w:r>
          <w:r>
            <w:fldChar w:fldCharType="begin"/>
          </w:r>
          <w:r>
            <w:instrText xml:space="preserve"> PAGE   \* MERGEFORMAT </w:instrText>
          </w:r>
          <w:r>
            <w:fldChar w:fldCharType="separate"/>
          </w:r>
          <w:r w:rsidR="001B564F">
            <w:t>27</w:t>
          </w:r>
          <w:r>
            <w:fldChar w:fldCharType="end"/>
          </w:r>
          <w:r w:rsidRPr="00645414">
            <w:rPr>
              <w:noProof w:val="0"/>
            </w:rPr>
            <w:t xml:space="preserve"> </w:t>
          </w:r>
          <w:r>
            <w:rPr>
              <w:noProof w:val="0"/>
            </w:rPr>
            <w:t>of</w:t>
          </w:r>
          <w:r w:rsidRPr="00645414">
            <w:rPr>
              <w:noProof w:val="0"/>
            </w:rPr>
            <w:t xml:space="preserve"> </w:t>
          </w:r>
          <w:r w:rsidR="001B564F">
            <w:fldChar w:fldCharType="begin"/>
          </w:r>
          <w:r w:rsidR="001B564F">
            <w:instrText xml:space="preserve"> SECTIONPAGES   \* MERGEFORMAT </w:instrText>
          </w:r>
          <w:r w:rsidR="001B564F">
            <w:fldChar w:fldCharType="separate"/>
          </w:r>
          <w:r w:rsidR="001B564F">
            <w:t>27</w:t>
          </w:r>
          <w:r w:rsidR="001B564F">
            <w:fldChar w:fldCharType="end"/>
          </w:r>
        </w:p>
      </w:tc>
    </w:tr>
  </w:tbl>
  <w:p w14:paraId="43517199" w14:textId="77777777" w:rsidR="00A47959" w:rsidRPr="00BC3B53" w:rsidRDefault="00A47959" w:rsidP="00BC3B53">
    <w:pPr>
      <w:pStyle w:val="Voettekst"/>
      <w:spacing w:line="240"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1" w:type="dxa"/>
      <w:tblLayout w:type="fixed"/>
      <w:tblCellMar>
        <w:left w:w="0" w:type="dxa"/>
        <w:right w:w="0" w:type="dxa"/>
      </w:tblCellMar>
      <w:tblLook w:val="0000" w:firstRow="0" w:lastRow="0" w:firstColumn="0" w:lastColumn="0" w:noHBand="0" w:noVBand="0"/>
    </w:tblPr>
    <w:tblGrid>
      <w:gridCol w:w="7601"/>
      <w:gridCol w:w="2170"/>
    </w:tblGrid>
    <w:tr w:rsidR="00A47959" w14:paraId="20DA8E2D" w14:textId="77777777">
      <w:trPr>
        <w:trHeight w:hRule="exact" w:val="240"/>
      </w:trPr>
      <w:tc>
        <w:tcPr>
          <w:tcW w:w="7601" w:type="dxa"/>
        </w:tcPr>
        <w:p w14:paraId="4AE9E3C5" w14:textId="77777777" w:rsidR="00A47959" w:rsidRDefault="00A47959" w:rsidP="008C356D">
          <w:pPr>
            <w:pStyle w:val="Huisstijl-Rubricering"/>
            <w:rPr>
              <w:noProof w:val="0"/>
            </w:rPr>
          </w:pPr>
        </w:p>
      </w:tc>
      <w:tc>
        <w:tcPr>
          <w:tcW w:w="2170" w:type="dxa"/>
        </w:tcPr>
        <w:p w14:paraId="09D3E3E5" w14:textId="77777777" w:rsidR="00A47959" w:rsidRPr="00ED539E" w:rsidRDefault="00A47959" w:rsidP="000854C1">
          <w:pPr>
            <w:pStyle w:val="Huisstijl-Paginanummering"/>
            <w:rPr>
              <w:noProof w:val="0"/>
            </w:rPr>
          </w:pPr>
          <w:r>
            <w:rPr>
              <w:noProof w:val="0"/>
            </w:rPr>
            <w:t>Page</w:t>
          </w:r>
          <w:r w:rsidRPr="00645414">
            <w:rPr>
              <w:noProof w:val="0"/>
            </w:rPr>
            <w:t xml:space="preserve"> </w:t>
          </w:r>
          <w:r>
            <w:fldChar w:fldCharType="begin"/>
          </w:r>
          <w:r>
            <w:instrText xml:space="preserve"> PAGE   \* MERGEFORMAT </w:instrText>
          </w:r>
          <w:r>
            <w:fldChar w:fldCharType="separate"/>
          </w:r>
          <w:r w:rsidR="001B564F">
            <w:t>1</w:t>
          </w:r>
          <w:r>
            <w:fldChar w:fldCharType="end"/>
          </w:r>
          <w:r w:rsidRPr="00ED539E">
            <w:rPr>
              <w:rStyle w:val="Huisstijl-GegevenCharChar"/>
              <w:noProof w:val="0"/>
              <w:sz w:val="13"/>
            </w:rPr>
            <w:t xml:space="preserve"> </w:t>
          </w:r>
          <w:r>
            <w:rPr>
              <w:noProof w:val="0"/>
            </w:rPr>
            <w:t xml:space="preserve">of </w:t>
          </w:r>
          <w:r w:rsidR="001B564F">
            <w:fldChar w:fldCharType="begin"/>
          </w:r>
          <w:r w:rsidR="001B564F">
            <w:instrText xml:space="preserve"> SECTIONPAGES   \* MERGEFORMAT </w:instrText>
          </w:r>
          <w:r w:rsidR="001B564F">
            <w:fldChar w:fldCharType="separate"/>
          </w:r>
          <w:r w:rsidR="001B564F">
            <w:t>27</w:t>
          </w:r>
          <w:r w:rsidR="001B564F">
            <w:fldChar w:fldCharType="end"/>
          </w:r>
        </w:p>
      </w:tc>
    </w:tr>
  </w:tbl>
  <w:p w14:paraId="7B8D20D9" w14:textId="77777777" w:rsidR="00A47959" w:rsidRPr="00BC3B53" w:rsidRDefault="00A47959" w:rsidP="008C356D">
    <w:pPr>
      <w:pStyle w:val="Voettekst"/>
      <w:spacing w:line="240" w:lineRule="auto"/>
      <w:rPr>
        <w:sz w:val="2"/>
      </w:rPr>
    </w:pPr>
  </w:p>
  <w:p w14:paraId="70321020" w14:textId="77777777" w:rsidR="00A47959" w:rsidRPr="00BC3B53" w:rsidRDefault="00A47959" w:rsidP="00023E9A">
    <w:pPr>
      <w:pStyle w:val="Voettekst"/>
      <w:spacing w:line="240"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FAB59" w14:textId="77777777" w:rsidR="00DE7BB7" w:rsidRDefault="00DE7BB7">
      <w:r>
        <w:separator/>
      </w:r>
    </w:p>
    <w:p w14:paraId="335D5312" w14:textId="77777777" w:rsidR="00DE7BB7" w:rsidRDefault="00DE7BB7"/>
  </w:footnote>
  <w:footnote w:type="continuationSeparator" w:id="0">
    <w:p w14:paraId="61ACB4BC" w14:textId="77777777" w:rsidR="00DE7BB7" w:rsidRDefault="00DE7BB7">
      <w:r>
        <w:continuationSeparator/>
      </w:r>
    </w:p>
    <w:p w14:paraId="399E7201" w14:textId="77777777" w:rsidR="00DE7BB7" w:rsidRDefault="00DE7BB7"/>
  </w:footnote>
  <w:footnote w:id="1">
    <w:p w14:paraId="18C6DBFD" w14:textId="3433C929" w:rsidR="00A47959" w:rsidRDefault="00A47959" w:rsidP="00DB6E67">
      <w:pPr>
        <w:pStyle w:val="Voetnoottekst"/>
        <w:spacing w:line="180" w:lineRule="atLeast"/>
      </w:pPr>
      <w:r w:rsidRPr="00827ADC">
        <w:rPr>
          <w:rStyle w:val="Voetnootmarkering"/>
          <w:rFonts w:ascii="Verdana" w:hAnsi="Verdana"/>
          <w:sz w:val="13"/>
        </w:rPr>
        <w:footnoteRef/>
      </w:r>
      <w:r w:rsidRPr="00827ADC">
        <w:rPr>
          <w:rFonts w:ascii="Verdana" w:hAnsi="Verdana"/>
          <w:sz w:val="13"/>
        </w:rPr>
        <w:t xml:space="preserve"> I gave you information on this in written answers to questions on the 2013 Annual Report (Parliamentary Papers II, 2013/2014, 33 942, No</w:t>
      </w:r>
      <w:r>
        <w:rPr>
          <w:rFonts w:ascii="Verdana" w:hAnsi="Verdana"/>
          <w:sz w:val="13"/>
        </w:rPr>
        <w:t xml:space="preserve">. 10, p. </w:t>
      </w:r>
      <w:r w:rsidRPr="00827ADC">
        <w:rPr>
          <w:rFonts w:ascii="Verdana" w:hAnsi="Verdana"/>
          <w:sz w:val="13"/>
        </w:rPr>
        <w:t>3) and in my letter of 13 October 2014 (Parliamentary Papers II, 2014/2015, 30 991, No. 12).</w:t>
      </w:r>
    </w:p>
  </w:footnote>
  <w:footnote w:id="2">
    <w:p w14:paraId="1FF23FA5" w14:textId="442739F4" w:rsidR="00A47959" w:rsidRPr="00C55164" w:rsidRDefault="00A47959" w:rsidP="00DB6E67">
      <w:pPr>
        <w:pStyle w:val="Voetnoottekst"/>
        <w:spacing w:line="180" w:lineRule="atLeast"/>
      </w:pPr>
      <w:r w:rsidRPr="00827ADC">
        <w:rPr>
          <w:rStyle w:val="Voetnootmarkering"/>
          <w:rFonts w:ascii="Verdana" w:hAnsi="Verdana"/>
          <w:sz w:val="13"/>
        </w:rPr>
        <w:footnoteRef/>
      </w:r>
      <w:r w:rsidRPr="00827ADC">
        <w:rPr>
          <w:rFonts w:ascii="Verdana" w:hAnsi="Verdana"/>
          <w:sz w:val="13"/>
        </w:rPr>
        <w:t xml:space="preserve"> This external monitoring committee was chaired by </w:t>
      </w:r>
      <w:r w:rsidRPr="00C55164">
        <w:rPr>
          <w:rFonts w:ascii="Verdana" w:hAnsi="Verdana"/>
          <w:sz w:val="13"/>
        </w:rPr>
        <w:t xml:space="preserve">Prof. Jarig van Sinderen (ACM/EUR-FEW), with external specialists Prof. Henk Volberda (EUR-RSM), Prof. Bart Verspagen (UNU-MERIT), Dr Bas Straathof (CPB), Dr Marcel Kleijn (AWTI) and administrative representation from the ministries of Economic Affairs and Finance. </w:t>
      </w:r>
    </w:p>
  </w:footnote>
  <w:footnote w:id="3">
    <w:p w14:paraId="2B806267" w14:textId="6B04BE39"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The background study includes a written statement from the monitoring committee expressing its opinion that the study was of good quality and performed in accordance with the provisions of the old and new RPE of the Ministry of Finance. The monitoring committee also concurs with the study’s conclusions.</w:t>
      </w:r>
    </w:p>
  </w:footnote>
  <w:footnote w:id="4">
    <w:p w14:paraId="774BCB80" w14:textId="50E7741F"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w:t>
      </w:r>
      <w:r w:rsidRPr="00C55164">
        <w:rPr>
          <w:rFonts w:ascii="Verdana" w:hAnsi="Verdana"/>
          <w:i/>
          <w:sz w:val="13"/>
        </w:rPr>
        <w:t>OECD Reviews of Innovation Policy: Netherlands 2014</w:t>
      </w:r>
      <w:r w:rsidRPr="00C55164">
        <w:rPr>
          <w:rFonts w:ascii="Verdana" w:hAnsi="Verdana"/>
          <w:sz w:val="13"/>
        </w:rPr>
        <w:t xml:space="preserve">. </w:t>
      </w:r>
      <w:hyperlink r:id="rId1" w:history="1">
        <w:r w:rsidRPr="00C55164">
          <w:rPr>
            <w:rStyle w:val="Hyperlink"/>
            <w:rFonts w:ascii="Verdana" w:hAnsi="Verdana"/>
            <w:sz w:val="13"/>
          </w:rPr>
          <w:t>http://www.oecd-ilibrary.org/science-and-technology/oecd-reviews-of-innovation-policy-netherlands-2014_9789264213159-en</w:t>
        </w:r>
      </w:hyperlink>
    </w:p>
  </w:footnote>
  <w:footnote w:id="5">
    <w:p w14:paraId="31CAF5A5" w14:textId="0CEE4B14"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The </w:t>
      </w:r>
      <w:r w:rsidRPr="00C55164">
        <w:rPr>
          <w:rFonts w:ascii="Verdana" w:hAnsi="Verdana"/>
          <w:i/>
          <w:sz w:val="13"/>
        </w:rPr>
        <w:t>Monitor Bedrijvenbeleid</w:t>
      </w:r>
      <w:r w:rsidRPr="00C55164">
        <w:rPr>
          <w:rFonts w:ascii="Verdana" w:hAnsi="Verdana"/>
          <w:sz w:val="13"/>
        </w:rPr>
        <w:t xml:space="preserve"> is available via </w:t>
      </w:r>
      <w:hyperlink r:id="rId2" w:history="1">
        <w:r w:rsidRPr="00C55164">
          <w:rPr>
            <w:rStyle w:val="Hyperlink"/>
            <w:rFonts w:ascii="Verdana" w:hAnsi="Verdana"/>
            <w:sz w:val="13"/>
          </w:rPr>
          <w:t>www.rvo.nl</w:t>
        </w:r>
      </w:hyperlink>
      <w:r w:rsidRPr="00C55164">
        <w:rPr>
          <w:rFonts w:ascii="Verdana" w:hAnsi="Verdana"/>
          <w:sz w:val="13"/>
        </w:rPr>
        <w:t xml:space="preserve">, the WTI2 report via </w:t>
      </w:r>
      <w:hyperlink r:id="rId3" w:history="1">
        <w:r w:rsidRPr="00C55164">
          <w:rPr>
            <w:rStyle w:val="Hyperlink"/>
            <w:rFonts w:ascii="Verdana" w:hAnsi="Verdana"/>
            <w:sz w:val="13"/>
          </w:rPr>
          <w:t>www.wti2.nl</w:t>
        </w:r>
      </w:hyperlink>
      <w:r w:rsidRPr="00C55164">
        <w:rPr>
          <w:rFonts w:ascii="Verdana" w:hAnsi="Verdana"/>
          <w:sz w:val="13"/>
        </w:rPr>
        <w:t xml:space="preserve">. </w:t>
      </w:r>
    </w:p>
  </w:footnote>
  <w:footnote w:id="6">
    <w:p w14:paraId="523E966E" w14:textId="6920B369"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For this reason, the government’s ‘Groene Groei’ strategy, implemented interdepartmentally, with EZ having responsibility for control, is not part of this policy review. A separate interim report will be issued on this in June 2015.</w:t>
      </w:r>
    </w:p>
  </w:footnote>
  <w:footnote w:id="7">
    <w:p w14:paraId="461DCB7C" w14:textId="410E8F04"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Ministry of Economic Affairs, </w:t>
      </w:r>
      <w:r w:rsidRPr="00C55164">
        <w:rPr>
          <w:rFonts w:ascii="Verdana" w:hAnsi="Verdana"/>
          <w:i/>
          <w:sz w:val="13"/>
        </w:rPr>
        <w:t>Monitor Bedrijvenbeleid 2014</w:t>
      </w:r>
      <w:r w:rsidRPr="00C55164">
        <w:rPr>
          <w:rFonts w:ascii="Verdana" w:hAnsi="Verdana"/>
          <w:sz w:val="13"/>
        </w:rPr>
        <w:t>, The Hague 2014.</w:t>
      </w:r>
    </w:p>
  </w:footnote>
  <w:footnote w:id="8">
    <w:p w14:paraId="00141F81" w14:textId="4F7BF131"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for example: Faems, D., Looy, B. van &amp; Debackere, K. (2005). Interorganizational Collaboration and Innovation: Toward a Portfolio Approach. </w:t>
      </w:r>
      <w:r w:rsidRPr="00C55164">
        <w:rPr>
          <w:rFonts w:ascii="Verdana" w:hAnsi="Verdana"/>
          <w:i/>
          <w:sz w:val="13"/>
        </w:rPr>
        <w:t>Journal of Product Innovation Management</w:t>
      </w:r>
      <w:r w:rsidRPr="00C55164">
        <w:rPr>
          <w:rFonts w:ascii="Verdana" w:hAnsi="Verdana"/>
          <w:sz w:val="13"/>
        </w:rPr>
        <w:t xml:space="preserve">, Vol. 22, pp. 238-250; Hulsing, J.P.J. de &amp; Hulsink, W. (2010). Patterns of innovation networking in Dutch small firms. </w:t>
      </w:r>
      <w:r w:rsidRPr="00C55164">
        <w:rPr>
          <w:rFonts w:ascii="Verdana" w:hAnsi="Verdana"/>
          <w:i/>
          <w:sz w:val="13"/>
        </w:rPr>
        <w:t>EIM Research Reports</w:t>
      </w:r>
      <w:r w:rsidRPr="00C55164">
        <w:rPr>
          <w:rFonts w:ascii="Verdana" w:hAnsi="Verdana"/>
          <w:sz w:val="13"/>
        </w:rPr>
        <w:t>, H201002.</w:t>
      </w:r>
    </w:p>
  </w:footnote>
  <w:footnote w:id="9">
    <w:p w14:paraId="1F0947F8" w14:textId="5B561503"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This is set out in figures in the </w:t>
      </w:r>
      <w:r w:rsidRPr="00C55164">
        <w:rPr>
          <w:rFonts w:ascii="Verdana" w:hAnsi="Verdana"/>
          <w:i/>
          <w:sz w:val="13"/>
        </w:rPr>
        <w:t>Monitor Bedrijvenbeleid</w:t>
      </w:r>
      <w:r w:rsidRPr="00C55164">
        <w:rPr>
          <w:rFonts w:ascii="Verdana" w:hAnsi="Verdana"/>
          <w:sz w:val="13"/>
        </w:rPr>
        <w:t xml:space="preserve"> </w:t>
      </w:r>
      <w:r w:rsidRPr="00C55164">
        <w:rPr>
          <w:rFonts w:ascii="Verdana" w:hAnsi="Verdana"/>
          <w:i/>
          <w:sz w:val="13"/>
        </w:rPr>
        <w:t>2014</w:t>
      </w:r>
      <w:r w:rsidRPr="00C55164">
        <w:rPr>
          <w:rFonts w:ascii="Verdana" w:hAnsi="Verdana"/>
          <w:sz w:val="13"/>
        </w:rPr>
        <w:t xml:space="preserve"> (see note 7). See also ‘Nederlandse oplossingen voor wereldwijde uitdagingen’, annexe to the letter from Minister Kamp and State Secretary Dekker to the House in November 2013 (TK 2013-2014, 32637, No. 70).</w:t>
      </w:r>
    </w:p>
  </w:footnote>
  <w:footnote w:id="10">
    <w:p w14:paraId="421AC019" w14:textId="5B52A7DE"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Parts were previously in the budget of Education, Culture and Science, Infrastructure and Environment and in other items in the EZ budget. See also the notes to annexe 1.</w:t>
      </w:r>
    </w:p>
  </w:footnote>
  <w:footnote w:id="11">
    <w:p w14:paraId="17485FBE" w14:textId="77777777"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EC DG for Taxation and Customs Union (2014), </w:t>
      </w:r>
      <w:r w:rsidRPr="00C55164">
        <w:rPr>
          <w:rFonts w:ascii="Verdana" w:hAnsi="Verdana"/>
          <w:i/>
          <w:sz w:val="13"/>
        </w:rPr>
        <w:t>A Study on R&amp;D Tax Incentives</w:t>
      </w:r>
      <w:r w:rsidRPr="00C55164">
        <w:rPr>
          <w:rFonts w:ascii="Verdana" w:hAnsi="Verdana"/>
          <w:sz w:val="13"/>
        </w:rPr>
        <w:t xml:space="preserve">. Final report. Taxation papers, Working paper no. 52 – 2014, CPB in consortium with CAPP, CASE, CEPII, ETLA, IFO, IFS, HIS, European Union, Luxembourg. </w:t>
      </w:r>
    </w:p>
  </w:footnote>
  <w:footnote w:id="12">
    <w:p w14:paraId="4E8DBBA3" w14:textId="4F4E76E3" w:rsidR="00A47959" w:rsidRPr="00A47959" w:rsidRDefault="00A47959" w:rsidP="00DB6E67">
      <w:pPr>
        <w:pStyle w:val="Voetnoottekst"/>
        <w:spacing w:line="180" w:lineRule="atLeast"/>
        <w:rPr>
          <w:lang w:val="nl-NL"/>
        </w:rPr>
      </w:pPr>
      <w:r w:rsidRPr="00C55164">
        <w:rPr>
          <w:rStyle w:val="Voetnootmarkering"/>
          <w:rFonts w:ascii="Verdana" w:hAnsi="Verdana"/>
          <w:sz w:val="13"/>
        </w:rPr>
        <w:footnoteRef/>
      </w:r>
      <w:r w:rsidRPr="00A47959">
        <w:rPr>
          <w:rFonts w:ascii="Verdana" w:hAnsi="Verdana"/>
          <w:sz w:val="13"/>
          <w:lang w:val="nl-NL"/>
        </w:rPr>
        <w:t xml:space="preserve"> See KNAW ‘Waarde van Wetenschap’: </w:t>
      </w:r>
      <w:hyperlink r:id="rId4" w:history="1">
        <w:r w:rsidRPr="00A47959">
          <w:rPr>
            <w:rStyle w:val="Hyperlink"/>
            <w:rFonts w:ascii="Verdana" w:hAnsi="Verdana"/>
            <w:sz w:val="13"/>
            <w:lang w:val="nl-NL"/>
          </w:rPr>
          <w:t>https://www.knaw.nl/nl/adviezen-/adviezen-en-verkenningen/recent-afgeronde-adviezen/waarde-van-wetenschap</w:t>
        </w:r>
      </w:hyperlink>
      <w:r w:rsidRPr="00A47959">
        <w:rPr>
          <w:rFonts w:ascii="Verdana" w:hAnsi="Verdana"/>
          <w:sz w:val="13"/>
          <w:lang w:val="nl-NL"/>
        </w:rPr>
        <w:t>.</w:t>
      </w:r>
    </w:p>
  </w:footnote>
  <w:footnote w:id="13">
    <w:p w14:paraId="2E643E39" w14:textId="03155D8A" w:rsidR="00A47959" w:rsidRPr="00C55164" w:rsidRDefault="00A47959" w:rsidP="00DB6E67">
      <w:pPr>
        <w:pStyle w:val="Voetnoottekst"/>
        <w:spacing w:line="180" w:lineRule="atLeast"/>
      </w:pPr>
      <w:r w:rsidRPr="00C55164">
        <w:rPr>
          <w:rStyle w:val="Voetnootmarkering"/>
          <w:rFonts w:ascii="Verdana" w:hAnsi="Verdana"/>
          <w:sz w:val="13"/>
        </w:rPr>
        <w:footnoteRef/>
      </w:r>
      <w:r w:rsidRPr="00A47959">
        <w:rPr>
          <w:rFonts w:ascii="Verdana" w:hAnsi="Verdana"/>
          <w:sz w:val="13"/>
          <w:lang w:val="nl-NL"/>
        </w:rPr>
        <w:t xml:space="preserve"> Theeuwes Committee, ‘</w:t>
      </w:r>
      <w:r w:rsidRPr="00A47959">
        <w:rPr>
          <w:rFonts w:ascii="Verdana" w:hAnsi="Verdana"/>
          <w:i/>
          <w:sz w:val="13"/>
          <w:lang w:val="nl-NL"/>
        </w:rPr>
        <w:t>Durf te meten: Eindrapport Expertwerkgroep Effectmeting</w:t>
      </w:r>
      <w:r w:rsidRPr="00A47959">
        <w:rPr>
          <w:rFonts w:ascii="Verdana" w:hAnsi="Verdana"/>
          <w:sz w:val="13"/>
          <w:lang w:val="nl-NL"/>
        </w:rPr>
        <w:t xml:space="preserve">’, 2012. </w:t>
      </w:r>
      <w:r w:rsidRPr="00C55164">
        <w:rPr>
          <w:rFonts w:ascii="Verdana" w:hAnsi="Verdana"/>
          <w:sz w:val="13"/>
        </w:rPr>
        <w:t>The implementation of these recommendations are referred to below as the ‘Theeuwes approach’.</w:t>
      </w:r>
    </w:p>
  </w:footnote>
  <w:footnote w:id="14">
    <w:p w14:paraId="56B3DAA9" w14:textId="3A3AAB09"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the government’s response to the Theeuwes Committee: </w:t>
      </w:r>
      <w:hyperlink r:id="rId5" w:history="1">
        <w:r w:rsidRPr="00C55164">
          <w:rPr>
            <w:rStyle w:val="Hyperlink"/>
            <w:rFonts w:ascii="Verdana" w:hAnsi="Verdana"/>
            <w:sz w:val="13"/>
          </w:rPr>
          <w:t>http://www.rijksoverheid.nl/documenten-en-publicaties/Parliamentary Papers/2012/12/13/-kamerbrief-over-rapport-durf-te-meten-eindrapport-expertwerkgroep-effectmeting.html</w:t>
        </w:r>
      </w:hyperlink>
      <w:r w:rsidRPr="00C55164">
        <w:rPr>
          <w:rFonts w:ascii="Verdana" w:hAnsi="Verdana"/>
          <w:sz w:val="13"/>
        </w:rPr>
        <w:t xml:space="preserve"> </w:t>
      </w:r>
    </w:p>
  </w:footnote>
  <w:footnote w:id="15">
    <w:p w14:paraId="4CD869F3" w14:textId="27C37838" w:rsidR="00A47959"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note 4.</w:t>
      </w:r>
      <w:r w:rsidRPr="00827ADC">
        <w:rPr>
          <w:rFonts w:ascii="Verdana" w:hAnsi="Verdana"/>
          <w:sz w:val="13"/>
        </w:rPr>
        <w:t xml:space="preserve"> </w:t>
      </w:r>
    </w:p>
  </w:footnote>
  <w:footnote w:id="16">
    <w:p w14:paraId="25655FFA" w14:textId="16C85250" w:rsidR="00A47959" w:rsidRPr="00C55164" w:rsidRDefault="00A47959" w:rsidP="00DB6E67">
      <w:pPr>
        <w:pStyle w:val="Voetnoottekst"/>
        <w:spacing w:line="180" w:lineRule="atLeast"/>
      </w:pPr>
      <w:r w:rsidRPr="00827ADC">
        <w:rPr>
          <w:rStyle w:val="Voetnootmarkering"/>
          <w:rFonts w:ascii="Verdana" w:hAnsi="Verdana"/>
          <w:sz w:val="13"/>
        </w:rPr>
        <w:footnoteRef/>
      </w:r>
      <w:r>
        <w:rPr>
          <w:rFonts w:ascii="Verdana" w:hAnsi="Verdana"/>
          <w:sz w:val="13"/>
        </w:rPr>
        <w:t xml:space="preserve"> See</w:t>
      </w:r>
      <w:r w:rsidRPr="00827ADC">
        <w:rPr>
          <w:rFonts w:ascii="Verdana" w:hAnsi="Verdana"/>
          <w:sz w:val="13"/>
        </w:rPr>
        <w:t xml:space="preserve"> Theeuwes Committee, ‘</w:t>
      </w:r>
      <w:r w:rsidRPr="00827ADC">
        <w:rPr>
          <w:rFonts w:ascii="Verdana" w:hAnsi="Verdana"/>
          <w:i/>
          <w:sz w:val="13"/>
        </w:rPr>
        <w:t>Durf te meten: Eindrapport Expertwerkgroep Effectmeting</w:t>
      </w:r>
      <w:r w:rsidRPr="00827ADC">
        <w:rPr>
          <w:rFonts w:ascii="Verdana" w:hAnsi="Verdana"/>
          <w:sz w:val="13"/>
        </w:rPr>
        <w:t xml:space="preserve">’, 2012 </w:t>
      </w:r>
      <w:r>
        <w:rPr>
          <w:rFonts w:ascii="Verdana" w:hAnsi="Verdana"/>
          <w:sz w:val="13"/>
        </w:rPr>
        <w:t>and</w:t>
      </w:r>
      <w:r w:rsidRPr="00827ADC">
        <w:rPr>
          <w:rFonts w:ascii="Verdana" w:hAnsi="Verdana"/>
          <w:sz w:val="13"/>
        </w:rPr>
        <w:t xml:space="preserve"> K. Warwick, A. Nolan, ‘</w:t>
      </w:r>
      <w:r w:rsidRPr="00827ADC">
        <w:rPr>
          <w:rFonts w:ascii="Verdana" w:hAnsi="Verdana"/>
          <w:i/>
          <w:sz w:val="13"/>
        </w:rPr>
        <w:t xml:space="preserve">Evaluation of Industrial Policy: Methodological Issues and </w:t>
      </w:r>
      <w:r w:rsidRPr="00C55164">
        <w:rPr>
          <w:rFonts w:ascii="Verdana" w:hAnsi="Verdana"/>
          <w:i/>
          <w:sz w:val="13"/>
        </w:rPr>
        <w:t xml:space="preserve">Policy </w:t>
      </w:r>
      <w:r w:rsidRPr="00C55164">
        <w:rPr>
          <w:rFonts w:ascii="Verdana" w:hAnsi="Verdana"/>
          <w:sz w:val="13"/>
        </w:rPr>
        <w:t>Lessons’. OECD: Paris, 2014.</w:t>
      </w:r>
    </w:p>
  </w:footnote>
  <w:footnote w:id="17">
    <w:p w14:paraId="3D1FC559" w14:textId="2200F99E"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Positive exceptions are the datasets developed by the CBS and RVO.nl for evaluating the WBSO and for the Innovation Credit and those being developed for future evaluation of the Innovation Box.</w:t>
      </w:r>
    </w:p>
  </w:footnote>
  <w:footnote w:id="18">
    <w:p w14:paraId="06E2C4C5" w14:textId="295444DE" w:rsidR="00A47959" w:rsidRPr="001B564F" w:rsidRDefault="00A47959" w:rsidP="00DB6E67">
      <w:pPr>
        <w:pStyle w:val="Voetnoottekst"/>
        <w:spacing w:line="180" w:lineRule="atLeast"/>
        <w:rPr>
          <w:lang w:val="nl-NL"/>
        </w:rPr>
      </w:pPr>
      <w:r w:rsidRPr="00C55164">
        <w:rPr>
          <w:rStyle w:val="Voetnootmarkering"/>
          <w:rFonts w:ascii="Verdana" w:hAnsi="Verdana"/>
          <w:sz w:val="13"/>
        </w:rPr>
        <w:footnoteRef/>
      </w:r>
      <w:r w:rsidRPr="001B564F">
        <w:rPr>
          <w:rFonts w:ascii="Verdana" w:hAnsi="Verdana"/>
          <w:sz w:val="13"/>
          <w:lang w:val="nl-NL"/>
        </w:rPr>
        <w:t xml:space="preserve"> See the KNAW’s recommendations ‘Waarde van Wetenschap’: </w:t>
      </w:r>
      <w:hyperlink r:id="rId6" w:history="1">
        <w:r w:rsidRPr="001B564F">
          <w:rPr>
            <w:rStyle w:val="Hyperlink"/>
            <w:rFonts w:ascii="Verdana" w:hAnsi="Verdana"/>
            <w:sz w:val="13"/>
            <w:lang w:val="nl-NL"/>
          </w:rPr>
          <w:t>https://www.knaw.nl/nl/adviezen/adviezen-en-verkenningen/recent-afgeronde-adviezen/waarde-van-wetenschap</w:t>
        </w:r>
      </w:hyperlink>
      <w:r w:rsidRPr="001B564F">
        <w:rPr>
          <w:rFonts w:ascii="Verdana" w:hAnsi="Verdana"/>
          <w:sz w:val="13"/>
          <w:lang w:val="nl-NL"/>
        </w:rPr>
        <w:t>.</w:t>
      </w:r>
    </w:p>
  </w:footnote>
  <w:footnote w:id="19">
    <w:p w14:paraId="44A38073" w14:textId="63E7724A"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The provisions in the RPE on the description of the -20% variant took effect in 2015. As the policy review of items 12 and 13 started in June 2014, it was not initially under the regime of the new RPE. Nevertheless, the policy review provides insight into the way in which budget cuts have been handled in recent years. An external monitoring committee conducted a review and reported in writing that the policy review was performed in accordance with the guidelines in the governing RPE provisions and was of good quality.</w:t>
      </w:r>
    </w:p>
  </w:footnote>
  <w:footnote w:id="20">
    <w:p w14:paraId="4F838F2C" w14:textId="362B142E" w:rsidR="00A47959"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AWTI, </w:t>
      </w:r>
      <w:r w:rsidRPr="00C55164">
        <w:rPr>
          <w:rFonts w:ascii="Verdana" w:hAnsi="Verdana"/>
          <w:i/>
          <w:sz w:val="13"/>
        </w:rPr>
        <w:t xml:space="preserve">Balans van de topsectoren 2014, </w:t>
      </w:r>
      <w:r w:rsidRPr="00C55164">
        <w:rPr>
          <w:rFonts w:ascii="Verdana" w:hAnsi="Verdana"/>
          <w:sz w:val="13"/>
        </w:rPr>
        <w:t>The Hague,</w:t>
      </w:r>
      <w:r w:rsidRPr="00827ADC">
        <w:rPr>
          <w:rFonts w:ascii="Verdana" w:hAnsi="Verdana"/>
          <w:sz w:val="13"/>
        </w:rPr>
        <w:t xml:space="preserve"> 2014; and </w:t>
      </w:r>
      <w:r>
        <w:rPr>
          <w:rFonts w:ascii="Verdana" w:hAnsi="Verdana"/>
          <w:sz w:val="13"/>
        </w:rPr>
        <w:t>note</w:t>
      </w:r>
      <w:r w:rsidRPr="00827ADC">
        <w:rPr>
          <w:rFonts w:ascii="Verdana" w:hAnsi="Verdana"/>
          <w:sz w:val="13"/>
        </w:rPr>
        <w:t xml:space="preserve"> 4.</w:t>
      </w:r>
    </w:p>
  </w:footnote>
  <w:footnote w:id="21">
    <w:p w14:paraId="05186B32" w14:textId="297D2526" w:rsidR="00A47959" w:rsidRPr="00C55164" w:rsidRDefault="00A47959" w:rsidP="00DB6E67">
      <w:pPr>
        <w:pStyle w:val="Voetnoottekst"/>
        <w:spacing w:line="180" w:lineRule="atLeast"/>
      </w:pPr>
      <w:r w:rsidRPr="00827ADC">
        <w:rPr>
          <w:rStyle w:val="Voetnootmarkering"/>
          <w:rFonts w:ascii="Verdana" w:hAnsi="Verdana"/>
          <w:sz w:val="13"/>
        </w:rPr>
        <w:footnoteRef/>
      </w:r>
      <w:r w:rsidRPr="00827ADC">
        <w:rPr>
          <w:rFonts w:ascii="Verdana" w:hAnsi="Verdana"/>
          <w:sz w:val="13"/>
        </w:rPr>
        <w:t xml:space="preserve"> The Rutte 1 government </w:t>
      </w:r>
      <w:r>
        <w:rPr>
          <w:rFonts w:ascii="Verdana" w:hAnsi="Verdana"/>
          <w:sz w:val="13"/>
        </w:rPr>
        <w:t>decided</w:t>
      </w:r>
      <w:r w:rsidRPr="00827ADC">
        <w:rPr>
          <w:rFonts w:ascii="Verdana" w:hAnsi="Verdana"/>
          <w:sz w:val="13"/>
        </w:rPr>
        <w:t xml:space="preserve"> to end th</w:t>
      </w:r>
      <w:r>
        <w:rPr>
          <w:rFonts w:ascii="Verdana" w:hAnsi="Verdana"/>
          <w:sz w:val="13"/>
        </w:rPr>
        <w:t>e impulse financ</w:t>
      </w:r>
      <w:r w:rsidRPr="00827ADC">
        <w:rPr>
          <w:rFonts w:ascii="Verdana" w:hAnsi="Verdana"/>
          <w:sz w:val="13"/>
        </w:rPr>
        <w:t xml:space="preserve">ing for knowledge and innovation in the </w:t>
      </w:r>
      <w:r w:rsidRPr="00875425">
        <w:rPr>
          <w:rFonts w:ascii="Verdana" w:hAnsi="Verdana"/>
          <w:sz w:val="13"/>
        </w:rPr>
        <w:t>Economic Structure Enhancement Fund</w:t>
      </w:r>
      <w:r w:rsidRPr="00827ADC">
        <w:rPr>
          <w:rFonts w:ascii="Verdana" w:hAnsi="Verdana"/>
          <w:sz w:val="13"/>
        </w:rPr>
        <w:t xml:space="preserve"> (FES) of </w:t>
      </w:r>
      <w:r>
        <w:rPr>
          <w:rFonts w:ascii="Verdana" w:hAnsi="Verdana"/>
          <w:sz w:val="13"/>
        </w:rPr>
        <w:t>a</w:t>
      </w:r>
      <w:r w:rsidRPr="00827ADC">
        <w:rPr>
          <w:rFonts w:ascii="Verdana" w:hAnsi="Verdana"/>
          <w:sz w:val="13"/>
        </w:rPr>
        <w:t xml:space="preserve">n average </w:t>
      </w:r>
      <w:r>
        <w:rPr>
          <w:rFonts w:ascii="Verdana" w:hAnsi="Verdana"/>
          <w:sz w:val="13"/>
        </w:rPr>
        <w:t xml:space="preserve">of </w:t>
      </w:r>
      <w:r w:rsidRPr="00827ADC">
        <w:rPr>
          <w:rFonts w:ascii="Verdana" w:hAnsi="Verdana"/>
          <w:sz w:val="13"/>
        </w:rPr>
        <w:t>some €250m per year</w:t>
      </w:r>
      <w:r w:rsidR="00F63D9D">
        <w:rPr>
          <w:rFonts w:ascii="Verdana" w:hAnsi="Verdana"/>
          <w:sz w:val="13"/>
        </w:rPr>
        <w:t xml:space="preserve"> in</w:t>
      </w:r>
      <w:r w:rsidRPr="00827ADC">
        <w:rPr>
          <w:rFonts w:ascii="Verdana" w:hAnsi="Verdana"/>
          <w:sz w:val="13"/>
        </w:rPr>
        <w:t xml:space="preserve"> the period 2008-2014 (</w:t>
      </w:r>
      <w:r>
        <w:rPr>
          <w:rFonts w:ascii="Verdana" w:hAnsi="Verdana"/>
          <w:sz w:val="13"/>
        </w:rPr>
        <w:t>s</w:t>
      </w:r>
      <w:r w:rsidRPr="00827ADC">
        <w:rPr>
          <w:rFonts w:ascii="Verdana" w:hAnsi="Verdana"/>
          <w:sz w:val="13"/>
        </w:rPr>
        <w:t xml:space="preserve">ee Parliamentary Papers </w:t>
      </w:r>
      <w:r w:rsidRPr="00C55164">
        <w:rPr>
          <w:rFonts w:ascii="Verdana" w:hAnsi="Verdana"/>
          <w:sz w:val="13"/>
        </w:rPr>
        <w:t>TK 2012-2013, 32 637, No. 47). As the financing of programmes that have already started is continuing, this spending will gradually decline. In 2012 the innovation-focused regional programme ‘Pieken in de Delta’ (average of some €75m per year, item 18 of the EZ budget) was also ended following the decision of the Rutte 1 government to decentralize regional policy.</w:t>
      </w:r>
    </w:p>
  </w:footnote>
  <w:footnote w:id="22">
    <w:p w14:paraId="14D51956" w14:textId="2E5FCC95"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The government issued its view on applied research in 2013 (TK 2013-2014, 32 637, No. 68). See also the government response to the TO2 strategic framework and the TNO 2015-2018 strategic plan of 2 July 2014 (TK 2013-2014, 29 338, No. 146) and also the TO2 letter from the Minister of Economic Affairs of 6 March 2014 (TK, 2013/2014, 32637, No. 123).</w:t>
      </w:r>
    </w:p>
  </w:footnote>
  <w:footnote w:id="23">
    <w:p w14:paraId="4E39A63F" w14:textId="2201826C"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for a comprehensive review of the role of ICT in the economy and innovation: Dialogic (2014), </w:t>
      </w:r>
      <w:r w:rsidRPr="00C55164">
        <w:rPr>
          <w:rFonts w:ascii="Verdana" w:hAnsi="Verdana"/>
          <w:i/>
          <w:sz w:val="13"/>
        </w:rPr>
        <w:t>De impact van ICT op de Nederlandse economie</w:t>
      </w:r>
      <w:r w:rsidRPr="00C55164">
        <w:rPr>
          <w:rFonts w:ascii="Verdana" w:hAnsi="Verdana"/>
          <w:sz w:val="13"/>
        </w:rPr>
        <w:t xml:space="preserve">, study commissioned by the Ministry of EZ, Utrecht. </w:t>
      </w:r>
    </w:p>
  </w:footnote>
  <w:footnote w:id="24">
    <w:p w14:paraId="14ABACF6" w14:textId="563908F6" w:rsidR="00A47959" w:rsidRPr="00A47959" w:rsidRDefault="00A47959" w:rsidP="00DB6E67">
      <w:pPr>
        <w:pStyle w:val="Voetnoottekst"/>
        <w:spacing w:line="180" w:lineRule="atLeast"/>
        <w:rPr>
          <w:lang w:val="nl-NL"/>
        </w:rPr>
      </w:pPr>
      <w:r w:rsidRPr="00C55164">
        <w:rPr>
          <w:rStyle w:val="Voetnootmarkering"/>
          <w:rFonts w:ascii="Verdana" w:hAnsi="Verdana"/>
          <w:sz w:val="13"/>
        </w:rPr>
        <w:footnoteRef/>
      </w:r>
      <w:r w:rsidRPr="00C55164">
        <w:rPr>
          <w:rFonts w:ascii="Verdana" w:hAnsi="Verdana"/>
          <w:sz w:val="13"/>
        </w:rPr>
        <w:t xml:space="preserve"> See the recent OECD studies on the significance of knowledge capital: </w:t>
      </w:r>
      <w:hyperlink r:id="rId7" w:history="1">
        <w:r w:rsidRPr="00C55164">
          <w:rPr>
            <w:rStyle w:val="Hyperlink"/>
            <w:rFonts w:ascii="Verdana" w:hAnsi="Verdana"/>
            <w:sz w:val="13"/>
          </w:rPr>
          <w:t>http://www.oecd.org/science/inno/newsourcesofgrowthknowledge-basedcapital.htm</w:t>
        </w:r>
      </w:hyperlink>
      <w:r w:rsidRPr="00C55164">
        <w:rPr>
          <w:rFonts w:ascii="Verdana" w:hAnsi="Verdana"/>
          <w:sz w:val="13"/>
        </w:rPr>
        <w:t xml:space="preserve">. </w:t>
      </w:r>
      <w:r w:rsidRPr="00A47959">
        <w:rPr>
          <w:rFonts w:ascii="Verdana" w:hAnsi="Verdana"/>
          <w:sz w:val="13"/>
          <w:lang w:val="nl-NL"/>
        </w:rPr>
        <w:t xml:space="preserve">See also e.g.: Volberda, H.W., Commandeur, H., Van Den Bosch, F.A.J., Heij, K. (2013), </w:t>
      </w:r>
      <w:r w:rsidRPr="00A47959">
        <w:rPr>
          <w:rFonts w:ascii="Verdana" w:hAnsi="Verdana"/>
          <w:i/>
          <w:sz w:val="13"/>
          <w:lang w:val="nl-NL"/>
        </w:rPr>
        <w:t>Sociale innovatie als aanjager van productiviteit en concurrentiekracht</w:t>
      </w:r>
      <w:r w:rsidRPr="00A47959">
        <w:rPr>
          <w:rFonts w:ascii="Verdana" w:hAnsi="Verdana"/>
          <w:sz w:val="13"/>
          <w:lang w:val="nl-NL"/>
        </w:rPr>
        <w:t>, in: M&amp;O: Tijdschrift voor Management en Organisatie, 67, pp. 5 – 34.</w:t>
      </w:r>
    </w:p>
  </w:footnote>
  <w:footnote w:id="25">
    <w:p w14:paraId="19170654" w14:textId="77777777" w:rsidR="00A47959" w:rsidRPr="00C55164"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the OECD ‘Innovation Strategy’: </w:t>
      </w:r>
      <w:hyperlink r:id="rId8" w:history="1">
        <w:r w:rsidRPr="00C55164">
          <w:rPr>
            <w:rStyle w:val="Hyperlink"/>
            <w:rFonts w:ascii="Verdana" w:hAnsi="Verdana"/>
            <w:sz w:val="13"/>
          </w:rPr>
          <w:t>http://www.oecd.org/site/innovationstrategy</w:t>
        </w:r>
      </w:hyperlink>
      <w:r w:rsidRPr="00C55164">
        <w:rPr>
          <w:rFonts w:ascii="Verdana" w:hAnsi="Verdana"/>
          <w:sz w:val="13"/>
        </w:rPr>
        <w:t>.</w:t>
      </w:r>
    </w:p>
  </w:footnote>
  <w:footnote w:id="26">
    <w:p w14:paraId="235A7765" w14:textId="23CC7C9E" w:rsidR="00A47959" w:rsidRDefault="00A47959" w:rsidP="00DB6E67">
      <w:pPr>
        <w:pStyle w:val="Voetnoottekst"/>
        <w:spacing w:line="180" w:lineRule="atLeast"/>
      </w:pPr>
      <w:r w:rsidRPr="00C55164">
        <w:rPr>
          <w:rStyle w:val="Voetnootmarkering"/>
          <w:rFonts w:ascii="Verdana" w:hAnsi="Verdana"/>
          <w:sz w:val="13"/>
        </w:rPr>
        <w:footnoteRef/>
      </w:r>
      <w:r w:rsidRPr="00C55164">
        <w:rPr>
          <w:rFonts w:ascii="Verdana" w:hAnsi="Verdana"/>
          <w:sz w:val="13"/>
        </w:rPr>
        <w:t xml:space="preserve"> See also AWTI (2014). Balans van de Topsectoren</w:t>
      </w:r>
      <w:r w:rsidRPr="00827ADC">
        <w:rPr>
          <w:rFonts w:ascii="Verdana" w:hAnsi="Verdana"/>
          <w:sz w:val="13"/>
        </w:rPr>
        <w:t xml:space="preserve">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7628" w:tblpY="2978"/>
      <w:tblOverlap w:val="never"/>
      <w:tblW w:w="2156" w:type="dxa"/>
      <w:tblLayout w:type="fixed"/>
      <w:tblCellMar>
        <w:left w:w="0" w:type="dxa"/>
        <w:right w:w="0" w:type="dxa"/>
      </w:tblCellMar>
      <w:tblLook w:val="0000" w:firstRow="0" w:lastRow="0" w:firstColumn="0" w:lastColumn="0" w:noHBand="0" w:noVBand="0"/>
    </w:tblPr>
    <w:tblGrid>
      <w:gridCol w:w="2156"/>
    </w:tblGrid>
    <w:tr w:rsidR="00A47959" w:rsidRPr="001B564F" w14:paraId="03A15F2D" w14:textId="77777777">
      <w:tc>
        <w:tcPr>
          <w:tcW w:w="2156" w:type="dxa"/>
        </w:tcPr>
        <w:p w14:paraId="4B512911" w14:textId="77777777" w:rsidR="00A47959" w:rsidRPr="00A47959" w:rsidRDefault="00A47959" w:rsidP="000854C1">
          <w:pPr>
            <w:pStyle w:val="Huisstijl-Adres"/>
            <w:rPr>
              <w:noProof w:val="0"/>
              <w:lang w:val="en-US"/>
            </w:rPr>
          </w:pPr>
          <w:r w:rsidRPr="00A47959">
            <w:rPr>
              <w:b/>
              <w:noProof w:val="0"/>
              <w:lang w:val="en-US"/>
            </w:rPr>
            <w:t>Directorate general for Entrepreneurship and Innovation</w:t>
          </w:r>
          <w:r w:rsidRPr="00A47959">
            <w:rPr>
              <w:b/>
              <w:noProof w:val="0"/>
              <w:lang w:val="en-US"/>
            </w:rPr>
            <w:br/>
          </w:r>
          <w:r w:rsidRPr="00A47959">
            <w:rPr>
              <w:noProof w:val="0"/>
              <w:lang w:val="en-US"/>
            </w:rPr>
            <w:t>Directorate Top sectors and Industrial policy</w:t>
          </w:r>
        </w:p>
      </w:tc>
    </w:tr>
    <w:tr w:rsidR="00A47959" w:rsidRPr="001B564F" w14:paraId="2FD3AB9B" w14:textId="77777777">
      <w:trPr>
        <w:trHeight w:hRule="exact" w:val="200"/>
      </w:trPr>
      <w:tc>
        <w:tcPr>
          <w:tcW w:w="2156" w:type="dxa"/>
        </w:tcPr>
        <w:p w14:paraId="60CCE756" w14:textId="77777777" w:rsidR="00A47959" w:rsidRPr="00A47959" w:rsidRDefault="00A47959" w:rsidP="00A50CF6">
          <w:pPr>
            <w:rPr>
              <w:lang w:val="en-US"/>
            </w:rPr>
          </w:pPr>
        </w:p>
      </w:tc>
    </w:tr>
    <w:tr w:rsidR="00A47959" w:rsidRPr="005819CE" w14:paraId="11688530" w14:textId="77777777">
      <w:trPr>
        <w:trHeight w:hRule="exact" w:val="774"/>
      </w:trPr>
      <w:tc>
        <w:tcPr>
          <w:tcW w:w="2156" w:type="dxa"/>
        </w:tcPr>
        <w:p w14:paraId="666B1938" w14:textId="77777777" w:rsidR="00A47959" w:rsidRDefault="00A47959" w:rsidP="000854C1">
          <w:pPr>
            <w:pStyle w:val="Huisstijl-Kopje"/>
            <w:rPr>
              <w:noProof w:val="0"/>
            </w:rPr>
          </w:pPr>
          <w:r>
            <w:rPr>
              <w:noProof w:val="0"/>
            </w:rPr>
            <w:t>Our reference</w:t>
          </w:r>
        </w:p>
        <w:p w14:paraId="35B37739" w14:textId="77777777" w:rsidR="00A47959" w:rsidRPr="00502512" w:rsidRDefault="00A47959" w:rsidP="003A5290">
          <w:pPr>
            <w:pStyle w:val="Huisstijl-Kopje"/>
            <w:rPr>
              <w:b w:val="0"/>
              <w:noProof w:val="0"/>
            </w:rPr>
          </w:pPr>
          <w:r>
            <w:rPr>
              <w:b w:val="0"/>
              <w:noProof w:val="0"/>
            </w:rPr>
            <w:t>DGBI-TOP</w:t>
          </w:r>
          <w:r w:rsidRPr="00502512">
            <w:rPr>
              <w:b w:val="0"/>
              <w:noProof w:val="0"/>
            </w:rPr>
            <w:t xml:space="preserve"> / </w:t>
          </w:r>
          <w:r w:rsidRPr="00D74F04">
            <w:rPr>
              <w:b w:val="0"/>
              <w:noProof w:val="0"/>
            </w:rPr>
            <w:t>15054950</w:t>
          </w:r>
        </w:p>
        <w:p w14:paraId="40F1A58A" w14:textId="77777777" w:rsidR="00A47959" w:rsidRPr="005819CE" w:rsidRDefault="00A47959" w:rsidP="00361A56">
          <w:pPr>
            <w:pStyle w:val="Huisstijl-Kopje"/>
            <w:rPr>
              <w:noProof w:val="0"/>
            </w:rPr>
          </w:pPr>
        </w:p>
      </w:tc>
    </w:tr>
  </w:tbl>
  <w:p w14:paraId="71CA450C" w14:textId="77777777" w:rsidR="00A47959" w:rsidRDefault="00A47959" w:rsidP="008C356D">
    <w:pPr>
      <w:pStyle w:val="Koptekst"/>
      <w:rPr>
        <w:rFonts w:cs="Verdana-Bold"/>
        <w:b/>
        <w:bCs/>
        <w:smallCaps/>
      </w:rPr>
    </w:pPr>
  </w:p>
  <w:tbl>
    <w:tblPr>
      <w:tblW w:w="7518" w:type="dxa"/>
      <w:tblLayout w:type="fixed"/>
      <w:tblCellMar>
        <w:left w:w="0" w:type="dxa"/>
        <w:right w:w="0" w:type="dxa"/>
      </w:tblCellMar>
      <w:tblLook w:val="0000" w:firstRow="0" w:lastRow="0" w:firstColumn="0" w:lastColumn="0" w:noHBand="0" w:noVBand="0"/>
    </w:tblPr>
    <w:tblGrid>
      <w:gridCol w:w="7518"/>
    </w:tblGrid>
    <w:tr w:rsidR="00A47959" w:rsidRPr="00275984" w14:paraId="468C3184" w14:textId="77777777">
      <w:trPr>
        <w:trHeight w:hRule="exact" w:val="400"/>
      </w:trPr>
      <w:tc>
        <w:tcPr>
          <w:tcW w:w="7380" w:type="dxa"/>
        </w:tcPr>
        <w:p w14:paraId="77C7C98E" w14:textId="77777777" w:rsidR="00A47959" w:rsidRPr="00275984" w:rsidRDefault="00A47959" w:rsidP="00A50CF6">
          <w:pPr>
            <w:spacing w:line="240" w:lineRule="auto"/>
            <w:rPr>
              <w:sz w:val="12"/>
            </w:rPr>
          </w:pPr>
        </w:p>
      </w:tc>
    </w:tr>
  </w:tbl>
  <w:p w14:paraId="0B546235" w14:textId="77777777" w:rsidR="00A47959" w:rsidRDefault="00A47959" w:rsidP="008C356D"/>
  <w:p w14:paraId="3F484925" w14:textId="77777777" w:rsidR="00A47959" w:rsidRPr="00740712" w:rsidRDefault="00A47959" w:rsidP="008C356D"/>
  <w:p w14:paraId="532AEBA1" w14:textId="77777777" w:rsidR="00A47959" w:rsidRPr="00217880" w:rsidRDefault="00A47959" w:rsidP="008C356D">
    <w:pPr>
      <w:rPr>
        <w:sz w:val="2"/>
      </w:rPr>
    </w:pPr>
  </w:p>
  <w:p w14:paraId="309E5B80" w14:textId="77777777" w:rsidR="00A47959" w:rsidRDefault="00A47959" w:rsidP="004F44C2">
    <w:pPr>
      <w:pStyle w:val="Koptekst"/>
      <w:rPr>
        <w:rFonts w:cs="Verdana-Bold"/>
        <w:b/>
        <w:bCs/>
        <w:smallCaps/>
      </w:rPr>
    </w:pPr>
  </w:p>
  <w:p w14:paraId="46291970" w14:textId="77777777" w:rsidR="00A47959" w:rsidRDefault="00A47959" w:rsidP="004F44C2"/>
  <w:p w14:paraId="31C1B2A8" w14:textId="77777777" w:rsidR="00A47959" w:rsidRPr="00740712" w:rsidRDefault="00A47959" w:rsidP="004F44C2"/>
  <w:p w14:paraId="6EEFB01E" w14:textId="77777777" w:rsidR="00A47959" w:rsidRPr="00217880" w:rsidRDefault="00A47959" w:rsidP="004F44C2">
    <w:pP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37"/>
      <w:gridCol w:w="5156"/>
    </w:tblGrid>
    <w:tr w:rsidR="00A47959" w14:paraId="11A078D4" w14:textId="77777777">
      <w:trPr>
        <w:trHeight w:val="2636"/>
      </w:trPr>
      <w:tc>
        <w:tcPr>
          <w:tcW w:w="737" w:type="dxa"/>
        </w:tcPr>
        <w:p w14:paraId="124CB62B" w14:textId="77777777" w:rsidR="00A47959" w:rsidRDefault="00A47959" w:rsidP="00D0609E">
          <w:pPr>
            <w:framePr w:w="6340" w:h="2750" w:hRule="exact" w:hSpace="180" w:wrap="around" w:vAnchor="page" w:hAnchor="text" w:x="3873" w:y="1"/>
            <w:spacing w:line="240" w:lineRule="auto"/>
          </w:pPr>
        </w:p>
      </w:tc>
      <w:tc>
        <w:tcPr>
          <w:tcW w:w="5156" w:type="dxa"/>
        </w:tcPr>
        <w:p w14:paraId="23F53935" w14:textId="4F93084A" w:rsidR="00A47959" w:rsidRDefault="001B564F" w:rsidP="000854C1">
          <w:pPr>
            <w:framePr w:w="6340" w:h="2750" w:hRule="exact" w:hSpace="180" w:wrap="around" w:vAnchor="page" w:hAnchor="text" w:x="3873" w:y="1"/>
          </w:pPr>
          <w:r>
            <w:rPr>
              <w:noProof/>
              <w:szCs w:val="18"/>
            </w:rPr>
            <w:drawing>
              <wp:inline distT="0" distB="0" distL="0" distR="0" wp14:anchorId="6DF4D1EA" wp14:editId="402B135F">
                <wp:extent cx="2286000" cy="1552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1552575"/>
                        </a:xfrm>
                        <a:prstGeom prst="rect">
                          <a:avLst/>
                        </a:prstGeom>
                        <a:noFill/>
                        <a:ln>
                          <a:noFill/>
                        </a:ln>
                      </pic:spPr>
                    </pic:pic>
                  </a:graphicData>
                </a:graphic>
              </wp:inline>
            </w:drawing>
          </w:r>
        </w:p>
      </w:tc>
    </w:tr>
  </w:tbl>
  <w:p w14:paraId="544816EF" w14:textId="77777777" w:rsidR="00A47959" w:rsidRDefault="00A47959" w:rsidP="00D0609E">
    <w:pPr>
      <w:framePr w:w="6340" w:h="2750" w:hRule="exact" w:hSpace="180" w:wrap="around" w:vAnchor="page" w:hAnchor="text" w:x="3873" w:y="1"/>
    </w:pPr>
  </w:p>
  <w:p w14:paraId="6CA4B852" w14:textId="77777777" w:rsidR="00A47959" w:rsidRDefault="00A47959" w:rsidP="000049FB">
    <w:pPr>
      <w:pStyle w:val="Koptekst"/>
      <w:tabs>
        <w:tab w:val="clear" w:pos="4536"/>
        <w:tab w:val="clear" w:pos="9072"/>
      </w:tabs>
    </w:pPr>
  </w:p>
  <w:tbl>
    <w:tblPr>
      <w:tblpPr w:leftFromText="142" w:rightFromText="142" w:vertAnchor="page" w:tblpX="7616" w:tblpY="2978"/>
      <w:tblOverlap w:val="never"/>
      <w:tblW w:w="2160" w:type="dxa"/>
      <w:tblLayout w:type="fixed"/>
      <w:tblCellMar>
        <w:left w:w="0" w:type="dxa"/>
        <w:right w:w="0" w:type="dxa"/>
      </w:tblCellMar>
      <w:tblLook w:val="0000" w:firstRow="0" w:lastRow="0" w:firstColumn="0" w:lastColumn="0" w:noHBand="0" w:noVBand="0"/>
    </w:tblPr>
    <w:tblGrid>
      <w:gridCol w:w="2160"/>
    </w:tblGrid>
    <w:tr w:rsidR="00A47959" w:rsidRPr="001B564F" w14:paraId="32B0E930" w14:textId="77777777">
      <w:tc>
        <w:tcPr>
          <w:tcW w:w="2160" w:type="dxa"/>
        </w:tcPr>
        <w:p w14:paraId="06401868" w14:textId="77777777" w:rsidR="00A47959" w:rsidRPr="00A47959" w:rsidRDefault="00A47959" w:rsidP="000854C1">
          <w:pPr>
            <w:pStyle w:val="Huisstijl-Adres"/>
            <w:rPr>
              <w:noProof w:val="0"/>
              <w:lang w:val="en-US"/>
            </w:rPr>
          </w:pPr>
          <w:r w:rsidRPr="00A47959">
            <w:rPr>
              <w:b/>
              <w:noProof w:val="0"/>
              <w:lang w:val="en-US"/>
            </w:rPr>
            <w:t>Directorate general for Entrepreneurship and Innovation</w:t>
          </w:r>
          <w:r w:rsidRPr="00A47959">
            <w:rPr>
              <w:b/>
              <w:noProof w:val="0"/>
              <w:lang w:val="en-US"/>
            </w:rPr>
            <w:br/>
          </w:r>
          <w:r w:rsidRPr="00A47959">
            <w:rPr>
              <w:noProof w:val="0"/>
              <w:lang w:val="en-US"/>
            </w:rPr>
            <w:t>Directorate Top sectors and Industrial policy</w:t>
          </w:r>
        </w:p>
        <w:p w14:paraId="63F4EF92" w14:textId="77777777" w:rsidR="00A47959" w:rsidRPr="00A47959" w:rsidRDefault="00A47959" w:rsidP="000854C1">
          <w:pPr>
            <w:pStyle w:val="Huisstijl-Adres"/>
            <w:rPr>
              <w:noProof w:val="0"/>
              <w:lang w:val="en-US"/>
            </w:rPr>
          </w:pPr>
          <w:r w:rsidRPr="00A47959">
            <w:rPr>
              <w:b/>
              <w:noProof w:val="0"/>
              <w:lang w:val="en-US"/>
            </w:rPr>
            <w:t>Street address</w:t>
          </w:r>
          <w:r w:rsidRPr="00A47959">
            <w:rPr>
              <w:b/>
              <w:noProof w:val="0"/>
              <w:lang w:val="en-US"/>
            </w:rPr>
            <w:br/>
          </w:r>
          <w:r w:rsidRPr="00A47959">
            <w:rPr>
              <w:noProof w:val="0"/>
              <w:lang w:val="en-US"/>
            </w:rPr>
            <w:t>Bezuidenhoutseweg 73</w:t>
          </w:r>
          <w:r w:rsidRPr="00A47959">
            <w:rPr>
              <w:noProof w:val="0"/>
              <w:lang w:val="en-US"/>
            </w:rPr>
            <w:br/>
            <w:t>2594 AC The Hague</w:t>
          </w:r>
        </w:p>
        <w:p w14:paraId="4697B12B" w14:textId="77777777" w:rsidR="00A47959" w:rsidRPr="00A47959" w:rsidRDefault="00A47959" w:rsidP="000854C1">
          <w:pPr>
            <w:pStyle w:val="Huisstijl-Adres"/>
            <w:rPr>
              <w:noProof w:val="0"/>
              <w:lang w:val="en-US"/>
            </w:rPr>
          </w:pPr>
          <w:r w:rsidRPr="00A47959">
            <w:rPr>
              <w:b/>
              <w:noProof w:val="0"/>
              <w:lang w:val="en-US"/>
            </w:rPr>
            <w:t>Postal adres</w:t>
          </w:r>
          <w:r w:rsidRPr="00A47959">
            <w:rPr>
              <w:b/>
              <w:noProof w:val="0"/>
              <w:lang w:val="en-US"/>
            </w:rPr>
            <w:br/>
          </w:r>
          <w:r w:rsidRPr="00A47959">
            <w:rPr>
              <w:noProof w:val="0"/>
              <w:lang w:val="en-US"/>
            </w:rPr>
            <w:t>PO Box 20401</w:t>
          </w:r>
          <w:r w:rsidRPr="00A47959">
            <w:rPr>
              <w:noProof w:val="0"/>
              <w:lang w:val="en-US"/>
            </w:rPr>
            <w:br/>
            <w:t>2500 EK The Hague</w:t>
          </w:r>
        </w:p>
        <w:p w14:paraId="4474A57F" w14:textId="2AC54C67" w:rsidR="00A47959" w:rsidRPr="00A47959" w:rsidRDefault="00A47959" w:rsidP="000854C1">
          <w:pPr>
            <w:pStyle w:val="Huisstijl-Adres"/>
            <w:rPr>
              <w:noProof w:val="0"/>
              <w:lang w:val="en-US"/>
            </w:rPr>
          </w:pPr>
          <w:r w:rsidRPr="00A47959">
            <w:rPr>
              <w:b/>
              <w:noProof w:val="0"/>
              <w:lang w:val="en-US"/>
            </w:rPr>
            <w:t>Billing address</w:t>
          </w:r>
          <w:r w:rsidRPr="00A47959">
            <w:rPr>
              <w:b/>
              <w:noProof w:val="0"/>
              <w:lang w:val="en-US"/>
            </w:rPr>
            <w:br/>
          </w:r>
          <w:r w:rsidRPr="00A47959">
            <w:rPr>
              <w:noProof w:val="0"/>
              <w:lang w:val="en-US"/>
            </w:rPr>
            <w:t>PO Box 16180</w:t>
          </w:r>
          <w:r w:rsidRPr="00A47959">
            <w:rPr>
              <w:noProof w:val="0"/>
              <w:lang w:val="en-US"/>
            </w:rPr>
            <w:br/>
            <w:t>2500 BD The Hague</w:t>
          </w:r>
        </w:p>
        <w:p w14:paraId="49FDE209" w14:textId="77777777" w:rsidR="00A47959" w:rsidRPr="00A47959" w:rsidRDefault="00A47959" w:rsidP="000854C1">
          <w:pPr>
            <w:pStyle w:val="Huisstijl-Adres"/>
            <w:rPr>
              <w:noProof w:val="0"/>
              <w:lang w:val="en-US"/>
            </w:rPr>
          </w:pPr>
          <w:r w:rsidRPr="00A47959">
            <w:rPr>
              <w:b/>
              <w:noProof w:val="0"/>
              <w:lang w:val="en-US"/>
            </w:rPr>
            <w:t>Government identification No</w:t>
          </w:r>
          <w:r w:rsidRPr="00A47959">
            <w:rPr>
              <w:b/>
              <w:noProof w:val="0"/>
              <w:lang w:val="en-US"/>
            </w:rPr>
            <w:br/>
          </w:r>
          <w:r w:rsidRPr="00A47959">
            <w:rPr>
              <w:noProof w:val="0"/>
              <w:lang w:val="en-US"/>
            </w:rPr>
            <w:t>00000001003214369000</w:t>
          </w:r>
        </w:p>
        <w:p w14:paraId="2BD55880" w14:textId="6F5D7197" w:rsidR="00A47959" w:rsidRPr="00A47959" w:rsidRDefault="00A47959" w:rsidP="00777FEA">
          <w:pPr>
            <w:pStyle w:val="Huisstijl-Adres"/>
            <w:rPr>
              <w:noProof w:val="0"/>
              <w:lang w:val="en-US"/>
            </w:rPr>
          </w:pPr>
          <w:r w:rsidRPr="00A47959">
            <w:rPr>
              <w:noProof w:val="0"/>
              <w:lang w:val="en-US"/>
            </w:rPr>
            <w:t>T</w:t>
          </w:r>
          <w:r w:rsidRPr="00A47959">
            <w:rPr>
              <w:noProof w:val="0"/>
              <w:lang w:val="en-US"/>
            </w:rPr>
            <w:tab/>
            <w:t>070 379 8911 (general)</w:t>
          </w:r>
          <w:r w:rsidRPr="00A47959">
            <w:rPr>
              <w:noProof w:val="0"/>
              <w:lang w:val="en-US"/>
            </w:rPr>
            <w:br/>
            <w:t>www.rijksoverheid.nl/ez</w:t>
          </w:r>
        </w:p>
      </w:tc>
    </w:tr>
    <w:tr w:rsidR="00A47959" w:rsidRPr="001B564F" w14:paraId="28F93BF8" w14:textId="77777777">
      <w:trPr>
        <w:trHeight w:hRule="exact" w:val="200"/>
      </w:trPr>
      <w:tc>
        <w:tcPr>
          <w:tcW w:w="2160" w:type="dxa"/>
        </w:tcPr>
        <w:p w14:paraId="47EEA33D" w14:textId="77777777" w:rsidR="00A47959" w:rsidRPr="00A47959" w:rsidRDefault="00A47959" w:rsidP="00A50CF6">
          <w:pPr>
            <w:rPr>
              <w:lang w:val="en-US"/>
            </w:rPr>
          </w:pPr>
        </w:p>
      </w:tc>
    </w:tr>
    <w:tr w:rsidR="00A47959" w:rsidRPr="005819CE" w14:paraId="7EB12815" w14:textId="77777777">
      <w:tc>
        <w:tcPr>
          <w:tcW w:w="2160" w:type="dxa"/>
        </w:tcPr>
        <w:p w14:paraId="7C7E66A4" w14:textId="77777777" w:rsidR="00A47959" w:rsidRPr="00A47959" w:rsidRDefault="00A47959" w:rsidP="000854C1">
          <w:pPr>
            <w:pStyle w:val="Huisstijl-Kopje"/>
            <w:rPr>
              <w:noProof w:val="0"/>
              <w:lang w:val="en-US"/>
            </w:rPr>
          </w:pPr>
          <w:r w:rsidRPr="00A47959">
            <w:rPr>
              <w:noProof w:val="0"/>
              <w:lang w:val="en-US"/>
            </w:rPr>
            <w:t>Our reference</w:t>
          </w:r>
        </w:p>
        <w:p w14:paraId="1834A1B5" w14:textId="77777777" w:rsidR="00A47959" w:rsidRPr="00A47959" w:rsidRDefault="00A47959" w:rsidP="000C0163">
          <w:pPr>
            <w:pStyle w:val="Huisstijl-Gegeven"/>
            <w:rPr>
              <w:noProof w:val="0"/>
              <w:lang w:val="en-US"/>
            </w:rPr>
          </w:pPr>
          <w:r w:rsidRPr="00A47959">
            <w:rPr>
              <w:noProof w:val="0"/>
              <w:lang w:val="en-US"/>
            </w:rPr>
            <w:t xml:space="preserve">DGBI-TOP / 15054950 </w:t>
          </w:r>
        </w:p>
        <w:p w14:paraId="362C679C" w14:textId="77777777" w:rsidR="00A47959" w:rsidRPr="00A47959" w:rsidRDefault="00A47959" w:rsidP="000854C1">
          <w:pPr>
            <w:pStyle w:val="Huisstijl-Kopje"/>
            <w:rPr>
              <w:noProof w:val="0"/>
              <w:lang w:val="en-US"/>
            </w:rPr>
          </w:pPr>
          <w:r w:rsidRPr="00A47959">
            <w:rPr>
              <w:noProof w:val="0"/>
              <w:lang w:val="en-US"/>
            </w:rPr>
            <w:t>Enclosure(s)</w:t>
          </w:r>
        </w:p>
        <w:p w14:paraId="608F90C1" w14:textId="77777777" w:rsidR="00A47959" w:rsidRPr="005819CE" w:rsidRDefault="00A47959" w:rsidP="00A50CF6">
          <w:pPr>
            <w:pStyle w:val="Huisstijl-Gegeven"/>
            <w:rPr>
              <w:noProof w:val="0"/>
            </w:rPr>
          </w:pPr>
          <w:r>
            <w:rPr>
              <w:noProof w:val="0"/>
            </w:rPr>
            <w:t>3</w:t>
          </w:r>
        </w:p>
      </w:tc>
    </w:tr>
  </w:tbl>
  <w:p w14:paraId="6D5BA403" w14:textId="77777777" w:rsidR="00A47959" w:rsidRPr="00121BF0" w:rsidRDefault="00A47959" w:rsidP="00121BF0">
    <w:pPr>
      <w:rPr>
        <w:vanish/>
      </w:rPr>
    </w:pPr>
  </w:p>
  <w:tbl>
    <w:tblPr>
      <w:tblW w:w="7520" w:type="dxa"/>
      <w:tblLayout w:type="fixed"/>
      <w:tblCellMar>
        <w:left w:w="0" w:type="dxa"/>
        <w:right w:w="0" w:type="dxa"/>
      </w:tblCellMar>
      <w:tblLook w:val="0000" w:firstRow="0" w:lastRow="0" w:firstColumn="0" w:lastColumn="0" w:noHBand="0" w:noVBand="0"/>
    </w:tblPr>
    <w:tblGrid>
      <w:gridCol w:w="900"/>
      <w:gridCol w:w="6620"/>
    </w:tblGrid>
    <w:tr w:rsidR="00A47959" w:rsidRPr="001B564F" w14:paraId="4F091A82" w14:textId="77777777">
      <w:trPr>
        <w:trHeight w:val="400"/>
      </w:trPr>
      <w:tc>
        <w:tcPr>
          <w:tcW w:w="7520" w:type="dxa"/>
          <w:gridSpan w:val="2"/>
        </w:tcPr>
        <w:p w14:paraId="6FB006FD" w14:textId="679DC617" w:rsidR="00A47959" w:rsidRPr="00A47959" w:rsidRDefault="00A47959" w:rsidP="00743AA7">
          <w:pPr>
            <w:pStyle w:val="Huisstijl-Retouradres"/>
            <w:rPr>
              <w:noProof w:val="0"/>
              <w:lang w:val="en-US"/>
            </w:rPr>
          </w:pPr>
          <w:r w:rsidRPr="00A47959">
            <w:rPr>
              <w:noProof w:val="0"/>
              <w:lang w:val="en-US"/>
            </w:rPr>
            <w:t>&gt; Reply address Po Box 20401 2500 EK The  Hague</w:t>
          </w:r>
        </w:p>
      </w:tc>
    </w:tr>
    <w:tr w:rsidR="00A47959" w:rsidRPr="001B564F" w14:paraId="72390103" w14:textId="77777777">
      <w:trPr>
        <w:cantSplit/>
      </w:trPr>
      <w:tc>
        <w:tcPr>
          <w:tcW w:w="7520" w:type="dxa"/>
          <w:gridSpan w:val="2"/>
        </w:tcPr>
        <w:p w14:paraId="2B4ADE25" w14:textId="77777777" w:rsidR="00A47959" w:rsidRPr="00A47959" w:rsidRDefault="00A47959" w:rsidP="00A50CF6">
          <w:pPr>
            <w:pStyle w:val="Huisstijl-Rubricering"/>
            <w:rPr>
              <w:noProof w:val="0"/>
              <w:lang w:val="en-US"/>
            </w:rPr>
          </w:pPr>
        </w:p>
      </w:tc>
    </w:tr>
    <w:tr w:rsidR="00A47959" w14:paraId="03A3A4D2" w14:textId="77777777">
      <w:trPr>
        <w:cantSplit/>
        <w:trHeight w:hRule="exact" w:val="2440"/>
      </w:trPr>
      <w:tc>
        <w:tcPr>
          <w:tcW w:w="7520" w:type="dxa"/>
          <w:gridSpan w:val="2"/>
        </w:tcPr>
        <w:p w14:paraId="0FE8CC8D" w14:textId="77777777" w:rsidR="00A47959" w:rsidRPr="00A47959" w:rsidRDefault="00A47959" w:rsidP="00DB6E67">
          <w:pPr>
            <w:pStyle w:val="Huisstijl-NAW"/>
            <w:rPr>
              <w:noProof w:val="0"/>
              <w:lang w:val="en-US"/>
            </w:rPr>
          </w:pPr>
          <w:r w:rsidRPr="00A47959">
            <w:rPr>
              <w:noProof w:val="0"/>
              <w:lang w:val="en-US"/>
            </w:rPr>
            <w:t>The Speaker of the House of Representatives</w:t>
          </w:r>
        </w:p>
        <w:p w14:paraId="70FBE575" w14:textId="77777777" w:rsidR="00A47959" w:rsidRDefault="00A47959" w:rsidP="00DB6E67">
          <w:pPr>
            <w:pStyle w:val="Huisstijl-NAW"/>
            <w:rPr>
              <w:noProof w:val="0"/>
            </w:rPr>
          </w:pPr>
          <w:r>
            <w:rPr>
              <w:noProof w:val="0"/>
            </w:rPr>
            <w:t>Binnenhof 4</w:t>
          </w:r>
        </w:p>
        <w:p w14:paraId="0A9EA81A" w14:textId="77777777" w:rsidR="00A47959" w:rsidRDefault="00A47959" w:rsidP="00A265C2">
          <w:pPr>
            <w:pStyle w:val="Huisstijl-NAW"/>
            <w:rPr>
              <w:noProof w:val="0"/>
            </w:rPr>
          </w:pPr>
          <w:r>
            <w:rPr>
              <w:noProof w:val="0"/>
            </w:rPr>
            <w:t>2513 AA  THE HAGUE</w:t>
          </w:r>
        </w:p>
      </w:tc>
    </w:tr>
    <w:tr w:rsidR="00A47959" w14:paraId="117DA47D" w14:textId="77777777">
      <w:trPr>
        <w:trHeight w:hRule="exact" w:val="400"/>
      </w:trPr>
      <w:tc>
        <w:tcPr>
          <w:tcW w:w="7520" w:type="dxa"/>
          <w:gridSpan w:val="2"/>
        </w:tcPr>
        <w:p w14:paraId="37F6C8AF" w14:textId="77777777" w:rsidR="00A47959" w:rsidRPr="00035E67" w:rsidRDefault="00A47959" w:rsidP="00A50CF6">
          <w:pPr>
            <w:tabs>
              <w:tab w:val="left" w:pos="740"/>
            </w:tabs>
            <w:autoSpaceDE w:val="0"/>
            <w:autoSpaceDN w:val="0"/>
            <w:adjustRightInd w:val="0"/>
            <w:ind w:left="743" w:hanging="743"/>
            <w:rPr>
              <w:rFonts w:cs="Verdana"/>
            </w:rPr>
          </w:pPr>
        </w:p>
      </w:tc>
    </w:tr>
    <w:tr w:rsidR="00A47959" w14:paraId="6732D69F" w14:textId="77777777">
      <w:trPr>
        <w:trHeight w:val="240"/>
      </w:trPr>
      <w:tc>
        <w:tcPr>
          <w:tcW w:w="900" w:type="dxa"/>
        </w:tcPr>
        <w:p w14:paraId="1C1C0AC2" w14:textId="77777777" w:rsidR="00A47959" w:rsidRPr="007709EF" w:rsidRDefault="00A47959" w:rsidP="000854C1">
          <w:r>
            <w:t>Date</w:t>
          </w:r>
        </w:p>
      </w:tc>
      <w:tc>
        <w:tcPr>
          <w:tcW w:w="6620" w:type="dxa"/>
        </w:tcPr>
        <w:p w14:paraId="7AD5628E" w14:textId="77777777" w:rsidR="00A47959" w:rsidRPr="007709EF" w:rsidRDefault="00A47959" w:rsidP="00A50CF6">
          <w:r>
            <w:t>13 May 2015</w:t>
          </w:r>
        </w:p>
      </w:tc>
    </w:tr>
    <w:tr w:rsidR="00A47959" w:rsidRPr="001B564F" w14:paraId="1D319A1E" w14:textId="77777777">
      <w:trPr>
        <w:trHeight w:val="240"/>
      </w:trPr>
      <w:tc>
        <w:tcPr>
          <w:tcW w:w="900" w:type="dxa"/>
        </w:tcPr>
        <w:p w14:paraId="2460877A" w14:textId="77777777" w:rsidR="00A47959" w:rsidRPr="007709EF" w:rsidRDefault="00A47959" w:rsidP="000854C1">
          <w:r>
            <w:t>Subject</w:t>
          </w:r>
        </w:p>
      </w:tc>
      <w:tc>
        <w:tcPr>
          <w:tcW w:w="6620" w:type="dxa"/>
        </w:tcPr>
        <w:p w14:paraId="263A1483" w14:textId="4A636BFF" w:rsidR="00A47959" w:rsidRPr="00A47959" w:rsidRDefault="00A47959" w:rsidP="00043D05">
          <w:pPr>
            <w:rPr>
              <w:lang w:val="en-US"/>
            </w:rPr>
          </w:pPr>
          <w:r w:rsidRPr="00A47959">
            <w:rPr>
              <w:lang w:val="en-US"/>
            </w:rPr>
            <w:t>Government response to the review of enterprise policy: budget items 12 and 13</w:t>
          </w:r>
        </w:p>
      </w:tc>
    </w:tr>
  </w:tbl>
  <w:p w14:paraId="12F2310A" w14:textId="77777777" w:rsidR="00A47959" w:rsidRPr="00BC4AE3" w:rsidRDefault="00A47959" w:rsidP="00BC4AE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866E00"/>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E80A7D34"/>
    <w:lvl w:ilvl="0">
      <w:start w:val="1"/>
      <w:numFmt w:val="bullet"/>
      <w:lvlText w:val=""/>
      <w:lvlJc w:val="left"/>
      <w:pPr>
        <w:tabs>
          <w:tab w:val="num" w:pos="360"/>
        </w:tabs>
        <w:ind w:left="360" w:hanging="360"/>
      </w:pPr>
      <w:rPr>
        <w:rFonts w:ascii="Symbol" w:hAnsi="Symbol" w:hint="default"/>
      </w:rPr>
    </w:lvl>
  </w:abstractNum>
  <w:abstractNum w:abstractNumId="2">
    <w:nsid w:val="011F2077"/>
    <w:multiLevelType w:val="hybridMultilevel"/>
    <w:tmpl w:val="60DE9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20A4"/>
    <w:multiLevelType w:val="hybridMultilevel"/>
    <w:tmpl w:val="1D8E1FCE"/>
    <w:lvl w:ilvl="0" w:tplc="1EDC355A">
      <w:start w:val="1"/>
      <w:numFmt w:val="bullet"/>
      <w:pStyle w:val="Lijstopsomteken"/>
      <w:lvlText w:val="•"/>
      <w:lvlJc w:val="left"/>
      <w:pPr>
        <w:tabs>
          <w:tab w:val="num" w:pos="227"/>
        </w:tabs>
        <w:ind w:left="227" w:hanging="227"/>
      </w:pPr>
      <w:rPr>
        <w:rFonts w:ascii="Verdana" w:hAnsi="Verdana"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E555FEF"/>
    <w:multiLevelType w:val="hybridMultilevel"/>
    <w:tmpl w:val="50F0923E"/>
    <w:lvl w:ilvl="0" w:tplc="A2CC0C32">
      <w:start w:val="1"/>
      <w:numFmt w:val="bullet"/>
      <w:pStyle w:val="Lijstopsomteken2"/>
      <w:lvlText w:val="–"/>
      <w:lvlJc w:val="left"/>
      <w:pPr>
        <w:tabs>
          <w:tab w:val="num" w:pos="227"/>
        </w:tabs>
        <w:ind w:left="227"/>
      </w:pPr>
      <w:rPr>
        <w:rFonts w:ascii="Verdana" w:hAnsi="Verdan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F5A4BE6"/>
    <w:multiLevelType w:val="hybridMultilevel"/>
    <w:tmpl w:val="ED5EB598"/>
    <w:lvl w:ilvl="0" w:tplc="04130001">
      <w:start w:val="1"/>
      <w:numFmt w:val="bullet"/>
      <w:lvlText w:val=""/>
      <w:lvlJc w:val="left"/>
      <w:pPr>
        <w:ind w:left="360" w:hanging="360"/>
      </w:pPr>
      <w:rPr>
        <w:rFonts w:ascii="Symbol" w:hAnsi="Symbol" w:hint="default"/>
        <w:sz w:val="16"/>
      </w:rPr>
    </w:lvl>
    <w:lvl w:ilvl="1" w:tplc="04130001">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4E3AAB"/>
    <w:multiLevelType w:val="hybridMultilevel"/>
    <w:tmpl w:val="8AFC819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53E830D7"/>
    <w:multiLevelType w:val="hybridMultilevel"/>
    <w:tmpl w:val="EF0884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8727AF"/>
    <w:multiLevelType w:val="hybridMultilevel"/>
    <w:tmpl w:val="599E8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90785"/>
    <w:multiLevelType w:val="hybridMultilevel"/>
    <w:tmpl w:val="49302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430A8"/>
    <w:multiLevelType w:val="hybridMultilevel"/>
    <w:tmpl w:val="CEAAD05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3"/>
  </w:num>
  <w:num w:numId="18">
    <w:abstractNumId w:val="4"/>
  </w:num>
  <w:num w:numId="19">
    <w:abstractNumId w:val="10"/>
  </w:num>
  <w:num w:numId="20">
    <w:abstractNumId w:val="2"/>
  </w:num>
  <w:num w:numId="21">
    <w:abstractNumId w:val="7"/>
  </w:num>
  <w:num w:numId="22">
    <w:abstractNumId w:val="8"/>
  </w:num>
  <w:num w:numId="23">
    <w:abstractNumId w:val="9"/>
  </w:num>
  <w:num w:numId="24">
    <w:abstractNumId w:val="5"/>
  </w:num>
  <w:num w:numId="25">
    <w:abstractNumId w:val="10"/>
  </w:num>
  <w:num w:numId="26">
    <w:abstractNumId w:val="6"/>
  </w:num>
  <w:num w:numId="27">
    <w:abstractNumId w:val="2"/>
  </w:num>
  <w:num w:numId="28">
    <w:abstractNumId w:val="7"/>
  </w:num>
  <w:num w:numId="29">
    <w:abstractNumId w:val="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hyphenationZone w:val="425"/>
  <w:doNotHyphenateCaps/>
  <w:characterSpacingControl w:val="doNotCompress"/>
  <w:doNotValidateAgainstSchema/>
  <w:doNotDemarcateInvalidXml/>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HC_HBID" w:val="15054039"/>
    <w:docVar w:name="HC_HBLIB" w:val="DOMUS"/>
  </w:docVars>
  <w:rsids>
    <w:rsidRoot w:val="000854C1"/>
    <w:rsid w:val="00003A02"/>
    <w:rsid w:val="000049FB"/>
    <w:rsid w:val="00011E58"/>
    <w:rsid w:val="0001208A"/>
    <w:rsid w:val="00013862"/>
    <w:rsid w:val="00016012"/>
    <w:rsid w:val="00020189"/>
    <w:rsid w:val="00020EE4"/>
    <w:rsid w:val="00022C8A"/>
    <w:rsid w:val="00023E9A"/>
    <w:rsid w:val="0002793C"/>
    <w:rsid w:val="00033CDD"/>
    <w:rsid w:val="00034A84"/>
    <w:rsid w:val="00035E67"/>
    <w:rsid w:val="000366F3"/>
    <w:rsid w:val="00043D05"/>
    <w:rsid w:val="000471B5"/>
    <w:rsid w:val="00055D72"/>
    <w:rsid w:val="0006024D"/>
    <w:rsid w:val="00063709"/>
    <w:rsid w:val="000654E8"/>
    <w:rsid w:val="00071F28"/>
    <w:rsid w:val="00072E8C"/>
    <w:rsid w:val="00072FC8"/>
    <w:rsid w:val="00074079"/>
    <w:rsid w:val="00074123"/>
    <w:rsid w:val="000854C1"/>
    <w:rsid w:val="00092799"/>
    <w:rsid w:val="00092C5F"/>
    <w:rsid w:val="00092FA4"/>
    <w:rsid w:val="00094FB9"/>
    <w:rsid w:val="00096680"/>
    <w:rsid w:val="000A0F36"/>
    <w:rsid w:val="000A174A"/>
    <w:rsid w:val="000A3E0A"/>
    <w:rsid w:val="000A65AC"/>
    <w:rsid w:val="000B21F6"/>
    <w:rsid w:val="000B7281"/>
    <w:rsid w:val="000B7FAB"/>
    <w:rsid w:val="000C0163"/>
    <w:rsid w:val="000C1BA1"/>
    <w:rsid w:val="000C3EA9"/>
    <w:rsid w:val="000C5753"/>
    <w:rsid w:val="000D0225"/>
    <w:rsid w:val="000D232A"/>
    <w:rsid w:val="000E2D2A"/>
    <w:rsid w:val="000E7895"/>
    <w:rsid w:val="000F161D"/>
    <w:rsid w:val="000F6DA6"/>
    <w:rsid w:val="0010219B"/>
    <w:rsid w:val="001021EB"/>
    <w:rsid w:val="00103976"/>
    <w:rsid w:val="00115481"/>
    <w:rsid w:val="00121ADB"/>
    <w:rsid w:val="00121BF0"/>
    <w:rsid w:val="00123704"/>
    <w:rsid w:val="001270C7"/>
    <w:rsid w:val="00131D01"/>
    <w:rsid w:val="00132540"/>
    <w:rsid w:val="00133286"/>
    <w:rsid w:val="00145503"/>
    <w:rsid w:val="0014786A"/>
    <w:rsid w:val="001516A4"/>
    <w:rsid w:val="00151E5F"/>
    <w:rsid w:val="0015470F"/>
    <w:rsid w:val="001569AB"/>
    <w:rsid w:val="001579C6"/>
    <w:rsid w:val="00164D63"/>
    <w:rsid w:val="001659E4"/>
    <w:rsid w:val="0016725C"/>
    <w:rsid w:val="00167F40"/>
    <w:rsid w:val="001726F3"/>
    <w:rsid w:val="00173C51"/>
    <w:rsid w:val="00174CC2"/>
    <w:rsid w:val="00176CC6"/>
    <w:rsid w:val="001814FC"/>
    <w:rsid w:val="00181BE4"/>
    <w:rsid w:val="00182BA0"/>
    <w:rsid w:val="00185576"/>
    <w:rsid w:val="00185951"/>
    <w:rsid w:val="00185A07"/>
    <w:rsid w:val="00192F10"/>
    <w:rsid w:val="0019493F"/>
    <w:rsid w:val="00195F91"/>
    <w:rsid w:val="00196B8B"/>
    <w:rsid w:val="001A2BEA"/>
    <w:rsid w:val="001A6D93"/>
    <w:rsid w:val="001B292D"/>
    <w:rsid w:val="001B564F"/>
    <w:rsid w:val="001C32EC"/>
    <w:rsid w:val="001C38BD"/>
    <w:rsid w:val="001C4D5A"/>
    <w:rsid w:val="001C5D3A"/>
    <w:rsid w:val="001D01E2"/>
    <w:rsid w:val="001D4ABF"/>
    <w:rsid w:val="001D6674"/>
    <w:rsid w:val="001E1C67"/>
    <w:rsid w:val="001E34C6"/>
    <w:rsid w:val="001E5581"/>
    <w:rsid w:val="001E775F"/>
    <w:rsid w:val="001F3C70"/>
    <w:rsid w:val="001F41AC"/>
    <w:rsid w:val="001F6717"/>
    <w:rsid w:val="00200D88"/>
    <w:rsid w:val="00201F68"/>
    <w:rsid w:val="00211C80"/>
    <w:rsid w:val="00212F2A"/>
    <w:rsid w:val="00214F2B"/>
    <w:rsid w:val="00217880"/>
    <w:rsid w:val="00221EEE"/>
    <w:rsid w:val="00222569"/>
    <w:rsid w:val="00222D66"/>
    <w:rsid w:val="002239DA"/>
    <w:rsid w:val="00224500"/>
    <w:rsid w:val="00224A8A"/>
    <w:rsid w:val="00225980"/>
    <w:rsid w:val="0023086F"/>
    <w:rsid w:val="002309A8"/>
    <w:rsid w:val="0023190D"/>
    <w:rsid w:val="00234FF8"/>
    <w:rsid w:val="00236503"/>
    <w:rsid w:val="00236CFE"/>
    <w:rsid w:val="002428E3"/>
    <w:rsid w:val="00243031"/>
    <w:rsid w:val="00257E78"/>
    <w:rsid w:val="00260BAF"/>
    <w:rsid w:val="00262DCF"/>
    <w:rsid w:val="002650F7"/>
    <w:rsid w:val="00271A68"/>
    <w:rsid w:val="00272498"/>
    <w:rsid w:val="00273432"/>
    <w:rsid w:val="00273F3B"/>
    <w:rsid w:val="00274DB7"/>
    <w:rsid w:val="00275984"/>
    <w:rsid w:val="002763BB"/>
    <w:rsid w:val="00280F74"/>
    <w:rsid w:val="00286998"/>
    <w:rsid w:val="00291986"/>
    <w:rsid w:val="00291AB7"/>
    <w:rsid w:val="00292262"/>
    <w:rsid w:val="0029422B"/>
    <w:rsid w:val="0029579A"/>
    <w:rsid w:val="0029688F"/>
    <w:rsid w:val="00296D42"/>
    <w:rsid w:val="002A083C"/>
    <w:rsid w:val="002B153C"/>
    <w:rsid w:val="002B52FC"/>
    <w:rsid w:val="002B7B18"/>
    <w:rsid w:val="002C1307"/>
    <w:rsid w:val="002C2830"/>
    <w:rsid w:val="002D001A"/>
    <w:rsid w:val="002D28E2"/>
    <w:rsid w:val="002D317B"/>
    <w:rsid w:val="002D3587"/>
    <w:rsid w:val="002D502D"/>
    <w:rsid w:val="002E0876"/>
    <w:rsid w:val="002E0F69"/>
    <w:rsid w:val="002E2167"/>
    <w:rsid w:val="002F5147"/>
    <w:rsid w:val="002F6222"/>
    <w:rsid w:val="002F7ABD"/>
    <w:rsid w:val="0030117A"/>
    <w:rsid w:val="00312597"/>
    <w:rsid w:val="00313F9B"/>
    <w:rsid w:val="003217E9"/>
    <w:rsid w:val="0032596A"/>
    <w:rsid w:val="00327BA5"/>
    <w:rsid w:val="00334154"/>
    <w:rsid w:val="00334D14"/>
    <w:rsid w:val="003372C4"/>
    <w:rsid w:val="003410E9"/>
    <w:rsid w:val="00341FA0"/>
    <w:rsid w:val="0034256D"/>
    <w:rsid w:val="00344F3D"/>
    <w:rsid w:val="00345299"/>
    <w:rsid w:val="00351A8D"/>
    <w:rsid w:val="003526BB"/>
    <w:rsid w:val="00352BCF"/>
    <w:rsid w:val="00353932"/>
    <w:rsid w:val="0035464B"/>
    <w:rsid w:val="00355E6B"/>
    <w:rsid w:val="00361A56"/>
    <w:rsid w:val="0036252A"/>
    <w:rsid w:val="00364D9D"/>
    <w:rsid w:val="00371048"/>
    <w:rsid w:val="0037396C"/>
    <w:rsid w:val="0037421D"/>
    <w:rsid w:val="00376093"/>
    <w:rsid w:val="00380B8E"/>
    <w:rsid w:val="00383DA1"/>
    <w:rsid w:val="00385F30"/>
    <w:rsid w:val="00393696"/>
    <w:rsid w:val="00393963"/>
    <w:rsid w:val="00395575"/>
    <w:rsid w:val="00395672"/>
    <w:rsid w:val="00396D1B"/>
    <w:rsid w:val="003A06C8"/>
    <w:rsid w:val="003A0D7C"/>
    <w:rsid w:val="003A0F65"/>
    <w:rsid w:val="003A3301"/>
    <w:rsid w:val="003A3A6F"/>
    <w:rsid w:val="003A5290"/>
    <w:rsid w:val="003B0155"/>
    <w:rsid w:val="003B68B5"/>
    <w:rsid w:val="003B780A"/>
    <w:rsid w:val="003B7EE7"/>
    <w:rsid w:val="003C2CCB"/>
    <w:rsid w:val="003D0703"/>
    <w:rsid w:val="003D39EC"/>
    <w:rsid w:val="003D49D1"/>
    <w:rsid w:val="003D79BF"/>
    <w:rsid w:val="003E3DD5"/>
    <w:rsid w:val="003F022A"/>
    <w:rsid w:val="003F07C6"/>
    <w:rsid w:val="003F1F6B"/>
    <w:rsid w:val="003F3757"/>
    <w:rsid w:val="003F38BD"/>
    <w:rsid w:val="003F44B7"/>
    <w:rsid w:val="004008E9"/>
    <w:rsid w:val="00400EB7"/>
    <w:rsid w:val="004049CD"/>
    <w:rsid w:val="00413D48"/>
    <w:rsid w:val="00421AE9"/>
    <w:rsid w:val="00441AC2"/>
    <w:rsid w:val="0044249B"/>
    <w:rsid w:val="00443905"/>
    <w:rsid w:val="0045023C"/>
    <w:rsid w:val="00451A5B"/>
    <w:rsid w:val="00452BCD"/>
    <w:rsid w:val="00452CEA"/>
    <w:rsid w:val="00452D4C"/>
    <w:rsid w:val="0046205F"/>
    <w:rsid w:val="00465B52"/>
    <w:rsid w:val="00466F5D"/>
    <w:rsid w:val="0046708E"/>
    <w:rsid w:val="0047019D"/>
    <w:rsid w:val="00472A65"/>
    <w:rsid w:val="0047341F"/>
    <w:rsid w:val="00474463"/>
    <w:rsid w:val="00474494"/>
    <w:rsid w:val="00474B75"/>
    <w:rsid w:val="00480D7E"/>
    <w:rsid w:val="00483F0B"/>
    <w:rsid w:val="00484989"/>
    <w:rsid w:val="00486B39"/>
    <w:rsid w:val="00493524"/>
    <w:rsid w:val="00493EC3"/>
    <w:rsid w:val="00493FC1"/>
    <w:rsid w:val="00495B8B"/>
    <w:rsid w:val="00495FA9"/>
    <w:rsid w:val="00496319"/>
    <w:rsid w:val="00497279"/>
    <w:rsid w:val="004A3376"/>
    <w:rsid w:val="004A670A"/>
    <w:rsid w:val="004A6838"/>
    <w:rsid w:val="004A6F4B"/>
    <w:rsid w:val="004B5465"/>
    <w:rsid w:val="004B70F0"/>
    <w:rsid w:val="004C6C06"/>
    <w:rsid w:val="004C6F98"/>
    <w:rsid w:val="004D4928"/>
    <w:rsid w:val="004D505E"/>
    <w:rsid w:val="004D6906"/>
    <w:rsid w:val="004D72CA"/>
    <w:rsid w:val="004E2242"/>
    <w:rsid w:val="004E3E14"/>
    <w:rsid w:val="004E638F"/>
    <w:rsid w:val="004F2274"/>
    <w:rsid w:val="004F42FF"/>
    <w:rsid w:val="004F44C2"/>
    <w:rsid w:val="00502512"/>
    <w:rsid w:val="00505262"/>
    <w:rsid w:val="00506BCF"/>
    <w:rsid w:val="00516022"/>
    <w:rsid w:val="00521CEE"/>
    <w:rsid w:val="00522E25"/>
    <w:rsid w:val="00527BD4"/>
    <w:rsid w:val="005403C8"/>
    <w:rsid w:val="00540FC7"/>
    <w:rsid w:val="005429DC"/>
    <w:rsid w:val="00543287"/>
    <w:rsid w:val="005565F9"/>
    <w:rsid w:val="00563EB7"/>
    <w:rsid w:val="00567BCC"/>
    <w:rsid w:val="00567DBF"/>
    <w:rsid w:val="00573041"/>
    <w:rsid w:val="00575B80"/>
    <w:rsid w:val="0057620F"/>
    <w:rsid w:val="0058033D"/>
    <w:rsid w:val="005819CE"/>
    <w:rsid w:val="0058298D"/>
    <w:rsid w:val="00591733"/>
    <w:rsid w:val="0059372F"/>
    <w:rsid w:val="00593C2B"/>
    <w:rsid w:val="00594445"/>
    <w:rsid w:val="00594803"/>
    <w:rsid w:val="00595231"/>
    <w:rsid w:val="0059538F"/>
    <w:rsid w:val="00596166"/>
    <w:rsid w:val="00597F64"/>
    <w:rsid w:val="005A207F"/>
    <w:rsid w:val="005A2F35"/>
    <w:rsid w:val="005A5676"/>
    <w:rsid w:val="005A66CC"/>
    <w:rsid w:val="005B3814"/>
    <w:rsid w:val="005B463E"/>
    <w:rsid w:val="005C34E1"/>
    <w:rsid w:val="005C3FE0"/>
    <w:rsid w:val="005C740C"/>
    <w:rsid w:val="005C744C"/>
    <w:rsid w:val="005D134E"/>
    <w:rsid w:val="005D59B7"/>
    <w:rsid w:val="005D625B"/>
    <w:rsid w:val="005E78EE"/>
    <w:rsid w:val="005F1B83"/>
    <w:rsid w:val="005F62D3"/>
    <w:rsid w:val="005F6D11"/>
    <w:rsid w:val="005F72FB"/>
    <w:rsid w:val="005F7E77"/>
    <w:rsid w:val="00600CF0"/>
    <w:rsid w:val="006048F4"/>
    <w:rsid w:val="0060660A"/>
    <w:rsid w:val="0061163B"/>
    <w:rsid w:val="006134FB"/>
    <w:rsid w:val="00613B1D"/>
    <w:rsid w:val="00617A44"/>
    <w:rsid w:val="00617EC9"/>
    <w:rsid w:val="006202B6"/>
    <w:rsid w:val="00625207"/>
    <w:rsid w:val="006258CD"/>
    <w:rsid w:val="00625CD0"/>
    <w:rsid w:val="0062627D"/>
    <w:rsid w:val="00627408"/>
    <w:rsid w:val="00627432"/>
    <w:rsid w:val="0062753F"/>
    <w:rsid w:val="006319CB"/>
    <w:rsid w:val="00633E82"/>
    <w:rsid w:val="006448E4"/>
    <w:rsid w:val="00645414"/>
    <w:rsid w:val="0065068F"/>
    <w:rsid w:val="00652D7A"/>
    <w:rsid w:val="00653606"/>
    <w:rsid w:val="006553B2"/>
    <w:rsid w:val="006558CF"/>
    <w:rsid w:val="006610E9"/>
    <w:rsid w:val="00661591"/>
    <w:rsid w:val="0066632F"/>
    <w:rsid w:val="00667F66"/>
    <w:rsid w:val="00673257"/>
    <w:rsid w:val="00674A89"/>
    <w:rsid w:val="00674F3D"/>
    <w:rsid w:val="00681A38"/>
    <w:rsid w:val="00683F7F"/>
    <w:rsid w:val="00685545"/>
    <w:rsid w:val="006864B3"/>
    <w:rsid w:val="00687F6C"/>
    <w:rsid w:val="00692D64"/>
    <w:rsid w:val="006A0DEC"/>
    <w:rsid w:val="006A10F8"/>
    <w:rsid w:val="006A2100"/>
    <w:rsid w:val="006A5C3B"/>
    <w:rsid w:val="006A72E0"/>
    <w:rsid w:val="006B0BF3"/>
    <w:rsid w:val="006B36EA"/>
    <w:rsid w:val="006B775E"/>
    <w:rsid w:val="006B7BC7"/>
    <w:rsid w:val="006C2535"/>
    <w:rsid w:val="006C441E"/>
    <w:rsid w:val="006C4B90"/>
    <w:rsid w:val="006C7345"/>
    <w:rsid w:val="006D1016"/>
    <w:rsid w:val="006D17F2"/>
    <w:rsid w:val="006D318C"/>
    <w:rsid w:val="006D63B5"/>
    <w:rsid w:val="006E3546"/>
    <w:rsid w:val="006E3FA9"/>
    <w:rsid w:val="006E7D82"/>
    <w:rsid w:val="006F038F"/>
    <w:rsid w:val="006F0F93"/>
    <w:rsid w:val="006F1965"/>
    <w:rsid w:val="006F31F2"/>
    <w:rsid w:val="006F7494"/>
    <w:rsid w:val="00705AD4"/>
    <w:rsid w:val="00714DC5"/>
    <w:rsid w:val="00715237"/>
    <w:rsid w:val="0071699D"/>
    <w:rsid w:val="007208AF"/>
    <w:rsid w:val="0072264C"/>
    <w:rsid w:val="007254A5"/>
    <w:rsid w:val="00725748"/>
    <w:rsid w:val="00734B99"/>
    <w:rsid w:val="00735D88"/>
    <w:rsid w:val="0073720D"/>
    <w:rsid w:val="00737507"/>
    <w:rsid w:val="00740712"/>
    <w:rsid w:val="007426AA"/>
    <w:rsid w:val="00742AB9"/>
    <w:rsid w:val="00743AA7"/>
    <w:rsid w:val="00747141"/>
    <w:rsid w:val="00751A6A"/>
    <w:rsid w:val="00754FBF"/>
    <w:rsid w:val="007709EF"/>
    <w:rsid w:val="00775F00"/>
    <w:rsid w:val="007763BD"/>
    <w:rsid w:val="00777135"/>
    <w:rsid w:val="00777FEA"/>
    <w:rsid w:val="00782AE0"/>
    <w:rsid w:val="00783559"/>
    <w:rsid w:val="00784E49"/>
    <w:rsid w:val="00785074"/>
    <w:rsid w:val="00796025"/>
    <w:rsid w:val="00797AA5"/>
    <w:rsid w:val="007A26BD"/>
    <w:rsid w:val="007A4105"/>
    <w:rsid w:val="007B4503"/>
    <w:rsid w:val="007C127F"/>
    <w:rsid w:val="007C3572"/>
    <w:rsid w:val="007C406E"/>
    <w:rsid w:val="007C5183"/>
    <w:rsid w:val="007C7573"/>
    <w:rsid w:val="007D6E3F"/>
    <w:rsid w:val="007E2B20"/>
    <w:rsid w:val="007F40A7"/>
    <w:rsid w:val="007F5331"/>
    <w:rsid w:val="00800CCA"/>
    <w:rsid w:val="00803D68"/>
    <w:rsid w:val="0080444C"/>
    <w:rsid w:val="00806120"/>
    <w:rsid w:val="00810C93"/>
    <w:rsid w:val="00812028"/>
    <w:rsid w:val="00812DD8"/>
    <w:rsid w:val="00813082"/>
    <w:rsid w:val="00814D03"/>
    <w:rsid w:val="00816030"/>
    <w:rsid w:val="00821FC1"/>
    <w:rsid w:val="008227A3"/>
    <w:rsid w:val="008231E1"/>
    <w:rsid w:val="0082610C"/>
    <w:rsid w:val="00827ADC"/>
    <w:rsid w:val="00830053"/>
    <w:rsid w:val="0083178B"/>
    <w:rsid w:val="00833695"/>
    <w:rsid w:val="008336B7"/>
    <w:rsid w:val="00833A8E"/>
    <w:rsid w:val="00842CD8"/>
    <w:rsid w:val="008431FA"/>
    <w:rsid w:val="00846B94"/>
    <w:rsid w:val="008547BA"/>
    <w:rsid w:val="008553C7"/>
    <w:rsid w:val="00857FEB"/>
    <w:rsid w:val="008601AF"/>
    <w:rsid w:val="008639F1"/>
    <w:rsid w:val="00872271"/>
    <w:rsid w:val="00872A0F"/>
    <w:rsid w:val="00875425"/>
    <w:rsid w:val="00883137"/>
    <w:rsid w:val="008842B1"/>
    <w:rsid w:val="00884E59"/>
    <w:rsid w:val="00884FAD"/>
    <w:rsid w:val="00886B06"/>
    <w:rsid w:val="00887C23"/>
    <w:rsid w:val="00891B82"/>
    <w:rsid w:val="00896118"/>
    <w:rsid w:val="008976CF"/>
    <w:rsid w:val="008A0F0C"/>
    <w:rsid w:val="008A16DB"/>
    <w:rsid w:val="008A1F5D"/>
    <w:rsid w:val="008A28F5"/>
    <w:rsid w:val="008B1198"/>
    <w:rsid w:val="008B3471"/>
    <w:rsid w:val="008B3929"/>
    <w:rsid w:val="008B4125"/>
    <w:rsid w:val="008B4CB3"/>
    <w:rsid w:val="008B567B"/>
    <w:rsid w:val="008B7B24"/>
    <w:rsid w:val="008C23C8"/>
    <w:rsid w:val="008C356D"/>
    <w:rsid w:val="008C5D42"/>
    <w:rsid w:val="008D4507"/>
    <w:rsid w:val="008D4C0C"/>
    <w:rsid w:val="008E0B3F"/>
    <w:rsid w:val="008E49AD"/>
    <w:rsid w:val="008E698E"/>
    <w:rsid w:val="008F1153"/>
    <w:rsid w:val="008F1238"/>
    <w:rsid w:val="008F2584"/>
    <w:rsid w:val="008F3246"/>
    <w:rsid w:val="008F36E5"/>
    <w:rsid w:val="008F3C1B"/>
    <w:rsid w:val="008F508C"/>
    <w:rsid w:val="0090161C"/>
    <w:rsid w:val="0090271B"/>
    <w:rsid w:val="00910642"/>
    <w:rsid w:val="00910DDF"/>
    <w:rsid w:val="009116D0"/>
    <w:rsid w:val="009303BA"/>
    <w:rsid w:val="00930B13"/>
    <w:rsid w:val="009311C8"/>
    <w:rsid w:val="00933376"/>
    <w:rsid w:val="00933A2F"/>
    <w:rsid w:val="00940D34"/>
    <w:rsid w:val="00946F19"/>
    <w:rsid w:val="009716D8"/>
    <w:rsid w:val="009718F9"/>
    <w:rsid w:val="00972FB9"/>
    <w:rsid w:val="00975112"/>
    <w:rsid w:val="00981768"/>
    <w:rsid w:val="00983E8F"/>
    <w:rsid w:val="009871C0"/>
    <w:rsid w:val="009876B4"/>
    <w:rsid w:val="0099287B"/>
    <w:rsid w:val="00993646"/>
    <w:rsid w:val="00994FDA"/>
    <w:rsid w:val="009973A3"/>
    <w:rsid w:val="009A31BF"/>
    <w:rsid w:val="009A3B71"/>
    <w:rsid w:val="009A5E76"/>
    <w:rsid w:val="009A61BC"/>
    <w:rsid w:val="009A7F58"/>
    <w:rsid w:val="009B0138"/>
    <w:rsid w:val="009B0FE9"/>
    <w:rsid w:val="009B173A"/>
    <w:rsid w:val="009B2A1D"/>
    <w:rsid w:val="009B7A5A"/>
    <w:rsid w:val="009C3F20"/>
    <w:rsid w:val="009C4B0D"/>
    <w:rsid w:val="009C7CA1"/>
    <w:rsid w:val="009D043D"/>
    <w:rsid w:val="009D0806"/>
    <w:rsid w:val="009F229E"/>
    <w:rsid w:val="009F3259"/>
    <w:rsid w:val="009F5AE6"/>
    <w:rsid w:val="00A00E4F"/>
    <w:rsid w:val="00A01AE2"/>
    <w:rsid w:val="00A056DE"/>
    <w:rsid w:val="00A128AD"/>
    <w:rsid w:val="00A13210"/>
    <w:rsid w:val="00A14D20"/>
    <w:rsid w:val="00A15F86"/>
    <w:rsid w:val="00A17F74"/>
    <w:rsid w:val="00A21912"/>
    <w:rsid w:val="00A21E76"/>
    <w:rsid w:val="00A23BC8"/>
    <w:rsid w:val="00A265C2"/>
    <w:rsid w:val="00A30E68"/>
    <w:rsid w:val="00A310D9"/>
    <w:rsid w:val="00A31933"/>
    <w:rsid w:val="00A329D2"/>
    <w:rsid w:val="00A3463D"/>
    <w:rsid w:val="00A34AA0"/>
    <w:rsid w:val="00A407BB"/>
    <w:rsid w:val="00A41FE2"/>
    <w:rsid w:val="00A42A7E"/>
    <w:rsid w:val="00A46B93"/>
    <w:rsid w:val="00A46FEF"/>
    <w:rsid w:val="00A474E7"/>
    <w:rsid w:val="00A47948"/>
    <w:rsid w:val="00A47959"/>
    <w:rsid w:val="00A50CF6"/>
    <w:rsid w:val="00A56946"/>
    <w:rsid w:val="00A6170E"/>
    <w:rsid w:val="00A639A2"/>
    <w:rsid w:val="00A63B8C"/>
    <w:rsid w:val="00A63C86"/>
    <w:rsid w:val="00A652F3"/>
    <w:rsid w:val="00A660C9"/>
    <w:rsid w:val="00A66DAA"/>
    <w:rsid w:val="00A715F8"/>
    <w:rsid w:val="00A74BA7"/>
    <w:rsid w:val="00A77F6F"/>
    <w:rsid w:val="00A831FD"/>
    <w:rsid w:val="00A83352"/>
    <w:rsid w:val="00A850A2"/>
    <w:rsid w:val="00A9022B"/>
    <w:rsid w:val="00A90DD0"/>
    <w:rsid w:val="00A91FA3"/>
    <w:rsid w:val="00A927D3"/>
    <w:rsid w:val="00A94B6E"/>
    <w:rsid w:val="00A95A1D"/>
    <w:rsid w:val="00A97296"/>
    <w:rsid w:val="00AA7FC9"/>
    <w:rsid w:val="00AB237D"/>
    <w:rsid w:val="00AB4738"/>
    <w:rsid w:val="00AB5933"/>
    <w:rsid w:val="00AC1D36"/>
    <w:rsid w:val="00AD1940"/>
    <w:rsid w:val="00AD2848"/>
    <w:rsid w:val="00AE013D"/>
    <w:rsid w:val="00AE11B7"/>
    <w:rsid w:val="00AE37F7"/>
    <w:rsid w:val="00AE45BC"/>
    <w:rsid w:val="00AE5D32"/>
    <w:rsid w:val="00AE7F68"/>
    <w:rsid w:val="00AF2321"/>
    <w:rsid w:val="00AF3B91"/>
    <w:rsid w:val="00AF52F6"/>
    <w:rsid w:val="00AF55B8"/>
    <w:rsid w:val="00AF7237"/>
    <w:rsid w:val="00B0043A"/>
    <w:rsid w:val="00B00D75"/>
    <w:rsid w:val="00B0515F"/>
    <w:rsid w:val="00B070CB"/>
    <w:rsid w:val="00B12456"/>
    <w:rsid w:val="00B145F0"/>
    <w:rsid w:val="00B259C8"/>
    <w:rsid w:val="00B26CCF"/>
    <w:rsid w:val="00B30086"/>
    <w:rsid w:val="00B30FC2"/>
    <w:rsid w:val="00B312D1"/>
    <w:rsid w:val="00B331A2"/>
    <w:rsid w:val="00B425F0"/>
    <w:rsid w:val="00B42DFA"/>
    <w:rsid w:val="00B4452C"/>
    <w:rsid w:val="00B4638E"/>
    <w:rsid w:val="00B531DD"/>
    <w:rsid w:val="00B55014"/>
    <w:rsid w:val="00B62232"/>
    <w:rsid w:val="00B629EC"/>
    <w:rsid w:val="00B70BF3"/>
    <w:rsid w:val="00B71DC2"/>
    <w:rsid w:val="00B72769"/>
    <w:rsid w:val="00B76F58"/>
    <w:rsid w:val="00B77941"/>
    <w:rsid w:val="00B91CFC"/>
    <w:rsid w:val="00B93893"/>
    <w:rsid w:val="00BA7E0A"/>
    <w:rsid w:val="00BB3F6C"/>
    <w:rsid w:val="00BB4A0C"/>
    <w:rsid w:val="00BC106A"/>
    <w:rsid w:val="00BC3B53"/>
    <w:rsid w:val="00BC3B96"/>
    <w:rsid w:val="00BC4AE3"/>
    <w:rsid w:val="00BC5B28"/>
    <w:rsid w:val="00BC5FA7"/>
    <w:rsid w:val="00BE15CB"/>
    <w:rsid w:val="00BE3F88"/>
    <w:rsid w:val="00BE4756"/>
    <w:rsid w:val="00BE5ED9"/>
    <w:rsid w:val="00BE7B41"/>
    <w:rsid w:val="00BF7588"/>
    <w:rsid w:val="00C15A91"/>
    <w:rsid w:val="00C2054D"/>
    <w:rsid w:val="00C206F1"/>
    <w:rsid w:val="00C2139F"/>
    <w:rsid w:val="00C217E1"/>
    <w:rsid w:val="00C219B1"/>
    <w:rsid w:val="00C24F6F"/>
    <w:rsid w:val="00C32809"/>
    <w:rsid w:val="00C373F7"/>
    <w:rsid w:val="00C4015B"/>
    <w:rsid w:val="00C40C60"/>
    <w:rsid w:val="00C5258E"/>
    <w:rsid w:val="00C52C6C"/>
    <w:rsid w:val="00C530C9"/>
    <w:rsid w:val="00C55164"/>
    <w:rsid w:val="00C619A7"/>
    <w:rsid w:val="00C62A75"/>
    <w:rsid w:val="00C63A6D"/>
    <w:rsid w:val="00C6623F"/>
    <w:rsid w:val="00C72F9F"/>
    <w:rsid w:val="00C73D5F"/>
    <w:rsid w:val="00C90E01"/>
    <w:rsid w:val="00C97C80"/>
    <w:rsid w:val="00CA4395"/>
    <w:rsid w:val="00CA47D3"/>
    <w:rsid w:val="00CA4F23"/>
    <w:rsid w:val="00CA6533"/>
    <w:rsid w:val="00CA6A25"/>
    <w:rsid w:val="00CA6A3F"/>
    <w:rsid w:val="00CA7C99"/>
    <w:rsid w:val="00CA7FD4"/>
    <w:rsid w:val="00CB5AD1"/>
    <w:rsid w:val="00CB65AC"/>
    <w:rsid w:val="00CB68DE"/>
    <w:rsid w:val="00CC2B1B"/>
    <w:rsid w:val="00CC4E97"/>
    <w:rsid w:val="00CC6290"/>
    <w:rsid w:val="00CD233D"/>
    <w:rsid w:val="00CD362D"/>
    <w:rsid w:val="00CE101D"/>
    <w:rsid w:val="00CE10AA"/>
    <w:rsid w:val="00CE1C84"/>
    <w:rsid w:val="00CE3F2C"/>
    <w:rsid w:val="00CE5055"/>
    <w:rsid w:val="00CF053F"/>
    <w:rsid w:val="00CF1A17"/>
    <w:rsid w:val="00CF1F45"/>
    <w:rsid w:val="00CF3171"/>
    <w:rsid w:val="00CF497E"/>
    <w:rsid w:val="00CF626C"/>
    <w:rsid w:val="00D0375A"/>
    <w:rsid w:val="00D04E5D"/>
    <w:rsid w:val="00D0609E"/>
    <w:rsid w:val="00D077B6"/>
    <w:rsid w:val="00D078E1"/>
    <w:rsid w:val="00D100E9"/>
    <w:rsid w:val="00D118FF"/>
    <w:rsid w:val="00D208D2"/>
    <w:rsid w:val="00D21E4B"/>
    <w:rsid w:val="00D23522"/>
    <w:rsid w:val="00D264D6"/>
    <w:rsid w:val="00D3107F"/>
    <w:rsid w:val="00D33BF0"/>
    <w:rsid w:val="00D33DE0"/>
    <w:rsid w:val="00D36447"/>
    <w:rsid w:val="00D36C54"/>
    <w:rsid w:val="00D41FF4"/>
    <w:rsid w:val="00D425D9"/>
    <w:rsid w:val="00D516BE"/>
    <w:rsid w:val="00D5423B"/>
    <w:rsid w:val="00D54F4E"/>
    <w:rsid w:val="00D55D43"/>
    <w:rsid w:val="00D604B3"/>
    <w:rsid w:val="00D60BA4"/>
    <w:rsid w:val="00D62419"/>
    <w:rsid w:val="00D6380D"/>
    <w:rsid w:val="00D639E5"/>
    <w:rsid w:val="00D6590D"/>
    <w:rsid w:val="00D702F3"/>
    <w:rsid w:val="00D738F7"/>
    <w:rsid w:val="00D73C59"/>
    <w:rsid w:val="00D74F04"/>
    <w:rsid w:val="00D77870"/>
    <w:rsid w:val="00D80977"/>
    <w:rsid w:val="00D80CCE"/>
    <w:rsid w:val="00D86435"/>
    <w:rsid w:val="00D86EEA"/>
    <w:rsid w:val="00D87D03"/>
    <w:rsid w:val="00D95C88"/>
    <w:rsid w:val="00D97B2E"/>
    <w:rsid w:val="00DA241E"/>
    <w:rsid w:val="00DA2552"/>
    <w:rsid w:val="00DB1186"/>
    <w:rsid w:val="00DB36FE"/>
    <w:rsid w:val="00DB51A1"/>
    <w:rsid w:val="00DB533A"/>
    <w:rsid w:val="00DB6307"/>
    <w:rsid w:val="00DB6E67"/>
    <w:rsid w:val="00DB76ED"/>
    <w:rsid w:val="00DD1DCD"/>
    <w:rsid w:val="00DD338F"/>
    <w:rsid w:val="00DD66F2"/>
    <w:rsid w:val="00DD7A93"/>
    <w:rsid w:val="00DE3FE0"/>
    <w:rsid w:val="00DE578A"/>
    <w:rsid w:val="00DE7BB7"/>
    <w:rsid w:val="00DF2583"/>
    <w:rsid w:val="00DF54D9"/>
    <w:rsid w:val="00DF7283"/>
    <w:rsid w:val="00E00B9C"/>
    <w:rsid w:val="00E01A59"/>
    <w:rsid w:val="00E020A8"/>
    <w:rsid w:val="00E10DC6"/>
    <w:rsid w:val="00E11039"/>
    <w:rsid w:val="00E11F8E"/>
    <w:rsid w:val="00E15881"/>
    <w:rsid w:val="00E16A8F"/>
    <w:rsid w:val="00E21DE3"/>
    <w:rsid w:val="00E22341"/>
    <w:rsid w:val="00E307D1"/>
    <w:rsid w:val="00E3427E"/>
    <w:rsid w:val="00E3731D"/>
    <w:rsid w:val="00E3780B"/>
    <w:rsid w:val="00E4359C"/>
    <w:rsid w:val="00E51469"/>
    <w:rsid w:val="00E51FC1"/>
    <w:rsid w:val="00E634E3"/>
    <w:rsid w:val="00E67D45"/>
    <w:rsid w:val="00E711C6"/>
    <w:rsid w:val="00E717C4"/>
    <w:rsid w:val="00E72F53"/>
    <w:rsid w:val="00E77F89"/>
    <w:rsid w:val="00E80330"/>
    <w:rsid w:val="00E806C5"/>
    <w:rsid w:val="00E80E71"/>
    <w:rsid w:val="00E850D3"/>
    <w:rsid w:val="00E853D6"/>
    <w:rsid w:val="00E855BD"/>
    <w:rsid w:val="00E86BE4"/>
    <w:rsid w:val="00E876B9"/>
    <w:rsid w:val="00EB0EAB"/>
    <w:rsid w:val="00EB33C6"/>
    <w:rsid w:val="00EB685A"/>
    <w:rsid w:val="00EC0DFF"/>
    <w:rsid w:val="00EC237D"/>
    <w:rsid w:val="00EC25F7"/>
    <w:rsid w:val="00EC4D0E"/>
    <w:rsid w:val="00EC4E2B"/>
    <w:rsid w:val="00EC5687"/>
    <w:rsid w:val="00ED072A"/>
    <w:rsid w:val="00ED0EA1"/>
    <w:rsid w:val="00ED539E"/>
    <w:rsid w:val="00ED6A81"/>
    <w:rsid w:val="00EE4A1F"/>
    <w:rsid w:val="00EE4C2D"/>
    <w:rsid w:val="00EF1B5A"/>
    <w:rsid w:val="00EF24FB"/>
    <w:rsid w:val="00EF2CCA"/>
    <w:rsid w:val="00EF60DC"/>
    <w:rsid w:val="00EF62D0"/>
    <w:rsid w:val="00EF6829"/>
    <w:rsid w:val="00EF6EA1"/>
    <w:rsid w:val="00F00E4D"/>
    <w:rsid w:val="00F00F54"/>
    <w:rsid w:val="00F02E6A"/>
    <w:rsid w:val="00F03963"/>
    <w:rsid w:val="00F053D4"/>
    <w:rsid w:val="00F05FDF"/>
    <w:rsid w:val="00F06732"/>
    <w:rsid w:val="00F10CF0"/>
    <w:rsid w:val="00F11068"/>
    <w:rsid w:val="00F11908"/>
    <w:rsid w:val="00F1256D"/>
    <w:rsid w:val="00F13A4E"/>
    <w:rsid w:val="00F172BB"/>
    <w:rsid w:val="00F17B10"/>
    <w:rsid w:val="00F21BEF"/>
    <w:rsid w:val="00F2315B"/>
    <w:rsid w:val="00F33536"/>
    <w:rsid w:val="00F36367"/>
    <w:rsid w:val="00F41A6F"/>
    <w:rsid w:val="00F420B6"/>
    <w:rsid w:val="00F44404"/>
    <w:rsid w:val="00F45A25"/>
    <w:rsid w:val="00F50F86"/>
    <w:rsid w:val="00F53F91"/>
    <w:rsid w:val="00F5585B"/>
    <w:rsid w:val="00F61569"/>
    <w:rsid w:val="00F61A72"/>
    <w:rsid w:val="00F62B67"/>
    <w:rsid w:val="00F63D9D"/>
    <w:rsid w:val="00F66F13"/>
    <w:rsid w:val="00F7025F"/>
    <w:rsid w:val="00F74073"/>
    <w:rsid w:val="00F751AF"/>
    <w:rsid w:val="00F75603"/>
    <w:rsid w:val="00F77558"/>
    <w:rsid w:val="00F845B4"/>
    <w:rsid w:val="00F8713B"/>
    <w:rsid w:val="00F93F9E"/>
    <w:rsid w:val="00F9565C"/>
    <w:rsid w:val="00F958FE"/>
    <w:rsid w:val="00FA0B20"/>
    <w:rsid w:val="00FA2CD7"/>
    <w:rsid w:val="00FB06ED"/>
    <w:rsid w:val="00FB5559"/>
    <w:rsid w:val="00FC3165"/>
    <w:rsid w:val="00FC36AB"/>
    <w:rsid w:val="00FC4300"/>
    <w:rsid w:val="00FC7F66"/>
    <w:rsid w:val="00FD5776"/>
    <w:rsid w:val="00FE1CB6"/>
    <w:rsid w:val="00FE2735"/>
    <w:rsid w:val="00FE486B"/>
    <w:rsid w:val="00FE4F08"/>
    <w:rsid w:val="00FE52D4"/>
    <w:rsid w:val="00FF192E"/>
    <w:rsid w:val="00FF517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68A7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footnote reference" w:unhideWhenUsed="0"/>
    <w:lsdException w:name="annotation reference" w:unhideWhenUsed="0"/>
    <w:lsdException w:name="List Bullet" w:unhideWhenUsed="0"/>
    <w:lsdException w:name="List Bullet 2" w:unhideWhenUsed="0"/>
    <w:lsdException w:name="Title" w:semiHidden="0" w:uiPriority="1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iPriority="20" w:unhideWhenUsed="0" w:qFormat="1"/>
    <w:lsdException w:name="annotation subject" w:unhideWhenUsed="0"/>
    <w:lsdException w:name="Table Contemporary"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E4C2D"/>
    <w:pPr>
      <w:spacing w:line="240" w:lineRule="atLeast"/>
    </w:pPr>
    <w:rPr>
      <w:rFonts w:ascii="Verdana" w:hAnsi="Verdana"/>
      <w:sz w:val="18"/>
      <w:szCs w:val="24"/>
    </w:rPr>
  </w:style>
  <w:style w:type="paragraph" w:styleId="Kop1">
    <w:name w:val="heading 1"/>
    <w:basedOn w:val="Standaard"/>
    <w:next w:val="Standaard"/>
    <w:link w:val="Kop1Char"/>
    <w:uiPriority w:val="99"/>
    <w:qFormat/>
    <w:rsid w:val="00023E9A"/>
    <w:pPr>
      <w:keepNext/>
      <w:spacing w:before="240" w:after="60"/>
      <w:outlineLvl w:val="0"/>
    </w:pPr>
    <w:rPr>
      <w:b/>
      <w:bCs/>
      <w:kern w:val="32"/>
      <w:sz w:val="32"/>
      <w:szCs w:val="32"/>
      <w:lang w:val="en-US" w:eastAsia="en-US"/>
    </w:rPr>
  </w:style>
  <w:style w:type="paragraph" w:styleId="Kop2">
    <w:name w:val="heading 2"/>
    <w:basedOn w:val="Standaard"/>
    <w:next w:val="Standaard"/>
    <w:link w:val="Kop2Char"/>
    <w:uiPriority w:val="99"/>
    <w:qFormat/>
    <w:rsid w:val="00023E9A"/>
    <w:pPr>
      <w:keepNext/>
      <w:spacing w:before="240" w:after="60"/>
      <w:outlineLvl w:val="1"/>
    </w:pPr>
    <w:rPr>
      <w:b/>
      <w:bCs/>
      <w:i/>
      <w:iCs/>
      <w:sz w:val="28"/>
      <w:szCs w:val="28"/>
      <w:lang w:val="en-US" w:eastAsia="en-US"/>
    </w:rPr>
  </w:style>
  <w:style w:type="paragraph" w:styleId="Kop3">
    <w:name w:val="heading 3"/>
    <w:basedOn w:val="Standaard"/>
    <w:next w:val="Standaard"/>
    <w:link w:val="Kop3Char"/>
    <w:uiPriority w:val="99"/>
    <w:qFormat/>
    <w:rsid w:val="00023E9A"/>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rsid w:val="00D73C59"/>
    <w:rPr>
      <w:rFonts w:ascii="Verdana" w:hAnsi="Verdana" w:cs="Times New Roman"/>
      <w:b/>
      <w:kern w:val="32"/>
      <w:sz w:val="32"/>
    </w:rPr>
  </w:style>
  <w:style w:type="character" w:customStyle="1" w:styleId="Kop2Char">
    <w:name w:val="Kop 2 Char"/>
    <w:link w:val="Kop2"/>
    <w:uiPriority w:val="99"/>
    <w:rsid w:val="00D73C59"/>
    <w:rPr>
      <w:rFonts w:ascii="Verdana" w:hAnsi="Verdana" w:cs="Times New Roman"/>
      <w:b/>
      <w:i/>
      <w:sz w:val="28"/>
    </w:rPr>
  </w:style>
  <w:style w:type="character" w:customStyle="1" w:styleId="Kop3Char">
    <w:name w:val="Kop 3 Char"/>
    <w:link w:val="Kop3"/>
    <w:uiPriority w:val="99"/>
    <w:semiHidden/>
    <w:rsid w:val="00145503"/>
    <w:rPr>
      <w:rFonts w:ascii="Calibri" w:hAnsi="Calibri" w:cs="Times New Roman"/>
      <w:b/>
      <w:bCs/>
      <w:sz w:val="26"/>
      <w:lang w:val="nl-NL" w:eastAsia="nl-NL"/>
    </w:rPr>
  </w:style>
  <w:style w:type="paragraph" w:styleId="Koptekst">
    <w:name w:val="header"/>
    <w:basedOn w:val="Standaard"/>
    <w:link w:val="KoptekstChar"/>
    <w:uiPriority w:val="99"/>
    <w:rsid w:val="00023E9A"/>
    <w:pPr>
      <w:tabs>
        <w:tab w:val="center" w:pos="4536"/>
        <w:tab w:val="right" w:pos="9072"/>
      </w:tabs>
    </w:pPr>
    <w:rPr>
      <w:lang w:val="en-US" w:eastAsia="en-US"/>
    </w:rPr>
  </w:style>
  <w:style w:type="character" w:customStyle="1" w:styleId="KoptekstChar">
    <w:name w:val="Koptekst Char"/>
    <w:link w:val="Koptekst"/>
    <w:uiPriority w:val="99"/>
    <w:rsid w:val="00D73C59"/>
    <w:rPr>
      <w:rFonts w:ascii="Verdana" w:hAnsi="Verdana" w:cs="Times New Roman"/>
      <w:sz w:val="24"/>
    </w:rPr>
  </w:style>
  <w:style w:type="paragraph" w:styleId="Voettekst">
    <w:name w:val="footer"/>
    <w:basedOn w:val="Standaard"/>
    <w:link w:val="VoettekstChar"/>
    <w:uiPriority w:val="99"/>
    <w:semiHidden/>
    <w:rsid w:val="00023E9A"/>
    <w:pPr>
      <w:tabs>
        <w:tab w:val="center" w:pos="4536"/>
        <w:tab w:val="right" w:pos="9072"/>
      </w:tabs>
    </w:pPr>
    <w:rPr>
      <w:lang w:val="en-US" w:eastAsia="en-US"/>
    </w:rPr>
  </w:style>
  <w:style w:type="character" w:customStyle="1" w:styleId="VoettekstChar">
    <w:name w:val="Voettekst Char"/>
    <w:link w:val="Voettekst"/>
    <w:uiPriority w:val="99"/>
    <w:rsid w:val="00D73C59"/>
    <w:rPr>
      <w:rFonts w:ascii="Verdana" w:hAnsi="Verdana" w:cs="Times New Roman"/>
      <w:sz w:val="24"/>
    </w:rPr>
  </w:style>
  <w:style w:type="table" w:styleId="Tabelraster">
    <w:name w:val="Table Grid"/>
    <w:basedOn w:val="Standaardtabel"/>
    <w:uiPriority w:val="99"/>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isstijl-NotaGegeven">
    <w:name w:val="Huisstijl-NotaGegeven"/>
    <w:basedOn w:val="Standaard"/>
    <w:uiPriority w:val="99"/>
    <w:rsid w:val="00EE4C2D"/>
    <w:pPr>
      <w:adjustRightInd w:val="0"/>
      <w:spacing w:line="180" w:lineRule="exact"/>
    </w:pPr>
    <w:rPr>
      <w:rFonts w:cs="Verdana"/>
      <w:noProof/>
      <w:sz w:val="13"/>
      <w:szCs w:val="18"/>
    </w:rPr>
  </w:style>
  <w:style w:type="paragraph" w:customStyle="1" w:styleId="Huisstijl-Adres">
    <w:name w:val="Huisstijl-Adres"/>
    <w:basedOn w:val="Standaard"/>
    <w:uiPriority w:val="99"/>
    <w:rsid w:val="00575B80"/>
    <w:pPr>
      <w:tabs>
        <w:tab w:val="left" w:pos="192"/>
      </w:tabs>
      <w:adjustRightInd w:val="0"/>
      <w:spacing w:after="90" w:line="180" w:lineRule="exact"/>
    </w:pPr>
    <w:rPr>
      <w:rFonts w:cs="Verdana"/>
      <w:noProof/>
      <w:sz w:val="13"/>
      <w:szCs w:val="13"/>
    </w:rPr>
  </w:style>
  <w:style w:type="paragraph" w:styleId="Lijstopsomteken">
    <w:name w:val="List Bullet"/>
    <w:basedOn w:val="Standaard"/>
    <w:uiPriority w:val="99"/>
    <w:rsid w:val="004F44C2"/>
    <w:pPr>
      <w:numPr>
        <w:numId w:val="17"/>
      </w:numPr>
    </w:pPr>
    <w:rPr>
      <w:noProof/>
    </w:rPr>
  </w:style>
  <w:style w:type="character" w:customStyle="1" w:styleId="Huisstijl-GegevenCharChar">
    <w:name w:val="Huisstijl-Gegeven Char Char"/>
    <w:uiPriority w:val="99"/>
    <w:rsid w:val="000B7FAB"/>
    <w:rPr>
      <w:rFonts w:ascii="Verdana" w:hAnsi="Verdana"/>
      <w:noProof/>
      <w:sz w:val="24"/>
      <w:lang w:val="nl-NL" w:eastAsia="nl-NL"/>
    </w:rPr>
  </w:style>
  <w:style w:type="paragraph" w:customStyle="1" w:styleId="Huisstijl-Gegeven">
    <w:name w:val="Huisstijl-Gegeven"/>
    <w:basedOn w:val="Standaard"/>
    <w:uiPriority w:val="99"/>
    <w:rsid w:val="000B7FAB"/>
    <w:pPr>
      <w:spacing w:after="92" w:line="180" w:lineRule="exact"/>
    </w:pPr>
    <w:rPr>
      <w:noProof/>
      <w:sz w:val="13"/>
    </w:rPr>
  </w:style>
  <w:style w:type="paragraph" w:customStyle="1" w:styleId="Huisstijl-NotaKopje">
    <w:name w:val="Huisstijl-NotaKopje"/>
    <w:basedOn w:val="Huisstijl-NotaGegeven"/>
    <w:next w:val="Huisstijl-NotaGegeven"/>
    <w:uiPriority w:val="99"/>
    <w:rsid w:val="00EE4C2D"/>
    <w:pPr>
      <w:spacing w:before="160" w:line="240" w:lineRule="exact"/>
    </w:pPr>
  </w:style>
  <w:style w:type="paragraph" w:customStyle="1" w:styleId="Huisstijl-Rubricering">
    <w:name w:val="Huisstijl-Rubricering"/>
    <w:basedOn w:val="Standaard"/>
    <w:uiPriority w:val="99"/>
    <w:rsid w:val="000B7FAB"/>
    <w:pPr>
      <w:adjustRightInd w:val="0"/>
      <w:spacing w:line="180" w:lineRule="exact"/>
    </w:pPr>
    <w:rPr>
      <w:rFonts w:cs="Verdana-Bold"/>
      <w:b/>
      <w:bCs/>
      <w:smallCaps/>
      <w:noProof/>
      <w:sz w:val="13"/>
      <w:szCs w:val="13"/>
    </w:rPr>
  </w:style>
  <w:style w:type="paragraph" w:customStyle="1" w:styleId="Huisstijl-NAW">
    <w:name w:val="Huisstijl-NAW"/>
    <w:basedOn w:val="Standaard"/>
    <w:uiPriority w:val="99"/>
    <w:rsid w:val="000B7FAB"/>
    <w:pPr>
      <w:adjustRightInd w:val="0"/>
    </w:pPr>
    <w:rPr>
      <w:rFonts w:cs="Verdana"/>
      <w:noProof/>
      <w:szCs w:val="18"/>
    </w:rPr>
  </w:style>
  <w:style w:type="character" w:styleId="Hyperlink">
    <w:name w:val="Hyperlink"/>
    <w:uiPriority w:val="99"/>
    <w:rsid w:val="00023E9A"/>
    <w:rPr>
      <w:rFonts w:cs="Times New Roman"/>
      <w:color w:val="0000FF"/>
      <w:u w:val="single"/>
    </w:rPr>
  </w:style>
  <w:style w:type="paragraph" w:customStyle="1" w:styleId="Huisstijl-Retouradres">
    <w:name w:val="Huisstijl-Retouradres"/>
    <w:basedOn w:val="Standaard"/>
    <w:uiPriority w:val="99"/>
    <w:rsid w:val="000B7FAB"/>
    <w:pPr>
      <w:spacing w:line="180" w:lineRule="exact"/>
    </w:pPr>
    <w:rPr>
      <w:noProof/>
      <w:sz w:val="13"/>
    </w:rPr>
  </w:style>
  <w:style w:type="paragraph" w:customStyle="1" w:styleId="Huisstijl-Kopje">
    <w:name w:val="Huisstijl-Kopje"/>
    <w:basedOn w:val="Huisstijl-Gegeven"/>
    <w:uiPriority w:val="99"/>
    <w:rsid w:val="000B7FAB"/>
    <w:pPr>
      <w:spacing w:after="0"/>
    </w:pPr>
    <w:rPr>
      <w:b/>
    </w:rPr>
  </w:style>
  <w:style w:type="paragraph" w:customStyle="1" w:styleId="Huisstijl-Voorwaarden">
    <w:name w:val="Huisstijl-Voorwaarden"/>
    <w:basedOn w:val="Standaard"/>
    <w:uiPriority w:val="99"/>
    <w:rsid w:val="000B7FAB"/>
    <w:pPr>
      <w:spacing w:line="180" w:lineRule="exact"/>
    </w:pPr>
    <w:rPr>
      <w:i/>
      <w:noProof/>
      <w:sz w:val="13"/>
    </w:rPr>
  </w:style>
  <w:style w:type="paragraph" w:customStyle="1" w:styleId="Huisstijl-KixCode">
    <w:name w:val="Huisstijl-KixCode"/>
    <w:basedOn w:val="Standaard"/>
    <w:uiPriority w:val="99"/>
    <w:rsid w:val="000B7FAB"/>
    <w:pPr>
      <w:spacing w:before="60" w:line="240" w:lineRule="auto"/>
    </w:pPr>
    <w:rPr>
      <w:rFonts w:ascii="KIX Barcode" w:hAnsi="KIX Barcode"/>
      <w:b/>
      <w:bCs/>
      <w:smallCaps/>
      <w:noProof/>
      <w:sz w:val="24"/>
    </w:rPr>
  </w:style>
  <w:style w:type="paragraph" w:customStyle="1" w:styleId="Huisstijl-Paginanummering">
    <w:name w:val="Huisstijl-Paginanummering"/>
    <w:basedOn w:val="Standaard"/>
    <w:uiPriority w:val="99"/>
    <w:rsid w:val="000B7FAB"/>
    <w:pPr>
      <w:spacing w:line="180" w:lineRule="exact"/>
    </w:pPr>
    <w:rPr>
      <w:noProof/>
      <w:sz w:val="13"/>
    </w:rPr>
  </w:style>
  <w:style w:type="character" w:styleId="GevolgdeHyperlink">
    <w:name w:val="FollowedHyperlink"/>
    <w:uiPriority w:val="99"/>
    <w:rsid w:val="006A2100"/>
    <w:rPr>
      <w:rFonts w:cs="Times New Roman"/>
      <w:color w:val="800080"/>
      <w:u w:val="single"/>
    </w:rPr>
  </w:style>
  <w:style w:type="paragraph" w:styleId="Lijstopsomteken2">
    <w:name w:val="List Bullet 2"/>
    <w:basedOn w:val="Standaard"/>
    <w:uiPriority w:val="99"/>
    <w:rsid w:val="004F44C2"/>
    <w:pPr>
      <w:numPr>
        <w:numId w:val="18"/>
      </w:numPr>
      <w:tabs>
        <w:tab w:val="clear" w:pos="227"/>
        <w:tab w:val="left" w:pos="454"/>
      </w:tabs>
      <w:ind w:left="454" w:hanging="227"/>
    </w:pPr>
    <w:rPr>
      <w:noProof/>
    </w:rPr>
  </w:style>
  <w:style w:type="character" w:customStyle="1" w:styleId="Huisstijl-AdresChar">
    <w:name w:val="Huisstijl-Adres Char"/>
    <w:uiPriority w:val="99"/>
    <w:rsid w:val="00E15881"/>
    <w:rPr>
      <w:rFonts w:ascii="Verdana" w:hAnsi="Verdana"/>
      <w:noProof/>
      <w:sz w:val="13"/>
      <w:lang w:val="nl-NL" w:eastAsia="nl-NL"/>
    </w:rPr>
  </w:style>
  <w:style w:type="paragraph" w:styleId="Ondertitel">
    <w:name w:val="Subtitle"/>
    <w:basedOn w:val="Standaard"/>
    <w:next w:val="Standaard"/>
    <w:link w:val="OndertitelChar"/>
    <w:uiPriority w:val="99"/>
    <w:qFormat/>
    <w:rsid w:val="00D73C59"/>
    <w:pPr>
      <w:numPr>
        <w:ilvl w:val="1"/>
      </w:numPr>
    </w:pPr>
    <w:rPr>
      <w:rFonts w:ascii="Cambria" w:eastAsia="MS Gothic" w:hAnsi="Cambria"/>
      <w:i/>
      <w:iCs/>
      <w:color w:val="4F81BD"/>
      <w:spacing w:val="15"/>
      <w:sz w:val="24"/>
      <w:lang w:val="en-US" w:eastAsia="en-US"/>
    </w:rPr>
  </w:style>
  <w:style w:type="character" w:customStyle="1" w:styleId="OndertitelChar">
    <w:name w:val="Ondertitel Char"/>
    <w:link w:val="Ondertitel"/>
    <w:uiPriority w:val="99"/>
    <w:rsid w:val="00D73C59"/>
    <w:rPr>
      <w:rFonts w:ascii="Cambria" w:eastAsia="MS Gothic" w:hAnsi="Cambria" w:cs="Times New Roman"/>
      <w:i/>
      <w:color w:val="4F81BD"/>
      <w:spacing w:val="15"/>
      <w:sz w:val="24"/>
      <w:lang w:val="en-US" w:eastAsia="en-US"/>
    </w:rPr>
  </w:style>
  <w:style w:type="paragraph" w:styleId="Voetnoottekst">
    <w:name w:val="footnote text"/>
    <w:basedOn w:val="Standaard"/>
    <w:link w:val="VoetnoottekstChar"/>
    <w:uiPriority w:val="99"/>
    <w:semiHidden/>
    <w:rsid w:val="00D73C59"/>
    <w:pPr>
      <w:spacing w:line="240" w:lineRule="auto"/>
    </w:pPr>
    <w:rPr>
      <w:rFonts w:ascii="Calibri" w:hAnsi="Calibri"/>
      <w:sz w:val="20"/>
      <w:szCs w:val="20"/>
      <w:lang w:val="en-US" w:eastAsia="en-US"/>
    </w:rPr>
  </w:style>
  <w:style w:type="character" w:customStyle="1" w:styleId="VoetnoottekstChar">
    <w:name w:val="Voetnoottekst Char"/>
    <w:link w:val="Voetnoottekst"/>
    <w:uiPriority w:val="99"/>
    <w:rsid w:val="00D73C59"/>
    <w:rPr>
      <w:rFonts w:ascii="Calibri" w:hAnsi="Calibri" w:cs="Times New Roman"/>
      <w:lang w:val="en-US" w:eastAsia="en-US"/>
    </w:rPr>
  </w:style>
  <w:style w:type="character" w:styleId="Voetnootmarkering">
    <w:name w:val="footnote reference"/>
    <w:uiPriority w:val="99"/>
    <w:semiHidden/>
    <w:rsid w:val="00D73C59"/>
    <w:rPr>
      <w:rFonts w:cs="Times New Roman"/>
      <w:vertAlign w:val="superscript"/>
    </w:rPr>
  </w:style>
  <w:style w:type="paragraph" w:customStyle="1" w:styleId="Kleurrijkelijst-accent11">
    <w:name w:val="Kleurrijke lijst - accent 11"/>
    <w:basedOn w:val="Standaard"/>
    <w:uiPriority w:val="99"/>
    <w:rsid w:val="00D73C59"/>
    <w:pPr>
      <w:ind w:left="720"/>
      <w:contextualSpacing/>
    </w:pPr>
    <w:rPr>
      <w:rFonts w:ascii="Calibri" w:hAnsi="Calibri"/>
      <w:sz w:val="22"/>
      <w:szCs w:val="22"/>
      <w:lang w:val="en-US" w:eastAsia="en-US"/>
    </w:rPr>
  </w:style>
  <w:style w:type="paragraph" w:customStyle="1" w:styleId="Gemiddeldraster21">
    <w:name w:val="Gemiddeld raster 21"/>
    <w:uiPriority w:val="99"/>
    <w:rsid w:val="00D73C59"/>
    <w:rPr>
      <w:rFonts w:ascii="Calibri" w:hAnsi="Calibri"/>
      <w:sz w:val="22"/>
      <w:szCs w:val="22"/>
      <w:lang w:eastAsia="en-US"/>
    </w:rPr>
  </w:style>
  <w:style w:type="paragraph" w:styleId="Ballontekst">
    <w:name w:val="Balloon Text"/>
    <w:basedOn w:val="Standaard"/>
    <w:link w:val="BallontekstChar"/>
    <w:uiPriority w:val="99"/>
    <w:semiHidden/>
    <w:rsid w:val="00D73C59"/>
    <w:pPr>
      <w:spacing w:line="240" w:lineRule="auto"/>
    </w:pPr>
    <w:rPr>
      <w:rFonts w:ascii="Tahoma" w:hAnsi="Tahoma"/>
      <w:sz w:val="16"/>
      <w:szCs w:val="16"/>
      <w:lang w:val="en-US" w:eastAsia="en-US"/>
    </w:rPr>
  </w:style>
  <w:style w:type="character" w:customStyle="1" w:styleId="BallontekstChar">
    <w:name w:val="Ballontekst Char"/>
    <w:link w:val="Ballontekst"/>
    <w:uiPriority w:val="99"/>
    <w:rsid w:val="00D73C59"/>
    <w:rPr>
      <w:rFonts w:ascii="Tahoma" w:hAnsi="Tahoma" w:cs="Times New Roman"/>
      <w:sz w:val="16"/>
      <w:lang w:val="en-US" w:eastAsia="en-US"/>
    </w:rPr>
  </w:style>
  <w:style w:type="character" w:styleId="Verwijzingopmerking">
    <w:name w:val="annotation reference"/>
    <w:uiPriority w:val="99"/>
    <w:semiHidden/>
    <w:rsid w:val="00D73C59"/>
    <w:rPr>
      <w:rFonts w:cs="Times New Roman"/>
      <w:sz w:val="16"/>
    </w:rPr>
  </w:style>
  <w:style w:type="paragraph" w:styleId="Tekstopmerking">
    <w:name w:val="annotation text"/>
    <w:basedOn w:val="Standaard"/>
    <w:link w:val="TekstopmerkingChar"/>
    <w:uiPriority w:val="99"/>
    <w:semiHidden/>
    <w:rsid w:val="00D73C59"/>
    <w:pPr>
      <w:spacing w:after="160" w:line="288" w:lineRule="auto"/>
      <w:jc w:val="both"/>
    </w:pPr>
    <w:rPr>
      <w:rFonts w:eastAsia="MS Mincho"/>
      <w:color w:val="4D4D4D"/>
      <w:sz w:val="20"/>
      <w:szCs w:val="18"/>
      <w:lang w:val="en-US" w:eastAsia="en-US"/>
    </w:rPr>
  </w:style>
  <w:style w:type="character" w:customStyle="1" w:styleId="TekstopmerkingChar">
    <w:name w:val="Tekst opmerking Char"/>
    <w:link w:val="Tekstopmerking"/>
    <w:uiPriority w:val="99"/>
    <w:rsid w:val="00D73C59"/>
    <w:rPr>
      <w:rFonts w:ascii="Verdana" w:eastAsia="MS Mincho" w:hAnsi="Verdana" w:cs="Times New Roman"/>
      <w:color w:val="4D4D4D"/>
      <w:sz w:val="18"/>
    </w:rPr>
  </w:style>
  <w:style w:type="paragraph" w:styleId="Onderwerpvanopmerking">
    <w:name w:val="annotation subject"/>
    <w:basedOn w:val="Tekstopmerking"/>
    <w:next w:val="Tekstopmerking"/>
    <w:link w:val="OnderwerpvanopmerkingChar"/>
    <w:uiPriority w:val="99"/>
    <w:semiHidden/>
    <w:rsid w:val="00D73C59"/>
    <w:pPr>
      <w:spacing w:after="0" w:line="240" w:lineRule="auto"/>
      <w:jc w:val="left"/>
    </w:pPr>
    <w:rPr>
      <w:rFonts w:ascii="Calibri" w:eastAsia="Times New Roman" w:hAnsi="Calibri"/>
      <w:b/>
      <w:bCs/>
    </w:rPr>
  </w:style>
  <w:style w:type="character" w:customStyle="1" w:styleId="OnderwerpvanopmerkingChar">
    <w:name w:val="Onderwerp van opmerking Char"/>
    <w:link w:val="Onderwerpvanopmerking"/>
    <w:uiPriority w:val="99"/>
    <w:rsid w:val="00D73C59"/>
    <w:rPr>
      <w:rFonts w:ascii="Calibri" w:eastAsia="MS Mincho" w:hAnsi="Calibri" w:cs="Times New Roman"/>
      <w:b/>
      <w:color w:val="4D4D4D"/>
      <w:sz w:val="18"/>
      <w:lang w:val="en-US" w:eastAsia="en-US"/>
    </w:rPr>
  </w:style>
  <w:style w:type="paragraph" w:styleId="Bijschrift">
    <w:name w:val="caption"/>
    <w:basedOn w:val="Standaard"/>
    <w:next w:val="Standaard"/>
    <w:uiPriority w:val="99"/>
    <w:qFormat/>
    <w:rsid w:val="00D73C59"/>
    <w:pPr>
      <w:spacing w:after="200" w:line="240" w:lineRule="auto"/>
    </w:pPr>
    <w:rPr>
      <w:rFonts w:ascii="Calibri" w:hAnsi="Calibri"/>
      <w:b/>
      <w:bCs/>
      <w:color w:val="4F81BD"/>
      <w:szCs w:val="18"/>
      <w:lang w:val="en-US" w:eastAsia="en-US"/>
    </w:rPr>
  </w:style>
  <w:style w:type="table" w:customStyle="1" w:styleId="Tabelraster1">
    <w:name w:val="Tabelraster1"/>
    <w:uiPriority w:val="99"/>
    <w:rsid w:val="00D73C59"/>
    <w:rPr>
      <w:rFonts w:ascii="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waar">
    <w:name w:val="Strong"/>
    <w:uiPriority w:val="99"/>
    <w:qFormat/>
    <w:rsid w:val="00D73C59"/>
    <w:rPr>
      <w:rFonts w:cs="Times New Roman"/>
      <w:b/>
    </w:rPr>
  </w:style>
  <w:style w:type="table" w:customStyle="1" w:styleId="Tabelraster2">
    <w:name w:val="Tabelraster2"/>
    <w:uiPriority w:val="99"/>
    <w:rsid w:val="00D73C59"/>
    <w:rPr>
      <w:rFonts w:ascii="Verdana" w:hAnsi="Verdana"/>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uidelijkcitaat1">
    <w:name w:val="Duidelijk citaat1"/>
    <w:uiPriority w:val="99"/>
    <w:rsid w:val="00D73C59"/>
    <w:rPr>
      <w:rFonts w:ascii="Calibri" w:hAnsi="Calibri"/>
      <w:color w:val="365F91"/>
      <w:sz w:val="22"/>
      <w:szCs w:val="22"/>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Gemiddeldelijst2-accent1">
    <w:name w:val="Medium List 2 Accent 1"/>
    <w:basedOn w:val="Standaardtabel"/>
    <w:uiPriority w:val="99"/>
    <w:rsid w:val="00D73C59"/>
    <w:rPr>
      <w:rFonts w:ascii="Calibri" w:hAnsi="Calibri"/>
      <w:sz w:val="22"/>
      <w:szCs w:val="22"/>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shd w:val="clear" w:color="auto" w:fill="auto"/>
      </w:rPr>
      <w:tblPr/>
      <w:tcPr>
        <w:shd w:val="clear" w:color="auto" w:fill="4F81BD"/>
      </w:tcPr>
    </w:tblStylePr>
    <w:tblStylePr w:type="lastRow">
      <w:pPr>
        <w:spacing w:before="0" w:after="0"/>
      </w:pPr>
      <w:rPr>
        <w:rFonts w:cs="Times New Roman"/>
        <w:b/>
        <w:bCs/>
        <w:shd w:val="clear" w:color="auto" w:fill="auto"/>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shd w:val="clear" w:color="auto" w:fill="auto"/>
      </w:rPr>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aslang">
    <w:name w:val="haslang"/>
    <w:uiPriority w:val="99"/>
    <w:rsid w:val="00D73C59"/>
  </w:style>
  <w:style w:type="table" w:styleId="Gemiddeldraster3">
    <w:name w:val="Medium Grid 3"/>
    <w:basedOn w:val="Standaardtabel"/>
    <w:uiPriority w:val="99"/>
    <w:rsid w:val="00563EB7"/>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table" w:styleId="Eigentijdsetabel">
    <w:name w:val="Table Contemporary"/>
    <w:basedOn w:val="Standaardtabel"/>
    <w:uiPriority w:val="99"/>
    <w:rsid w:val="00563EB7"/>
    <w:pPr>
      <w:spacing w:line="240" w:lineRule="atLeast"/>
    </w:pPr>
    <w:tblPr>
      <w:tblStyleRowBandSize w:val="1"/>
      <w:tblBorders>
        <w:insideH w:val="single" w:sz="18" w:space="0" w:color="FFFFFF"/>
        <w:insideV w:val="single" w:sz="18" w:space="0" w:color="FFFFFF"/>
      </w:tblBorders>
    </w:tblPr>
    <w:tblStylePr w:type="firstRow">
      <w:rPr>
        <w:rFonts w:cs="Times New Roman"/>
        <w:b/>
        <w:bCs/>
        <w:color w:val="auto"/>
        <w:shd w:val="clear" w:color="auto" w:fill="auto"/>
      </w:rPr>
      <w:tblPr/>
      <w:tcPr>
        <w:tcBorders>
          <w:tl2br w:val="none" w:sz="0" w:space="0" w:color="auto"/>
          <w:tr2bl w:val="none" w:sz="0" w:space="0" w:color="auto"/>
        </w:tcBorders>
        <w:shd w:val="pct20" w:color="000000" w:fill="FFFFFF"/>
      </w:tcPr>
    </w:tblStylePr>
    <w:tblStylePr w:type="band1Horz">
      <w:rPr>
        <w:rFonts w:cs="Times New Roman"/>
        <w:color w:val="auto"/>
        <w:shd w:val="clear" w:color="auto" w:fill="auto"/>
      </w:rPr>
      <w:tblPr/>
      <w:tcPr>
        <w:tcBorders>
          <w:tl2br w:val="none" w:sz="0" w:space="0" w:color="auto"/>
          <w:tr2bl w:val="none" w:sz="0" w:space="0" w:color="auto"/>
        </w:tcBorders>
        <w:shd w:val="pct5" w:color="000000" w:fill="FFFFFF"/>
      </w:tcPr>
    </w:tblStylePr>
    <w:tblStylePr w:type="band2Horz">
      <w:rPr>
        <w:rFonts w:cs="Times New Roman"/>
        <w:color w:val="auto"/>
        <w:shd w:val="clear" w:color="auto" w:fill="auto"/>
      </w:rPr>
      <w:tblPr/>
      <w:tcPr>
        <w:tcBorders>
          <w:tl2br w:val="none" w:sz="0" w:space="0" w:color="auto"/>
          <w:tr2bl w:val="none" w:sz="0" w:space="0" w:color="auto"/>
        </w:tcBorders>
        <w:shd w:val="pct20" w:color="000000" w:fill="FFFFFF"/>
      </w:tcPr>
    </w:tblStylePr>
  </w:style>
  <w:style w:type="table" w:styleId="Lichtearcering-accent1">
    <w:name w:val="Light Shading Accent 1"/>
    <w:basedOn w:val="Standaardtabel"/>
    <w:uiPriority w:val="99"/>
    <w:rsid w:val="00886B06"/>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D3DFEE"/>
      </w:tcPr>
    </w:tblStylePr>
    <w:tblStylePr w:type="band1Horz">
      <w:rPr>
        <w:rFonts w:cs="Times New Roman"/>
        <w:shd w:val="clear" w:color="auto" w:fill="auto"/>
      </w:rPr>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footnote reference" w:unhideWhenUsed="0"/>
    <w:lsdException w:name="annotation reference" w:unhideWhenUsed="0"/>
    <w:lsdException w:name="List Bullet" w:unhideWhenUsed="0"/>
    <w:lsdException w:name="List Bullet 2" w:unhideWhenUsed="0"/>
    <w:lsdException w:name="Title" w:semiHidden="0" w:uiPriority="1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iPriority="20" w:unhideWhenUsed="0" w:qFormat="1"/>
    <w:lsdException w:name="annotation subject" w:unhideWhenUsed="0"/>
    <w:lsdException w:name="Table Contemporary"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E4C2D"/>
    <w:pPr>
      <w:spacing w:line="240" w:lineRule="atLeast"/>
    </w:pPr>
    <w:rPr>
      <w:rFonts w:ascii="Verdana" w:hAnsi="Verdana"/>
      <w:sz w:val="18"/>
      <w:szCs w:val="24"/>
    </w:rPr>
  </w:style>
  <w:style w:type="paragraph" w:styleId="Kop1">
    <w:name w:val="heading 1"/>
    <w:basedOn w:val="Standaard"/>
    <w:next w:val="Standaard"/>
    <w:link w:val="Kop1Char"/>
    <w:uiPriority w:val="99"/>
    <w:qFormat/>
    <w:rsid w:val="00023E9A"/>
    <w:pPr>
      <w:keepNext/>
      <w:spacing w:before="240" w:after="60"/>
      <w:outlineLvl w:val="0"/>
    </w:pPr>
    <w:rPr>
      <w:b/>
      <w:bCs/>
      <w:kern w:val="32"/>
      <w:sz w:val="32"/>
      <w:szCs w:val="32"/>
      <w:lang w:val="en-US" w:eastAsia="en-US"/>
    </w:rPr>
  </w:style>
  <w:style w:type="paragraph" w:styleId="Kop2">
    <w:name w:val="heading 2"/>
    <w:basedOn w:val="Standaard"/>
    <w:next w:val="Standaard"/>
    <w:link w:val="Kop2Char"/>
    <w:uiPriority w:val="99"/>
    <w:qFormat/>
    <w:rsid w:val="00023E9A"/>
    <w:pPr>
      <w:keepNext/>
      <w:spacing w:before="240" w:after="60"/>
      <w:outlineLvl w:val="1"/>
    </w:pPr>
    <w:rPr>
      <w:b/>
      <w:bCs/>
      <w:i/>
      <w:iCs/>
      <w:sz w:val="28"/>
      <w:szCs w:val="28"/>
      <w:lang w:val="en-US" w:eastAsia="en-US"/>
    </w:rPr>
  </w:style>
  <w:style w:type="paragraph" w:styleId="Kop3">
    <w:name w:val="heading 3"/>
    <w:basedOn w:val="Standaard"/>
    <w:next w:val="Standaard"/>
    <w:link w:val="Kop3Char"/>
    <w:uiPriority w:val="99"/>
    <w:qFormat/>
    <w:rsid w:val="00023E9A"/>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rsid w:val="00D73C59"/>
    <w:rPr>
      <w:rFonts w:ascii="Verdana" w:hAnsi="Verdana" w:cs="Times New Roman"/>
      <w:b/>
      <w:kern w:val="32"/>
      <w:sz w:val="32"/>
    </w:rPr>
  </w:style>
  <w:style w:type="character" w:customStyle="1" w:styleId="Kop2Char">
    <w:name w:val="Kop 2 Char"/>
    <w:link w:val="Kop2"/>
    <w:uiPriority w:val="99"/>
    <w:rsid w:val="00D73C59"/>
    <w:rPr>
      <w:rFonts w:ascii="Verdana" w:hAnsi="Verdana" w:cs="Times New Roman"/>
      <w:b/>
      <w:i/>
      <w:sz w:val="28"/>
    </w:rPr>
  </w:style>
  <w:style w:type="character" w:customStyle="1" w:styleId="Kop3Char">
    <w:name w:val="Kop 3 Char"/>
    <w:link w:val="Kop3"/>
    <w:uiPriority w:val="99"/>
    <w:semiHidden/>
    <w:rsid w:val="00145503"/>
    <w:rPr>
      <w:rFonts w:ascii="Calibri" w:hAnsi="Calibri" w:cs="Times New Roman"/>
      <w:b/>
      <w:bCs/>
      <w:sz w:val="26"/>
      <w:lang w:val="nl-NL" w:eastAsia="nl-NL"/>
    </w:rPr>
  </w:style>
  <w:style w:type="paragraph" w:styleId="Koptekst">
    <w:name w:val="header"/>
    <w:basedOn w:val="Standaard"/>
    <w:link w:val="KoptekstChar"/>
    <w:uiPriority w:val="99"/>
    <w:rsid w:val="00023E9A"/>
    <w:pPr>
      <w:tabs>
        <w:tab w:val="center" w:pos="4536"/>
        <w:tab w:val="right" w:pos="9072"/>
      </w:tabs>
    </w:pPr>
    <w:rPr>
      <w:lang w:val="en-US" w:eastAsia="en-US"/>
    </w:rPr>
  </w:style>
  <w:style w:type="character" w:customStyle="1" w:styleId="KoptekstChar">
    <w:name w:val="Koptekst Char"/>
    <w:link w:val="Koptekst"/>
    <w:uiPriority w:val="99"/>
    <w:rsid w:val="00D73C59"/>
    <w:rPr>
      <w:rFonts w:ascii="Verdana" w:hAnsi="Verdana" w:cs="Times New Roman"/>
      <w:sz w:val="24"/>
    </w:rPr>
  </w:style>
  <w:style w:type="paragraph" w:styleId="Voettekst">
    <w:name w:val="footer"/>
    <w:basedOn w:val="Standaard"/>
    <w:link w:val="VoettekstChar"/>
    <w:uiPriority w:val="99"/>
    <w:semiHidden/>
    <w:rsid w:val="00023E9A"/>
    <w:pPr>
      <w:tabs>
        <w:tab w:val="center" w:pos="4536"/>
        <w:tab w:val="right" w:pos="9072"/>
      </w:tabs>
    </w:pPr>
    <w:rPr>
      <w:lang w:val="en-US" w:eastAsia="en-US"/>
    </w:rPr>
  </w:style>
  <w:style w:type="character" w:customStyle="1" w:styleId="VoettekstChar">
    <w:name w:val="Voettekst Char"/>
    <w:link w:val="Voettekst"/>
    <w:uiPriority w:val="99"/>
    <w:rsid w:val="00D73C59"/>
    <w:rPr>
      <w:rFonts w:ascii="Verdana" w:hAnsi="Verdana" w:cs="Times New Roman"/>
      <w:sz w:val="24"/>
    </w:rPr>
  </w:style>
  <w:style w:type="table" w:styleId="Tabelraster">
    <w:name w:val="Table Grid"/>
    <w:basedOn w:val="Standaardtabel"/>
    <w:uiPriority w:val="99"/>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isstijl-NotaGegeven">
    <w:name w:val="Huisstijl-NotaGegeven"/>
    <w:basedOn w:val="Standaard"/>
    <w:uiPriority w:val="99"/>
    <w:rsid w:val="00EE4C2D"/>
    <w:pPr>
      <w:adjustRightInd w:val="0"/>
      <w:spacing w:line="180" w:lineRule="exact"/>
    </w:pPr>
    <w:rPr>
      <w:rFonts w:cs="Verdana"/>
      <w:noProof/>
      <w:sz w:val="13"/>
      <w:szCs w:val="18"/>
    </w:rPr>
  </w:style>
  <w:style w:type="paragraph" w:customStyle="1" w:styleId="Huisstijl-Adres">
    <w:name w:val="Huisstijl-Adres"/>
    <w:basedOn w:val="Standaard"/>
    <w:uiPriority w:val="99"/>
    <w:rsid w:val="00575B80"/>
    <w:pPr>
      <w:tabs>
        <w:tab w:val="left" w:pos="192"/>
      </w:tabs>
      <w:adjustRightInd w:val="0"/>
      <w:spacing w:after="90" w:line="180" w:lineRule="exact"/>
    </w:pPr>
    <w:rPr>
      <w:rFonts w:cs="Verdana"/>
      <w:noProof/>
      <w:sz w:val="13"/>
      <w:szCs w:val="13"/>
    </w:rPr>
  </w:style>
  <w:style w:type="paragraph" w:styleId="Lijstopsomteken">
    <w:name w:val="List Bullet"/>
    <w:basedOn w:val="Standaard"/>
    <w:uiPriority w:val="99"/>
    <w:rsid w:val="004F44C2"/>
    <w:pPr>
      <w:numPr>
        <w:numId w:val="17"/>
      </w:numPr>
    </w:pPr>
    <w:rPr>
      <w:noProof/>
    </w:rPr>
  </w:style>
  <w:style w:type="character" w:customStyle="1" w:styleId="Huisstijl-GegevenCharChar">
    <w:name w:val="Huisstijl-Gegeven Char Char"/>
    <w:uiPriority w:val="99"/>
    <w:rsid w:val="000B7FAB"/>
    <w:rPr>
      <w:rFonts w:ascii="Verdana" w:hAnsi="Verdana"/>
      <w:noProof/>
      <w:sz w:val="24"/>
      <w:lang w:val="nl-NL" w:eastAsia="nl-NL"/>
    </w:rPr>
  </w:style>
  <w:style w:type="paragraph" w:customStyle="1" w:styleId="Huisstijl-Gegeven">
    <w:name w:val="Huisstijl-Gegeven"/>
    <w:basedOn w:val="Standaard"/>
    <w:uiPriority w:val="99"/>
    <w:rsid w:val="000B7FAB"/>
    <w:pPr>
      <w:spacing w:after="92" w:line="180" w:lineRule="exact"/>
    </w:pPr>
    <w:rPr>
      <w:noProof/>
      <w:sz w:val="13"/>
    </w:rPr>
  </w:style>
  <w:style w:type="paragraph" w:customStyle="1" w:styleId="Huisstijl-NotaKopje">
    <w:name w:val="Huisstijl-NotaKopje"/>
    <w:basedOn w:val="Huisstijl-NotaGegeven"/>
    <w:next w:val="Huisstijl-NotaGegeven"/>
    <w:uiPriority w:val="99"/>
    <w:rsid w:val="00EE4C2D"/>
    <w:pPr>
      <w:spacing w:before="160" w:line="240" w:lineRule="exact"/>
    </w:pPr>
  </w:style>
  <w:style w:type="paragraph" w:customStyle="1" w:styleId="Huisstijl-Rubricering">
    <w:name w:val="Huisstijl-Rubricering"/>
    <w:basedOn w:val="Standaard"/>
    <w:uiPriority w:val="99"/>
    <w:rsid w:val="000B7FAB"/>
    <w:pPr>
      <w:adjustRightInd w:val="0"/>
      <w:spacing w:line="180" w:lineRule="exact"/>
    </w:pPr>
    <w:rPr>
      <w:rFonts w:cs="Verdana-Bold"/>
      <w:b/>
      <w:bCs/>
      <w:smallCaps/>
      <w:noProof/>
      <w:sz w:val="13"/>
      <w:szCs w:val="13"/>
    </w:rPr>
  </w:style>
  <w:style w:type="paragraph" w:customStyle="1" w:styleId="Huisstijl-NAW">
    <w:name w:val="Huisstijl-NAW"/>
    <w:basedOn w:val="Standaard"/>
    <w:uiPriority w:val="99"/>
    <w:rsid w:val="000B7FAB"/>
    <w:pPr>
      <w:adjustRightInd w:val="0"/>
    </w:pPr>
    <w:rPr>
      <w:rFonts w:cs="Verdana"/>
      <w:noProof/>
      <w:szCs w:val="18"/>
    </w:rPr>
  </w:style>
  <w:style w:type="character" w:styleId="Hyperlink">
    <w:name w:val="Hyperlink"/>
    <w:uiPriority w:val="99"/>
    <w:rsid w:val="00023E9A"/>
    <w:rPr>
      <w:rFonts w:cs="Times New Roman"/>
      <w:color w:val="0000FF"/>
      <w:u w:val="single"/>
    </w:rPr>
  </w:style>
  <w:style w:type="paragraph" w:customStyle="1" w:styleId="Huisstijl-Retouradres">
    <w:name w:val="Huisstijl-Retouradres"/>
    <w:basedOn w:val="Standaard"/>
    <w:uiPriority w:val="99"/>
    <w:rsid w:val="000B7FAB"/>
    <w:pPr>
      <w:spacing w:line="180" w:lineRule="exact"/>
    </w:pPr>
    <w:rPr>
      <w:noProof/>
      <w:sz w:val="13"/>
    </w:rPr>
  </w:style>
  <w:style w:type="paragraph" w:customStyle="1" w:styleId="Huisstijl-Kopje">
    <w:name w:val="Huisstijl-Kopje"/>
    <w:basedOn w:val="Huisstijl-Gegeven"/>
    <w:uiPriority w:val="99"/>
    <w:rsid w:val="000B7FAB"/>
    <w:pPr>
      <w:spacing w:after="0"/>
    </w:pPr>
    <w:rPr>
      <w:b/>
    </w:rPr>
  </w:style>
  <w:style w:type="paragraph" w:customStyle="1" w:styleId="Huisstijl-Voorwaarden">
    <w:name w:val="Huisstijl-Voorwaarden"/>
    <w:basedOn w:val="Standaard"/>
    <w:uiPriority w:val="99"/>
    <w:rsid w:val="000B7FAB"/>
    <w:pPr>
      <w:spacing w:line="180" w:lineRule="exact"/>
    </w:pPr>
    <w:rPr>
      <w:i/>
      <w:noProof/>
      <w:sz w:val="13"/>
    </w:rPr>
  </w:style>
  <w:style w:type="paragraph" w:customStyle="1" w:styleId="Huisstijl-KixCode">
    <w:name w:val="Huisstijl-KixCode"/>
    <w:basedOn w:val="Standaard"/>
    <w:uiPriority w:val="99"/>
    <w:rsid w:val="000B7FAB"/>
    <w:pPr>
      <w:spacing w:before="60" w:line="240" w:lineRule="auto"/>
    </w:pPr>
    <w:rPr>
      <w:rFonts w:ascii="KIX Barcode" w:hAnsi="KIX Barcode"/>
      <w:b/>
      <w:bCs/>
      <w:smallCaps/>
      <w:noProof/>
      <w:sz w:val="24"/>
    </w:rPr>
  </w:style>
  <w:style w:type="paragraph" w:customStyle="1" w:styleId="Huisstijl-Paginanummering">
    <w:name w:val="Huisstijl-Paginanummering"/>
    <w:basedOn w:val="Standaard"/>
    <w:uiPriority w:val="99"/>
    <w:rsid w:val="000B7FAB"/>
    <w:pPr>
      <w:spacing w:line="180" w:lineRule="exact"/>
    </w:pPr>
    <w:rPr>
      <w:noProof/>
      <w:sz w:val="13"/>
    </w:rPr>
  </w:style>
  <w:style w:type="character" w:styleId="GevolgdeHyperlink">
    <w:name w:val="FollowedHyperlink"/>
    <w:uiPriority w:val="99"/>
    <w:rsid w:val="006A2100"/>
    <w:rPr>
      <w:rFonts w:cs="Times New Roman"/>
      <w:color w:val="800080"/>
      <w:u w:val="single"/>
    </w:rPr>
  </w:style>
  <w:style w:type="paragraph" w:styleId="Lijstopsomteken2">
    <w:name w:val="List Bullet 2"/>
    <w:basedOn w:val="Standaard"/>
    <w:uiPriority w:val="99"/>
    <w:rsid w:val="004F44C2"/>
    <w:pPr>
      <w:numPr>
        <w:numId w:val="18"/>
      </w:numPr>
      <w:tabs>
        <w:tab w:val="clear" w:pos="227"/>
        <w:tab w:val="left" w:pos="454"/>
      </w:tabs>
      <w:ind w:left="454" w:hanging="227"/>
    </w:pPr>
    <w:rPr>
      <w:noProof/>
    </w:rPr>
  </w:style>
  <w:style w:type="character" w:customStyle="1" w:styleId="Huisstijl-AdresChar">
    <w:name w:val="Huisstijl-Adres Char"/>
    <w:uiPriority w:val="99"/>
    <w:rsid w:val="00E15881"/>
    <w:rPr>
      <w:rFonts w:ascii="Verdana" w:hAnsi="Verdana"/>
      <w:noProof/>
      <w:sz w:val="13"/>
      <w:lang w:val="nl-NL" w:eastAsia="nl-NL"/>
    </w:rPr>
  </w:style>
  <w:style w:type="paragraph" w:styleId="Ondertitel">
    <w:name w:val="Subtitle"/>
    <w:basedOn w:val="Standaard"/>
    <w:next w:val="Standaard"/>
    <w:link w:val="OndertitelChar"/>
    <w:uiPriority w:val="99"/>
    <w:qFormat/>
    <w:rsid w:val="00D73C59"/>
    <w:pPr>
      <w:numPr>
        <w:ilvl w:val="1"/>
      </w:numPr>
    </w:pPr>
    <w:rPr>
      <w:rFonts w:ascii="Cambria" w:eastAsia="MS Gothic" w:hAnsi="Cambria"/>
      <w:i/>
      <w:iCs/>
      <w:color w:val="4F81BD"/>
      <w:spacing w:val="15"/>
      <w:sz w:val="24"/>
      <w:lang w:val="en-US" w:eastAsia="en-US"/>
    </w:rPr>
  </w:style>
  <w:style w:type="character" w:customStyle="1" w:styleId="OndertitelChar">
    <w:name w:val="Ondertitel Char"/>
    <w:link w:val="Ondertitel"/>
    <w:uiPriority w:val="99"/>
    <w:rsid w:val="00D73C59"/>
    <w:rPr>
      <w:rFonts w:ascii="Cambria" w:eastAsia="MS Gothic" w:hAnsi="Cambria" w:cs="Times New Roman"/>
      <w:i/>
      <w:color w:val="4F81BD"/>
      <w:spacing w:val="15"/>
      <w:sz w:val="24"/>
      <w:lang w:val="en-US" w:eastAsia="en-US"/>
    </w:rPr>
  </w:style>
  <w:style w:type="paragraph" w:styleId="Voetnoottekst">
    <w:name w:val="footnote text"/>
    <w:basedOn w:val="Standaard"/>
    <w:link w:val="VoetnoottekstChar"/>
    <w:uiPriority w:val="99"/>
    <w:semiHidden/>
    <w:rsid w:val="00D73C59"/>
    <w:pPr>
      <w:spacing w:line="240" w:lineRule="auto"/>
    </w:pPr>
    <w:rPr>
      <w:rFonts w:ascii="Calibri" w:hAnsi="Calibri"/>
      <w:sz w:val="20"/>
      <w:szCs w:val="20"/>
      <w:lang w:val="en-US" w:eastAsia="en-US"/>
    </w:rPr>
  </w:style>
  <w:style w:type="character" w:customStyle="1" w:styleId="VoetnoottekstChar">
    <w:name w:val="Voetnoottekst Char"/>
    <w:link w:val="Voetnoottekst"/>
    <w:uiPriority w:val="99"/>
    <w:rsid w:val="00D73C59"/>
    <w:rPr>
      <w:rFonts w:ascii="Calibri" w:hAnsi="Calibri" w:cs="Times New Roman"/>
      <w:lang w:val="en-US" w:eastAsia="en-US"/>
    </w:rPr>
  </w:style>
  <w:style w:type="character" w:styleId="Voetnootmarkering">
    <w:name w:val="footnote reference"/>
    <w:uiPriority w:val="99"/>
    <w:semiHidden/>
    <w:rsid w:val="00D73C59"/>
    <w:rPr>
      <w:rFonts w:cs="Times New Roman"/>
      <w:vertAlign w:val="superscript"/>
    </w:rPr>
  </w:style>
  <w:style w:type="paragraph" w:customStyle="1" w:styleId="Kleurrijkelijst-accent11">
    <w:name w:val="Kleurrijke lijst - accent 11"/>
    <w:basedOn w:val="Standaard"/>
    <w:uiPriority w:val="99"/>
    <w:rsid w:val="00D73C59"/>
    <w:pPr>
      <w:ind w:left="720"/>
      <w:contextualSpacing/>
    </w:pPr>
    <w:rPr>
      <w:rFonts w:ascii="Calibri" w:hAnsi="Calibri"/>
      <w:sz w:val="22"/>
      <w:szCs w:val="22"/>
      <w:lang w:val="en-US" w:eastAsia="en-US"/>
    </w:rPr>
  </w:style>
  <w:style w:type="paragraph" w:customStyle="1" w:styleId="Gemiddeldraster21">
    <w:name w:val="Gemiddeld raster 21"/>
    <w:uiPriority w:val="99"/>
    <w:rsid w:val="00D73C59"/>
    <w:rPr>
      <w:rFonts w:ascii="Calibri" w:hAnsi="Calibri"/>
      <w:sz w:val="22"/>
      <w:szCs w:val="22"/>
      <w:lang w:eastAsia="en-US"/>
    </w:rPr>
  </w:style>
  <w:style w:type="paragraph" w:styleId="Ballontekst">
    <w:name w:val="Balloon Text"/>
    <w:basedOn w:val="Standaard"/>
    <w:link w:val="BallontekstChar"/>
    <w:uiPriority w:val="99"/>
    <w:semiHidden/>
    <w:rsid w:val="00D73C59"/>
    <w:pPr>
      <w:spacing w:line="240" w:lineRule="auto"/>
    </w:pPr>
    <w:rPr>
      <w:rFonts w:ascii="Tahoma" w:hAnsi="Tahoma"/>
      <w:sz w:val="16"/>
      <w:szCs w:val="16"/>
      <w:lang w:val="en-US" w:eastAsia="en-US"/>
    </w:rPr>
  </w:style>
  <w:style w:type="character" w:customStyle="1" w:styleId="BallontekstChar">
    <w:name w:val="Ballontekst Char"/>
    <w:link w:val="Ballontekst"/>
    <w:uiPriority w:val="99"/>
    <w:rsid w:val="00D73C59"/>
    <w:rPr>
      <w:rFonts w:ascii="Tahoma" w:hAnsi="Tahoma" w:cs="Times New Roman"/>
      <w:sz w:val="16"/>
      <w:lang w:val="en-US" w:eastAsia="en-US"/>
    </w:rPr>
  </w:style>
  <w:style w:type="character" w:styleId="Verwijzingopmerking">
    <w:name w:val="annotation reference"/>
    <w:uiPriority w:val="99"/>
    <w:semiHidden/>
    <w:rsid w:val="00D73C59"/>
    <w:rPr>
      <w:rFonts w:cs="Times New Roman"/>
      <w:sz w:val="16"/>
    </w:rPr>
  </w:style>
  <w:style w:type="paragraph" w:styleId="Tekstopmerking">
    <w:name w:val="annotation text"/>
    <w:basedOn w:val="Standaard"/>
    <w:link w:val="TekstopmerkingChar"/>
    <w:uiPriority w:val="99"/>
    <w:semiHidden/>
    <w:rsid w:val="00D73C59"/>
    <w:pPr>
      <w:spacing w:after="160" w:line="288" w:lineRule="auto"/>
      <w:jc w:val="both"/>
    </w:pPr>
    <w:rPr>
      <w:rFonts w:eastAsia="MS Mincho"/>
      <w:color w:val="4D4D4D"/>
      <w:sz w:val="20"/>
      <w:szCs w:val="18"/>
      <w:lang w:val="en-US" w:eastAsia="en-US"/>
    </w:rPr>
  </w:style>
  <w:style w:type="character" w:customStyle="1" w:styleId="TekstopmerkingChar">
    <w:name w:val="Tekst opmerking Char"/>
    <w:link w:val="Tekstopmerking"/>
    <w:uiPriority w:val="99"/>
    <w:rsid w:val="00D73C59"/>
    <w:rPr>
      <w:rFonts w:ascii="Verdana" w:eastAsia="MS Mincho" w:hAnsi="Verdana" w:cs="Times New Roman"/>
      <w:color w:val="4D4D4D"/>
      <w:sz w:val="18"/>
    </w:rPr>
  </w:style>
  <w:style w:type="paragraph" w:styleId="Onderwerpvanopmerking">
    <w:name w:val="annotation subject"/>
    <w:basedOn w:val="Tekstopmerking"/>
    <w:next w:val="Tekstopmerking"/>
    <w:link w:val="OnderwerpvanopmerkingChar"/>
    <w:uiPriority w:val="99"/>
    <w:semiHidden/>
    <w:rsid w:val="00D73C59"/>
    <w:pPr>
      <w:spacing w:after="0" w:line="240" w:lineRule="auto"/>
      <w:jc w:val="left"/>
    </w:pPr>
    <w:rPr>
      <w:rFonts w:ascii="Calibri" w:eastAsia="Times New Roman" w:hAnsi="Calibri"/>
      <w:b/>
      <w:bCs/>
    </w:rPr>
  </w:style>
  <w:style w:type="character" w:customStyle="1" w:styleId="OnderwerpvanopmerkingChar">
    <w:name w:val="Onderwerp van opmerking Char"/>
    <w:link w:val="Onderwerpvanopmerking"/>
    <w:uiPriority w:val="99"/>
    <w:rsid w:val="00D73C59"/>
    <w:rPr>
      <w:rFonts w:ascii="Calibri" w:eastAsia="MS Mincho" w:hAnsi="Calibri" w:cs="Times New Roman"/>
      <w:b/>
      <w:color w:val="4D4D4D"/>
      <w:sz w:val="18"/>
      <w:lang w:val="en-US" w:eastAsia="en-US"/>
    </w:rPr>
  </w:style>
  <w:style w:type="paragraph" w:styleId="Bijschrift">
    <w:name w:val="caption"/>
    <w:basedOn w:val="Standaard"/>
    <w:next w:val="Standaard"/>
    <w:uiPriority w:val="99"/>
    <w:qFormat/>
    <w:rsid w:val="00D73C59"/>
    <w:pPr>
      <w:spacing w:after="200" w:line="240" w:lineRule="auto"/>
    </w:pPr>
    <w:rPr>
      <w:rFonts w:ascii="Calibri" w:hAnsi="Calibri"/>
      <w:b/>
      <w:bCs/>
      <w:color w:val="4F81BD"/>
      <w:szCs w:val="18"/>
      <w:lang w:val="en-US" w:eastAsia="en-US"/>
    </w:rPr>
  </w:style>
  <w:style w:type="table" w:customStyle="1" w:styleId="Tabelraster1">
    <w:name w:val="Tabelraster1"/>
    <w:uiPriority w:val="99"/>
    <w:rsid w:val="00D73C59"/>
    <w:rPr>
      <w:rFonts w:ascii="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waar">
    <w:name w:val="Strong"/>
    <w:uiPriority w:val="99"/>
    <w:qFormat/>
    <w:rsid w:val="00D73C59"/>
    <w:rPr>
      <w:rFonts w:cs="Times New Roman"/>
      <w:b/>
    </w:rPr>
  </w:style>
  <w:style w:type="table" w:customStyle="1" w:styleId="Tabelraster2">
    <w:name w:val="Tabelraster2"/>
    <w:uiPriority w:val="99"/>
    <w:rsid w:val="00D73C59"/>
    <w:rPr>
      <w:rFonts w:ascii="Verdana" w:hAnsi="Verdana"/>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uidelijkcitaat1">
    <w:name w:val="Duidelijk citaat1"/>
    <w:uiPriority w:val="99"/>
    <w:rsid w:val="00D73C59"/>
    <w:rPr>
      <w:rFonts w:ascii="Calibri" w:hAnsi="Calibri"/>
      <w:color w:val="365F91"/>
      <w:sz w:val="22"/>
      <w:szCs w:val="22"/>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Gemiddeldelijst2-accent1">
    <w:name w:val="Medium List 2 Accent 1"/>
    <w:basedOn w:val="Standaardtabel"/>
    <w:uiPriority w:val="99"/>
    <w:rsid w:val="00D73C59"/>
    <w:rPr>
      <w:rFonts w:ascii="Calibri" w:hAnsi="Calibri"/>
      <w:sz w:val="22"/>
      <w:szCs w:val="22"/>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shd w:val="clear" w:color="auto" w:fill="auto"/>
      </w:rPr>
      <w:tblPr/>
      <w:tcPr>
        <w:shd w:val="clear" w:color="auto" w:fill="4F81BD"/>
      </w:tcPr>
    </w:tblStylePr>
    <w:tblStylePr w:type="lastRow">
      <w:pPr>
        <w:spacing w:before="0" w:after="0"/>
      </w:pPr>
      <w:rPr>
        <w:rFonts w:cs="Times New Roman"/>
        <w:b/>
        <w:bCs/>
        <w:shd w:val="clear" w:color="auto" w:fill="auto"/>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shd w:val="clear" w:color="auto" w:fill="auto"/>
      </w:rPr>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aslang">
    <w:name w:val="haslang"/>
    <w:uiPriority w:val="99"/>
    <w:rsid w:val="00D73C59"/>
  </w:style>
  <w:style w:type="table" w:styleId="Gemiddeldraster3">
    <w:name w:val="Medium Grid 3"/>
    <w:basedOn w:val="Standaardtabel"/>
    <w:uiPriority w:val="99"/>
    <w:rsid w:val="00563EB7"/>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table" w:styleId="Eigentijdsetabel">
    <w:name w:val="Table Contemporary"/>
    <w:basedOn w:val="Standaardtabel"/>
    <w:uiPriority w:val="99"/>
    <w:rsid w:val="00563EB7"/>
    <w:pPr>
      <w:spacing w:line="240" w:lineRule="atLeast"/>
    </w:pPr>
    <w:tblPr>
      <w:tblStyleRowBandSize w:val="1"/>
      <w:tblBorders>
        <w:insideH w:val="single" w:sz="18" w:space="0" w:color="FFFFFF"/>
        <w:insideV w:val="single" w:sz="18" w:space="0" w:color="FFFFFF"/>
      </w:tblBorders>
    </w:tblPr>
    <w:tblStylePr w:type="firstRow">
      <w:rPr>
        <w:rFonts w:cs="Times New Roman"/>
        <w:b/>
        <w:bCs/>
        <w:color w:val="auto"/>
        <w:shd w:val="clear" w:color="auto" w:fill="auto"/>
      </w:rPr>
      <w:tblPr/>
      <w:tcPr>
        <w:tcBorders>
          <w:tl2br w:val="none" w:sz="0" w:space="0" w:color="auto"/>
          <w:tr2bl w:val="none" w:sz="0" w:space="0" w:color="auto"/>
        </w:tcBorders>
        <w:shd w:val="pct20" w:color="000000" w:fill="FFFFFF"/>
      </w:tcPr>
    </w:tblStylePr>
    <w:tblStylePr w:type="band1Horz">
      <w:rPr>
        <w:rFonts w:cs="Times New Roman"/>
        <w:color w:val="auto"/>
        <w:shd w:val="clear" w:color="auto" w:fill="auto"/>
      </w:rPr>
      <w:tblPr/>
      <w:tcPr>
        <w:tcBorders>
          <w:tl2br w:val="none" w:sz="0" w:space="0" w:color="auto"/>
          <w:tr2bl w:val="none" w:sz="0" w:space="0" w:color="auto"/>
        </w:tcBorders>
        <w:shd w:val="pct5" w:color="000000" w:fill="FFFFFF"/>
      </w:tcPr>
    </w:tblStylePr>
    <w:tblStylePr w:type="band2Horz">
      <w:rPr>
        <w:rFonts w:cs="Times New Roman"/>
        <w:color w:val="auto"/>
        <w:shd w:val="clear" w:color="auto" w:fill="auto"/>
      </w:rPr>
      <w:tblPr/>
      <w:tcPr>
        <w:tcBorders>
          <w:tl2br w:val="none" w:sz="0" w:space="0" w:color="auto"/>
          <w:tr2bl w:val="none" w:sz="0" w:space="0" w:color="auto"/>
        </w:tcBorders>
        <w:shd w:val="pct20" w:color="000000" w:fill="FFFFFF"/>
      </w:tcPr>
    </w:tblStylePr>
  </w:style>
  <w:style w:type="table" w:styleId="Lichtearcering-accent1">
    <w:name w:val="Light Shading Accent 1"/>
    <w:basedOn w:val="Standaardtabel"/>
    <w:uiPriority w:val="99"/>
    <w:rsid w:val="00886B06"/>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D3DFEE"/>
      </w:tcPr>
    </w:tblStylePr>
    <w:tblStylePr w:type="band1Horz">
      <w:rPr>
        <w:rFonts w:cs="Times New Roman"/>
        <w:shd w:val="clear" w:color="auto" w:fill="auto"/>
      </w:rPr>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oecd.org/site/innovationstrategy" TargetMode="External"/><Relationship Id="rId3" Type="http://schemas.openxmlformats.org/officeDocument/2006/relationships/hyperlink" Target="http://www.wti2.nl" TargetMode="External"/><Relationship Id="rId7" Type="http://schemas.openxmlformats.org/officeDocument/2006/relationships/hyperlink" Target="http://www.oecd.org/science/inno/newsourcesofgrowthknowledge-basedcapital.htm" TargetMode="External"/><Relationship Id="rId2" Type="http://schemas.openxmlformats.org/officeDocument/2006/relationships/hyperlink" Target="http://www.rvo.nl" TargetMode="External"/><Relationship Id="rId1" Type="http://schemas.openxmlformats.org/officeDocument/2006/relationships/hyperlink" Target="http://www.oecd-ilibrary.org/science-and-technology/oecd-reviews-of-innovation-policy-netherlands-2014_9789264213159-en" TargetMode="External"/><Relationship Id="rId6" Type="http://schemas.openxmlformats.org/officeDocument/2006/relationships/hyperlink" Target="https://www.knaw.nl/nl/adviezen/adviezen-en-verkenningen/recent-afgeronde-adviezen/waarde-van-wetenschap" TargetMode="External"/><Relationship Id="rId5" Type="http://schemas.openxmlformats.org/officeDocument/2006/relationships/hyperlink" Target="http://www.rijksoverheid.nl/documenten-en-publicaties/kamerstukken/2012/12/13/-kamerbrief-over-rapport-durf-te-meten-eindrapport-expertwerkgroep-effectmeting.html" TargetMode="External"/><Relationship Id="rId4" Type="http://schemas.openxmlformats.org/officeDocument/2006/relationships/hyperlink" Target="https://www.knaw.nl/nl/adviezen-/adviezen-en-verkenningen/recent-afgeronde-adviezen/waarde-van-wetenscha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9782</Words>
  <Characters>53807</Characters>
  <Application>Microsoft Office Word</Application>
  <DocSecurity>4</DocSecurity>
  <Lines>448</Lines>
  <Paragraphs>126</Paragraphs>
  <ScaleCrop>false</ScaleCrop>
  <HeadingPairs>
    <vt:vector size="2" baseType="variant">
      <vt:variant>
        <vt:lpstr>Titel</vt:lpstr>
      </vt:variant>
      <vt:variant>
        <vt:i4>1</vt:i4>
      </vt:variant>
    </vt:vector>
  </HeadingPairs>
  <TitlesOfParts>
    <vt:vector size="1" baseType="lpstr">
      <vt:lpstr>-</vt:lpstr>
    </vt:vector>
  </TitlesOfParts>
  <Company>Capgemini Nederland B.V. / D76</Company>
  <LinksUpToDate>false</LinksUpToDate>
  <CharactersWithSpaces>63463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Wiel, dr. H.P. van der (Henry)</dc:creator>
  <cp:lastModifiedBy>Kes, drs. S.J.C. (Sander)</cp:lastModifiedBy>
  <cp:revision>2</cp:revision>
  <cp:lastPrinted>2015-06-30T10:37:00Z</cp:lastPrinted>
  <dcterms:created xsi:type="dcterms:W3CDTF">2015-07-08T14:34:00Z</dcterms:created>
  <dcterms:modified xsi:type="dcterms:W3CDTF">2015-07-08T14:34:00Z</dcterms:modified>
</cp:coreProperties>
</file>