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645" w:rsidRPr="00371A1E" w:rsidRDefault="00371A1E" w:rsidP="00371A1E">
      <w:pPr>
        <w:pStyle w:val="Heading1"/>
      </w:pPr>
      <w:r>
        <w:fldChar w:fldCharType="begin"/>
      </w:r>
      <w:r>
        <w:instrText xml:space="preserve"> MACROBUTTON NUMBERING </w:instrText>
      </w:r>
      <w:r>
        <w:fldChar w:fldCharType="begin"/>
      </w:r>
      <w:r>
        <w:instrText xml:space="preserve"> SEQ  cpara \h \r 0</w:instrText>
      </w:r>
      <w:r>
        <w:fldChar w:fldCharType="end"/>
      </w:r>
      <w:r>
        <w:fldChar w:fldCharType="begin"/>
      </w:r>
      <w:r>
        <w:instrText xml:space="preserve"> SEQ  ccount \h</w:instrText>
      </w:r>
      <w:r>
        <w:fldChar w:fldCharType="end"/>
      </w:r>
      <w:r>
        <w:fldChar w:fldCharType="end"/>
      </w:r>
      <w:r>
        <w:t xml:space="preserve">OECD STI Outlook 2016 “Forward Look”: Internal Mini-Workshop on </w:t>
      </w:r>
      <w:r w:rsidRPr="00371A1E">
        <w:t>Technology and Sector Trends (4 June, 14:30-17:30)</w:t>
      </w:r>
    </w:p>
    <w:p w:rsidR="00371A1E" w:rsidRDefault="00371A1E" w:rsidP="00371A1E">
      <w:pPr>
        <w:pStyle w:val="Heading2"/>
      </w:pPr>
      <w:r>
        <w:t>Background</w:t>
      </w:r>
    </w:p>
    <w:p w:rsidR="00307F37" w:rsidRPr="00371A1E" w:rsidRDefault="00307F37" w:rsidP="00307F37">
      <w:pPr>
        <w:pStyle w:val="BodyText"/>
      </w:pPr>
      <w:r w:rsidRPr="00371A1E">
        <w:t xml:space="preserve">The OECD STI Outlook aims to take a more forward-looking approach in 2016 and will include a new introductory “Trends” chapter that discusses expected shifts in science, technology and innovation (STI) and related policies on a 10-15 year future time horizon. To help prepare this chapter, we are organising a series of internal and external workshops to gather and discuss expert views on major trends and issues across a variety of fields. </w:t>
      </w:r>
    </w:p>
    <w:p w:rsidR="00371A1E" w:rsidRDefault="00307F37" w:rsidP="00307F37">
      <w:pPr>
        <w:pStyle w:val="BodyText"/>
      </w:pPr>
      <w:r w:rsidRPr="00307F37">
        <w:t>The first internal mini-workshop</w:t>
      </w:r>
      <w:r w:rsidR="00371A1E">
        <w:t xml:space="preserve"> aims to draw on OECD’s technology and sector-oriented activities, e.g. in BNCT, CDEP and the Space Forum, but also elsewhere from across the house, to gather insights from OECD staff on emerging trends and issues that could have major socio-economic impacts over the next 10-15 years. Emerging trends and issues can relate to scientific and technological developments, as well as societal, economic, political and environmental developments that could have major impacts on technological change and future societies and economies. To keep the scope of the mini-workshop within manageable boundaries, discussions will be focused on those technology areas and sectors where workshop participants have existing domain knowledge.</w:t>
      </w:r>
    </w:p>
    <w:p w:rsidR="00371A1E" w:rsidRDefault="00371A1E" w:rsidP="00371A1E">
      <w:pPr>
        <w:pStyle w:val="Heading2"/>
      </w:pPr>
      <w:r>
        <w:t>Workshop approach</w:t>
      </w:r>
    </w:p>
    <w:p w:rsidR="00307F37" w:rsidRDefault="00BE0730" w:rsidP="00BE0730">
      <w:pPr>
        <w:pStyle w:val="BodyText"/>
      </w:pPr>
      <w:r>
        <w:t xml:space="preserve">The mini-workshop will be organised as a mix of small group discussions to encourage exchanges, and whole-group discussions to share views. </w:t>
      </w:r>
      <w:r w:rsidR="00165D7E">
        <w:t xml:space="preserve">The agenda is as follows: </w:t>
      </w:r>
    </w:p>
    <w:p w:rsidR="00307F37" w:rsidRDefault="00BE0730" w:rsidP="00BE0730">
      <w:pPr>
        <w:pStyle w:val="ListNumber"/>
      </w:pPr>
      <w:r>
        <w:t>Retrospective exercise</w:t>
      </w:r>
    </w:p>
    <w:p w:rsidR="00BE0730" w:rsidRDefault="00BE0730" w:rsidP="00BE0730">
      <w:pPr>
        <w:pStyle w:val="ListNumber2"/>
      </w:pPr>
      <w:r>
        <w:t>What have been the most important changes in your field since 2000?</w:t>
      </w:r>
    </w:p>
    <w:p w:rsidR="00BE0730" w:rsidRPr="00BE0730" w:rsidRDefault="00BE0730" w:rsidP="00BE0730">
      <w:pPr>
        <w:pStyle w:val="ListNumber2"/>
      </w:pPr>
      <w:r>
        <w:t xml:space="preserve">What hasn’t changed </w:t>
      </w:r>
      <w:r w:rsidR="002E42CE">
        <w:t>but</w:t>
      </w:r>
      <w:r>
        <w:t xml:space="preserve"> remains extremely important in your field since 2000?</w:t>
      </w:r>
    </w:p>
    <w:p w:rsidR="00BE0730" w:rsidRDefault="00BE0730" w:rsidP="00BE0730">
      <w:pPr>
        <w:pStyle w:val="ListNumber"/>
      </w:pPr>
      <w:r>
        <w:t>Forward-looking exercise</w:t>
      </w:r>
    </w:p>
    <w:p w:rsidR="00BE0730" w:rsidRDefault="002A084D" w:rsidP="002A084D">
      <w:pPr>
        <w:pStyle w:val="ListNumber2"/>
      </w:pPr>
      <w:r>
        <w:t xml:space="preserve">What </w:t>
      </w:r>
      <w:r w:rsidRPr="002A084D">
        <w:t xml:space="preserve">technological changes </w:t>
      </w:r>
      <w:r>
        <w:t>do you expect</w:t>
      </w:r>
      <w:r w:rsidRPr="002A084D">
        <w:t xml:space="preserve"> to have disruptive effects in your field by 2030?</w:t>
      </w:r>
    </w:p>
    <w:p w:rsidR="00711022" w:rsidRDefault="002A084D" w:rsidP="00BE0730">
      <w:pPr>
        <w:pStyle w:val="ListNumber2"/>
      </w:pPr>
      <w:r>
        <w:t>What</w:t>
      </w:r>
      <w:r w:rsidR="00711022">
        <w:t xml:space="preserve"> </w:t>
      </w:r>
      <w:r>
        <w:t>non-technological changes</w:t>
      </w:r>
      <w:r w:rsidR="00711022">
        <w:t xml:space="preserve"> </w:t>
      </w:r>
      <w:r>
        <w:t>do you expect</w:t>
      </w:r>
      <w:r w:rsidR="00711022">
        <w:t xml:space="preserve"> to have disruptive effects </w:t>
      </w:r>
      <w:r>
        <w:t xml:space="preserve">in your field </w:t>
      </w:r>
      <w:r w:rsidR="00711022">
        <w:t>by 2030?</w:t>
      </w:r>
    </w:p>
    <w:p w:rsidR="002E42CE" w:rsidRPr="002E42CE" w:rsidRDefault="002A084D" w:rsidP="00BE0730">
      <w:pPr>
        <w:pStyle w:val="ListNumber2"/>
      </w:pPr>
      <w:r>
        <w:t>What is the degree of uncertainty around these changes?</w:t>
      </w:r>
    </w:p>
    <w:p w:rsidR="00BE0730" w:rsidRDefault="00165D7E" w:rsidP="00BE0730">
      <w:pPr>
        <w:pStyle w:val="ListNumber"/>
      </w:pPr>
      <w:r>
        <w:t>What are the p</w:t>
      </w:r>
      <w:r w:rsidR="00BE0730">
        <w:t>olicy implications</w:t>
      </w:r>
      <w:r>
        <w:t xml:space="preserve"> of your findings? For example, are there regulatory issues? Are there issues of redistribution? Etc.</w:t>
      </w:r>
    </w:p>
    <w:p w:rsidR="00BE0730" w:rsidRPr="00BE0730" w:rsidRDefault="00C44600" w:rsidP="00BE0730">
      <w:pPr>
        <w:pStyle w:val="ListNumber"/>
      </w:pPr>
      <w:r>
        <w:t>Wrap-up and debriefing:</w:t>
      </w:r>
      <w:r w:rsidR="00711022">
        <w:t xml:space="preserve"> what worked well and what didn’t? How could the mini-workshop approach be improved?</w:t>
      </w:r>
    </w:p>
    <w:p w:rsidR="00307F37" w:rsidRDefault="00165D7E" w:rsidP="00307F37">
      <w:pPr>
        <w:pStyle w:val="BodyText"/>
      </w:pPr>
      <w:r w:rsidRPr="00165D7E">
        <w:t>Workshop results will be used to inform our desk-based analysis and will feed into future workshops, e.g. a workshop involving delegates of the Working Party of Innovation and Technological Policy (TIP) on 17 June.</w:t>
      </w:r>
      <w:bookmarkStart w:id="0" w:name="_GoBack"/>
      <w:bookmarkEnd w:id="0"/>
    </w:p>
    <w:p w:rsidR="00307F37" w:rsidRDefault="00307F37" w:rsidP="00307F37">
      <w:pPr>
        <w:pStyle w:val="BodyText"/>
      </w:pPr>
    </w:p>
    <w:p w:rsidR="00165D7E" w:rsidRPr="00165D7E" w:rsidRDefault="00165D7E" w:rsidP="00307F37">
      <w:pPr>
        <w:pStyle w:val="BodyText"/>
      </w:pPr>
    </w:p>
    <w:sectPr w:rsidR="00165D7E" w:rsidRPr="00165D7E" w:rsidSect="00307F37">
      <w:headerReference w:type="even" r:id="rId9"/>
      <w:footerReference w:type="even" r:id="rId10"/>
      <w:footerReference w:type="default" r:id="rId11"/>
      <w:endnotePr>
        <w:numFmt w:val="decimal"/>
      </w:endnotePr>
      <w:pgSz w:w="11906" w:h="16838"/>
      <w:pgMar w:top="1956" w:right="1247" w:bottom="1956" w:left="1587"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F37" w:rsidRDefault="00307F37">
      <w:r>
        <w:separator/>
      </w:r>
    </w:p>
  </w:endnote>
  <w:endnote w:type="continuationSeparator" w:id="0">
    <w:p w:rsidR="00307F37" w:rsidRDefault="0030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645" w:rsidRDefault="002E7A14" w:rsidP="00307F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D5C">
      <w:rPr>
        <w:rStyle w:val="PageNumber"/>
        <w:noProof/>
      </w:rPr>
      <w:t>2</w:t>
    </w:r>
    <w:r>
      <w:rPr>
        <w:rStyle w:val="PageNumber"/>
      </w:rPr>
      <w:fldChar w:fldCharType="end"/>
    </w:r>
  </w:p>
  <w:p w:rsidR="00125645" w:rsidRDefault="001256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F37" w:rsidRDefault="00307F37" w:rsidP="007A10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D5C">
      <w:rPr>
        <w:rStyle w:val="PageNumber"/>
        <w:noProof/>
      </w:rPr>
      <w:t>2</w:t>
    </w:r>
    <w:r>
      <w:rPr>
        <w:rStyle w:val="PageNumber"/>
      </w:rPr>
      <w:fldChar w:fldCharType="end"/>
    </w:r>
  </w:p>
  <w:p w:rsidR="00125645" w:rsidRPr="00307F37" w:rsidRDefault="00125645" w:rsidP="00307F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F37" w:rsidRDefault="00307F37">
      <w:r>
        <w:separator/>
      </w:r>
    </w:p>
  </w:footnote>
  <w:footnote w:type="continuationSeparator" w:id="0">
    <w:p w:rsidR="00307F37" w:rsidRDefault="00307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645" w:rsidRDefault="002E7A14">
    <w:pPr>
      <w:pStyle w:val="Header"/>
    </w:pPr>
    <w:r>
      <w:t>AAA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2">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3">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4">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5">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6">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7">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8">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9">
    <w:nsid w:val="3BC230DE"/>
    <w:multiLevelType w:val="multilevel"/>
    <w:tmpl w:val="A0044B00"/>
    <w:name w:val="templateNumber"/>
    <w:lvl w:ilvl="0">
      <w:start w:val="1"/>
      <w:numFmt w:val="decimal"/>
      <w:pStyle w:val="ListNumber"/>
      <w:lvlText w:val="%1."/>
      <w:lvlJc w:val="left"/>
      <w:pPr>
        <w:tabs>
          <w:tab w:val="num" w:pos="850"/>
        </w:tabs>
        <w:ind w:left="850" w:hanging="408"/>
      </w:pPr>
    </w:lvl>
    <w:lvl w:ilvl="1">
      <w:start w:val="1"/>
      <w:numFmt w:val="lowerLetter"/>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1">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2">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13">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14">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15">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num w:numId="1">
    <w:abstractNumId w:val="4"/>
  </w:num>
  <w:num w:numId="2">
    <w:abstractNumId w:val="2"/>
  </w:num>
  <w:num w:numId="3">
    <w:abstractNumId w:val="3"/>
  </w:num>
  <w:num w:numId="4">
    <w:abstractNumId w:val="10"/>
  </w:num>
  <w:num w:numId="5">
    <w:abstractNumId w:val="0"/>
  </w:num>
  <w:num w:numId="6">
    <w:abstractNumId w:val="7"/>
  </w:num>
  <w:num w:numId="7">
    <w:abstractNumId w:val="11"/>
  </w:num>
  <w:num w:numId="8">
    <w:abstractNumId w:val="13"/>
  </w:num>
  <w:num w:numId="9">
    <w:abstractNumId w:val="14"/>
  </w:num>
  <w:num w:numId="10">
    <w:abstractNumId w:val="9"/>
  </w:num>
  <w:num w:numId="11">
    <w:abstractNumId w:val="15"/>
  </w:num>
  <w:num w:numId="12">
    <w:abstractNumId w:val="12"/>
  </w:num>
  <w:num w:numId="13">
    <w:abstractNumId w:val="1"/>
  </w:num>
  <w:num w:numId="14">
    <w:abstractNumId w:val="8"/>
  </w:num>
  <w:num w:numId="15">
    <w:abstractNumId w:val="5"/>
  </w:num>
  <w:num w:numId="1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hyphenationZone w:val="425"/>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pos w:val="sectEnd"/>
    <w:numFmt w:val="decimal"/>
    <w:endnote w:id="-1"/>
    <w:endnote w:id="0"/>
  </w:endnotePr>
  <w:compat>
    <w:compatSetting w:name="compatibilityMode" w:uri="http://schemas.microsoft.com/office/word" w:val="12"/>
  </w:compat>
  <w:docVars>
    <w:docVar w:name="Classification" w:val="For Official Use"/>
    <w:docVar w:name="DocumentStyle" w:val="General Narrative"/>
    <w:docVar w:name="IsPublication" w:val="1"/>
    <w:docVar w:name="Language" w:val="English"/>
    <w:docVar w:name="PaperSize" w:val="typeset"/>
    <w:docVar w:name="PGLANDSCAPE" w:val="0"/>
    <w:docVar w:name="PublicationType" w:val="typeset"/>
  </w:docVars>
  <w:rsids>
    <w:rsidRoot w:val="00307F37"/>
    <w:rsid w:val="0003034C"/>
    <w:rsid w:val="00125645"/>
    <w:rsid w:val="00165D7E"/>
    <w:rsid w:val="001E4D4B"/>
    <w:rsid w:val="002A084D"/>
    <w:rsid w:val="002A3A3F"/>
    <w:rsid w:val="002E42CE"/>
    <w:rsid w:val="002E7A14"/>
    <w:rsid w:val="0030014E"/>
    <w:rsid w:val="00307F37"/>
    <w:rsid w:val="00371A1E"/>
    <w:rsid w:val="00445954"/>
    <w:rsid w:val="0052760C"/>
    <w:rsid w:val="00700738"/>
    <w:rsid w:val="00704B2E"/>
    <w:rsid w:val="00711022"/>
    <w:rsid w:val="007E29ED"/>
    <w:rsid w:val="00856272"/>
    <w:rsid w:val="00BE0730"/>
    <w:rsid w:val="00C42D5C"/>
    <w:rsid w:val="00C44600"/>
    <w:rsid w:val="00DA2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tabs>
        <w:tab w:val="left" w:pos="850"/>
        <w:tab w:val="left" w:pos="1191"/>
        <w:tab w:val="left" w:pos="1531"/>
      </w:tabs>
      <w:jc w:val="both"/>
    </w:pPr>
    <w:rPr>
      <w:sz w:val="22"/>
      <w:szCs w:val="22"/>
      <w:lang w:val="en-GB" w:eastAsia="zh-CN"/>
    </w:rPr>
  </w:style>
  <w:style w:type="paragraph" w:styleId="Heading1">
    <w:name w:val="heading 1"/>
    <w:basedOn w:val="Normal"/>
    <w:next w:val="Num-DocParagraph"/>
    <w:qFormat/>
    <w:pPr>
      <w:keepNext/>
      <w:spacing w:before="1200" w:after="720"/>
      <w:jc w:val="center"/>
      <w:outlineLvl w:val="0"/>
    </w:pPr>
    <w:rPr>
      <w:b/>
      <w:bCs/>
      <w:caps/>
      <w:kern w:val="28"/>
    </w:rPr>
  </w:style>
  <w:style w:type="paragraph" w:styleId="Heading2">
    <w:name w:val="heading 2"/>
    <w:basedOn w:val="Normal"/>
    <w:next w:val="Num-DocParagraph"/>
    <w:qFormat/>
    <w:pPr>
      <w:keepNext/>
      <w:spacing w:before="240" w:after="240"/>
      <w:outlineLvl w:val="1"/>
    </w:pPr>
    <w:rPr>
      <w:b/>
      <w:bCs/>
    </w:rPr>
  </w:style>
  <w:style w:type="paragraph" w:styleId="Heading3">
    <w:name w:val="heading 3"/>
    <w:basedOn w:val="Normal"/>
    <w:next w:val="Num-DocParagraph"/>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pPr>
      <w:spacing w:after="240"/>
      <w:ind w:firstLine="442"/>
    </w:pPr>
  </w:style>
  <w:style w:type="paragraph" w:customStyle="1" w:styleId="Annotation">
    <w:name w:val="Annotation"/>
    <w:basedOn w:val="BodyText"/>
    <w:pPr>
      <w:ind w:firstLine="0"/>
      <w:jc w:val="left"/>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jc w:val="left"/>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pPr>
      <w:tabs>
        <w:tab w:val="clear" w:pos="850"/>
        <w:tab w:val="clear" w:pos="1191"/>
        <w:tab w:val="clear" w:pos="1531"/>
      </w:tabs>
      <w:jc w:val="left"/>
    </w:pPr>
    <w:rPr>
      <w:rFonts w:ascii="Arial" w:hAnsi="Arial" w:cs="Arial"/>
      <w:sz w:val="18"/>
      <w:szCs w:val="18"/>
    </w:rPr>
  </w:style>
  <w:style w:type="paragraph" w:customStyle="1" w:styleId="ColumnsHeading">
    <w:name w:val="Columns Heading"/>
    <w:basedOn w:val="Normal"/>
    <w:pPr>
      <w:tabs>
        <w:tab w:val="clear" w:pos="850"/>
        <w:tab w:val="clear" w:pos="1191"/>
        <w:tab w:val="clear" w:pos="1531"/>
      </w:tabs>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tabs>
        <w:tab w:val="clear" w:pos="850"/>
        <w:tab w:val="clear" w:pos="1191"/>
        <w:tab w:val="clear" w:pos="1531"/>
      </w:tabs>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tabs>
        <w:tab w:val="clear" w:pos="1191"/>
        <w:tab w:val="clear" w:pos="1531"/>
      </w:tabs>
      <w:spacing w:after="240"/>
    </w:pPr>
  </w:style>
  <w:style w:type="paragraph" w:styleId="ListBullet2">
    <w:name w:val="List Bullet 2"/>
    <w:basedOn w:val="Normal"/>
    <w:pPr>
      <w:numPr>
        <w:numId w:val="6"/>
      </w:numPr>
      <w:tabs>
        <w:tab w:val="clear" w:pos="850"/>
        <w:tab w:val="clear" w:pos="1531"/>
      </w:tabs>
      <w:spacing w:after="240"/>
    </w:pPr>
  </w:style>
  <w:style w:type="paragraph" w:styleId="ListBullet3">
    <w:name w:val="List Bullet 3"/>
    <w:basedOn w:val="Normal"/>
    <w:pPr>
      <w:numPr>
        <w:numId w:val="7"/>
      </w:numPr>
      <w:tabs>
        <w:tab w:val="clear" w:pos="850"/>
        <w:tab w:val="clear" w:pos="1191"/>
        <w:tab w:val="clear" w:pos="1531"/>
      </w:tabs>
      <w:spacing w:after="240"/>
    </w:pPr>
  </w:style>
  <w:style w:type="paragraph" w:styleId="ListBullet4">
    <w:name w:val="List Bullet 4"/>
    <w:basedOn w:val="Normal"/>
    <w:pPr>
      <w:numPr>
        <w:numId w:val="8"/>
      </w:numPr>
      <w:tabs>
        <w:tab w:val="clear" w:pos="850"/>
        <w:tab w:val="clear" w:pos="1191"/>
        <w:tab w:val="clear" w:pos="1531"/>
      </w:tabs>
      <w:spacing w:after="240"/>
    </w:pPr>
  </w:style>
  <w:style w:type="paragraph" w:styleId="ListBullet5">
    <w:name w:val="List Bullet 5"/>
    <w:basedOn w:val="Normal"/>
    <w:pPr>
      <w:numPr>
        <w:numId w:val="9"/>
      </w:numPr>
      <w:tabs>
        <w:tab w:val="clear" w:pos="850"/>
        <w:tab w:val="clear" w:pos="1191"/>
        <w:tab w:val="clear" w:pos="1531"/>
      </w:tabs>
      <w:spacing w:after="240"/>
    </w:pPr>
  </w:style>
  <w:style w:type="paragraph" w:styleId="ListContinue">
    <w:name w:val="List Continue"/>
    <w:basedOn w:val="Normal"/>
    <w:pPr>
      <w:tabs>
        <w:tab w:val="clear" w:pos="850"/>
        <w:tab w:val="clear" w:pos="1191"/>
        <w:tab w:val="clear" w:pos="1531"/>
      </w:tabs>
      <w:spacing w:after="240"/>
      <w:ind w:left="850"/>
    </w:pPr>
  </w:style>
  <w:style w:type="paragraph" w:styleId="ListContinue2">
    <w:name w:val="List Continue 2"/>
    <w:basedOn w:val="Normal"/>
    <w:pPr>
      <w:tabs>
        <w:tab w:val="clear" w:pos="850"/>
        <w:tab w:val="clear" w:pos="1191"/>
        <w:tab w:val="clear" w:pos="1531"/>
      </w:tabs>
      <w:spacing w:after="240"/>
      <w:ind w:left="1191"/>
    </w:pPr>
  </w:style>
  <w:style w:type="paragraph" w:styleId="ListContinue3">
    <w:name w:val="List Continue 3"/>
    <w:basedOn w:val="Normal"/>
    <w:pPr>
      <w:tabs>
        <w:tab w:val="clear" w:pos="850"/>
        <w:tab w:val="clear" w:pos="1191"/>
        <w:tab w:val="clear" w:pos="1531"/>
      </w:tabs>
      <w:spacing w:after="240"/>
      <w:ind w:left="1474"/>
    </w:pPr>
  </w:style>
  <w:style w:type="paragraph" w:styleId="ListContinue4">
    <w:name w:val="List Continue 4"/>
    <w:basedOn w:val="Normal"/>
    <w:pPr>
      <w:tabs>
        <w:tab w:val="clear" w:pos="850"/>
        <w:tab w:val="clear" w:pos="1191"/>
        <w:tab w:val="clear" w:pos="1531"/>
      </w:tabs>
      <w:spacing w:after="240"/>
      <w:ind w:left="1757"/>
    </w:pPr>
  </w:style>
  <w:style w:type="paragraph" w:styleId="ListContinue5">
    <w:name w:val="List Continue 5"/>
    <w:basedOn w:val="Normal"/>
    <w:pPr>
      <w:tabs>
        <w:tab w:val="clear" w:pos="850"/>
        <w:tab w:val="clear" w:pos="1191"/>
        <w:tab w:val="clear" w:pos="1531"/>
      </w:tabs>
      <w:spacing w:after="240"/>
      <w:ind w:left="2041"/>
    </w:pPr>
  </w:style>
  <w:style w:type="paragraph" w:styleId="ListNumber">
    <w:name w:val="List Number"/>
    <w:basedOn w:val="Normal"/>
    <w:pPr>
      <w:numPr>
        <w:numId w:val="10"/>
      </w:numPr>
      <w:tabs>
        <w:tab w:val="clear" w:pos="1191"/>
        <w:tab w:val="clear" w:pos="1531"/>
        <w:tab w:val="left" w:pos="1134"/>
      </w:tabs>
      <w:spacing w:after="240"/>
    </w:pPr>
  </w:style>
  <w:style w:type="paragraph" w:styleId="ListNumber2">
    <w:name w:val="List Number 2"/>
    <w:basedOn w:val="Normal"/>
    <w:pPr>
      <w:numPr>
        <w:ilvl w:val="1"/>
        <w:numId w:val="10"/>
      </w:numPr>
      <w:tabs>
        <w:tab w:val="clear" w:pos="850"/>
        <w:tab w:val="clear" w:pos="1531"/>
        <w:tab w:val="left" w:pos="1417"/>
      </w:tabs>
      <w:spacing w:after="240"/>
    </w:pPr>
  </w:style>
  <w:style w:type="paragraph" w:styleId="ListNumber3">
    <w:name w:val="List Number 3"/>
    <w:basedOn w:val="Normal"/>
    <w:pPr>
      <w:numPr>
        <w:ilvl w:val="2"/>
        <w:numId w:val="10"/>
      </w:numPr>
      <w:tabs>
        <w:tab w:val="clear" w:pos="850"/>
        <w:tab w:val="clear" w:pos="1191"/>
        <w:tab w:val="clear" w:pos="1531"/>
        <w:tab w:val="left" w:pos="1701"/>
      </w:tabs>
      <w:spacing w:after="240"/>
    </w:pPr>
  </w:style>
  <w:style w:type="paragraph" w:styleId="ListNumber4">
    <w:name w:val="List Number 4"/>
    <w:basedOn w:val="Normal"/>
    <w:pPr>
      <w:numPr>
        <w:ilvl w:val="3"/>
        <w:numId w:val="10"/>
      </w:numPr>
      <w:tabs>
        <w:tab w:val="clear" w:pos="850"/>
        <w:tab w:val="clear" w:pos="1191"/>
        <w:tab w:val="clear" w:pos="1531"/>
        <w:tab w:val="left" w:pos="1984"/>
      </w:tabs>
      <w:spacing w:after="240"/>
    </w:pPr>
  </w:style>
  <w:style w:type="paragraph" w:styleId="ListNumber5">
    <w:name w:val="List Number 5"/>
    <w:basedOn w:val="Normal"/>
    <w:pPr>
      <w:numPr>
        <w:ilvl w:val="4"/>
        <w:numId w:val="10"/>
      </w:numPr>
      <w:tabs>
        <w:tab w:val="clear" w:pos="850"/>
        <w:tab w:val="clear" w:pos="1191"/>
        <w:tab w:val="clear" w:pos="1531"/>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pPr>
      <w:tabs>
        <w:tab w:val="clear" w:pos="850"/>
        <w:tab w:val="clear" w:pos="1191"/>
        <w:tab w:val="clear" w:pos="1531"/>
      </w:tabs>
      <w:jc w:val="left"/>
    </w:pPr>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jc w:val="left"/>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clear" w:pos="850"/>
        <w:tab w:val="clear" w:pos="1191"/>
        <w:tab w:val="clear" w:pos="1531"/>
        <w:tab w:val="right" w:leader="dot" w:pos="8504"/>
      </w:tabs>
      <w:spacing w:before="120" w:after="120"/>
    </w:pPr>
    <w:rPr>
      <w:caps/>
    </w:rPr>
  </w:style>
  <w:style w:type="paragraph" w:styleId="TOC2">
    <w:name w:val="toc 2"/>
    <w:basedOn w:val="Normal"/>
    <w:next w:val="Normal"/>
    <w:uiPriority w:val="39"/>
    <w:qFormat/>
    <w:pPr>
      <w:tabs>
        <w:tab w:val="clear" w:pos="850"/>
        <w:tab w:val="clear" w:pos="1191"/>
        <w:tab w:val="clear" w:pos="1531"/>
        <w:tab w:val="right" w:leader="dot" w:pos="8504"/>
      </w:tabs>
      <w:ind w:left="198"/>
    </w:pPr>
  </w:style>
  <w:style w:type="paragraph" w:styleId="TOC3">
    <w:name w:val="toc 3"/>
    <w:basedOn w:val="Normal"/>
    <w:next w:val="Normal"/>
    <w:qFormat/>
    <w:pPr>
      <w:tabs>
        <w:tab w:val="clear" w:pos="850"/>
        <w:tab w:val="clear" w:pos="1191"/>
        <w:tab w:val="clear" w:pos="1531"/>
        <w:tab w:val="right" w:leader="dot" w:pos="8504"/>
      </w:tabs>
      <w:ind w:left="397"/>
    </w:pPr>
  </w:style>
  <w:style w:type="paragraph" w:styleId="TOC4">
    <w:name w:val="toc 4"/>
    <w:basedOn w:val="Normal"/>
    <w:next w:val="Normal"/>
    <w:qFormat/>
    <w:pPr>
      <w:tabs>
        <w:tab w:val="clear" w:pos="850"/>
        <w:tab w:val="clear" w:pos="1191"/>
        <w:tab w:val="clear" w:pos="1531"/>
        <w:tab w:val="right" w:leader="dot" w:pos="8504"/>
      </w:tabs>
      <w:ind w:left="595"/>
    </w:pPr>
    <w:rPr>
      <w:noProof/>
    </w:rPr>
  </w:style>
  <w:style w:type="paragraph" w:styleId="TOC5">
    <w:name w:val="toc 5"/>
    <w:basedOn w:val="Normal"/>
    <w:next w:val="Normal"/>
    <w:qFormat/>
    <w:pPr>
      <w:tabs>
        <w:tab w:val="clear" w:pos="850"/>
        <w:tab w:val="clear" w:pos="1191"/>
        <w:tab w:val="clear" w:pos="1531"/>
        <w:tab w:val="right" w:leader="dot" w:pos="8504"/>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tabs>
        <w:tab w:val="clear" w:pos="850"/>
        <w:tab w:val="clear" w:pos="1191"/>
        <w:tab w:val="clear" w:pos="1531"/>
      </w:tabs>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jc w:val="left"/>
    </w:pPr>
    <w:rPr>
      <w:rFonts w:ascii="Arial" w:hAnsi="Arial" w:cs="Arial"/>
      <w:sz w:val="16"/>
      <w:lang w:val="en-US"/>
    </w:rPr>
  </w:style>
  <w:style w:type="paragraph" w:customStyle="1" w:styleId="BoxHeading2">
    <w:name w:val="Box Heading 2"/>
    <w:basedOn w:val="Normal"/>
    <w:next w:val="BoxBodyText"/>
    <w:pPr>
      <w:spacing w:before="240" w:after="240"/>
      <w:jc w:val="left"/>
    </w:pPr>
    <w:rPr>
      <w:rFonts w:ascii="Arial" w:hAnsi="Arial" w:cs="Arial"/>
      <w:b/>
      <w:sz w:val="18"/>
      <w:lang w:val="en-US"/>
    </w:rPr>
  </w:style>
  <w:style w:type="paragraph" w:customStyle="1" w:styleId="BoxHeading3">
    <w:name w:val="Box Heading 3"/>
    <w:basedOn w:val="Normal"/>
    <w:next w:val="BoxBodyText"/>
    <w:pPr>
      <w:spacing w:before="240" w:after="240"/>
      <w:jc w:val="left"/>
    </w:pPr>
    <w:rPr>
      <w:rFonts w:ascii="Arial" w:hAnsi="Arial" w:cs="Arial"/>
      <w:b/>
      <w:i/>
      <w:sz w:val="18"/>
      <w:lang w:val="en-US"/>
    </w:rPr>
  </w:style>
  <w:style w:type="paragraph" w:customStyle="1" w:styleId="BoxNote">
    <w:name w:val="Box Note"/>
    <w:basedOn w:val="Normal"/>
    <w:pPr>
      <w:tabs>
        <w:tab w:val="clear" w:pos="850"/>
        <w:tab w:val="clear" w:pos="1191"/>
        <w:tab w:val="clear" w:pos="1531"/>
        <w:tab w:val="left" w:pos="340"/>
      </w:tabs>
      <w:spacing w:after="120"/>
      <w:jc w:val="left"/>
    </w:pPr>
    <w:rPr>
      <w:rFonts w:ascii="Arial" w:hAnsi="Arial" w:cs="Arial"/>
      <w:sz w:val="18"/>
      <w:lang w:val="en-US"/>
    </w:rPr>
  </w:style>
  <w:style w:type="paragraph" w:customStyle="1" w:styleId="ListBulletBox">
    <w:name w:val="List Bullet Box"/>
    <w:basedOn w:val="Normal"/>
    <w:pPr>
      <w:numPr>
        <w:numId w:val="11"/>
      </w:numPr>
      <w:tabs>
        <w:tab w:val="clear" w:pos="1191"/>
        <w:tab w:val="clear" w:pos="1531"/>
      </w:tabs>
      <w:spacing w:after="240"/>
    </w:pPr>
    <w:rPr>
      <w:rFonts w:ascii="Arial" w:hAnsi="Arial" w:cs="Arial"/>
      <w:sz w:val="18"/>
      <w:lang w:val="en-US"/>
    </w:rPr>
  </w:style>
  <w:style w:type="paragraph" w:customStyle="1" w:styleId="ListBulletBox2">
    <w:name w:val="List Bullet Box 2"/>
    <w:basedOn w:val="Normal"/>
    <w:pPr>
      <w:numPr>
        <w:numId w:val="12"/>
      </w:numPr>
      <w:tabs>
        <w:tab w:val="clear" w:pos="850"/>
        <w:tab w:val="clear" w:pos="1531"/>
      </w:tabs>
      <w:spacing w:after="240"/>
    </w:pPr>
    <w:rPr>
      <w:rFonts w:ascii="Arial" w:hAnsi="Arial" w:cs="Arial"/>
      <w:sz w:val="18"/>
      <w:lang w:val="en-US"/>
    </w:rPr>
  </w:style>
  <w:style w:type="paragraph" w:customStyle="1" w:styleId="ListBulletBox3">
    <w:name w:val="List Bullet Box 3"/>
    <w:basedOn w:val="Normal"/>
    <w:pPr>
      <w:numPr>
        <w:numId w:val="13"/>
      </w:numPr>
      <w:tabs>
        <w:tab w:val="clear" w:pos="850"/>
        <w:tab w:val="clear" w:pos="1191"/>
        <w:tab w:val="clear" w:pos="1531"/>
      </w:tabs>
      <w:spacing w:after="240"/>
    </w:pPr>
    <w:rPr>
      <w:rFonts w:ascii="Arial" w:hAnsi="Arial" w:cs="Arial"/>
      <w:sz w:val="18"/>
      <w:lang w:val="en-US"/>
    </w:rPr>
  </w:style>
  <w:style w:type="paragraph" w:customStyle="1" w:styleId="ListNumberBox">
    <w:name w:val="List Number Box"/>
    <w:basedOn w:val="Normal"/>
    <w:pPr>
      <w:numPr>
        <w:numId w:val="14"/>
      </w:numPr>
      <w:tabs>
        <w:tab w:val="clear" w:pos="1191"/>
        <w:tab w:val="clear" w:pos="1531"/>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4"/>
      </w:numPr>
      <w:tabs>
        <w:tab w:val="clear" w:pos="850"/>
        <w:tab w:val="clear" w:pos="1531"/>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4"/>
      </w:numPr>
      <w:tabs>
        <w:tab w:val="clear" w:pos="850"/>
        <w:tab w:val="clear" w:pos="1191"/>
        <w:tab w:val="clear" w:pos="1531"/>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tabs>
        <w:tab w:val="clear" w:pos="850"/>
        <w:tab w:val="clear" w:pos="1191"/>
        <w:tab w:val="clear" w:pos="1531"/>
      </w:tabs>
      <w:spacing w:after="240"/>
      <w:ind w:left="850"/>
    </w:pPr>
    <w:rPr>
      <w:rFonts w:ascii="Arial" w:hAnsi="Arial" w:cs="Arial"/>
      <w:sz w:val="18"/>
      <w:lang w:val="en-US"/>
    </w:rPr>
  </w:style>
  <w:style w:type="paragraph" w:customStyle="1" w:styleId="ListContinueBox2">
    <w:name w:val="List Continue Box 2"/>
    <w:basedOn w:val="Normal"/>
    <w:pPr>
      <w:tabs>
        <w:tab w:val="clear" w:pos="850"/>
        <w:tab w:val="clear" w:pos="1191"/>
        <w:tab w:val="clear" w:pos="1531"/>
      </w:tabs>
      <w:spacing w:after="240"/>
      <w:ind w:left="1191"/>
    </w:pPr>
    <w:rPr>
      <w:rFonts w:ascii="Arial" w:hAnsi="Arial" w:cs="Arial"/>
      <w:sz w:val="18"/>
      <w:lang w:val="en-US"/>
    </w:rPr>
  </w:style>
  <w:style w:type="paragraph" w:customStyle="1" w:styleId="ListContinueBox3">
    <w:name w:val="List Continue Box 3"/>
    <w:basedOn w:val="Normal"/>
    <w:pPr>
      <w:tabs>
        <w:tab w:val="clear" w:pos="850"/>
        <w:tab w:val="clear" w:pos="1191"/>
        <w:tab w:val="clear" w:pos="1531"/>
      </w:tabs>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pPr>
      <w:tabs>
        <w:tab w:val="clear" w:pos="850"/>
        <w:tab w:val="clear" w:pos="1191"/>
        <w:tab w:val="clear" w:pos="1531"/>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tabs>
        <w:tab w:val="clear" w:pos="850"/>
        <w:tab w:val="clear" w:pos="1191"/>
        <w:tab w:val="clear" w:pos="1531"/>
      </w:tabs>
      <w:ind w:left="440" w:hanging="220"/>
    </w:pPr>
  </w:style>
  <w:style w:type="paragraph" w:styleId="Index3">
    <w:name w:val="index 3"/>
    <w:basedOn w:val="Normal"/>
    <w:next w:val="Normal"/>
    <w:semiHidden/>
    <w:pPr>
      <w:tabs>
        <w:tab w:val="clear" w:pos="850"/>
        <w:tab w:val="clear" w:pos="1191"/>
        <w:tab w:val="clear" w:pos="1531"/>
      </w:tabs>
      <w:ind w:left="660" w:hanging="220"/>
    </w:pPr>
  </w:style>
  <w:style w:type="paragraph" w:styleId="Index4">
    <w:name w:val="index 4"/>
    <w:basedOn w:val="Normal"/>
    <w:next w:val="Normal"/>
    <w:semiHidden/>
    <w:pPr>
      <w:tabs>
        <w:tab w:val="clear" w:pos="850"/>
        <w:tab w:val="clear" w:pos="1191"/>
        <w:tab w:val="clear" w:pos="1531"/>
      </w:tabs>
      <w:ind w:left="880" w:hanging="220"/>
    </w:pPr>
  </w:style>
  <w:style w:type="paragraph" w:styleId="Index5">
    <w:name w:val="index 5"/>
    <w:basedOn w:val="Normal"/>
    <w:next w:val="Normal"/>
    <w:semiHidden/>
    <w:pPr>
      <w:tabs>
        <w:tab w:val="clear" w:pos="850"/>
        <w:tab w:val="clear" w:pos="1191"/>
        <w:tab w:val="clear" w:pos="1531"/>
      </w:tabs>
      <w:ind w:left="1100" w:hanging="220"/>
    </w:pPr>
  </w:style>
  <w:style w:type="paragraph" w:styleId="Index6">
    <w:name w:val="index 6"/>
    <w:basedOn w:val="Normal"/>
    <w:next w:val="Normal"/>
    <w:semiHidden/>
    <w:pPr>
      <w:tabs>
        <w:tab w:val="clear" w:pos="850"/>
        <w:tab w:val="clear" w:pos="1191"/>
        <w:tab w:val="clear" w:pos="1531"/>
      </w:tabs>
      <w:ind w:left="1320" w:hanging="220"/>
    </w:pPr>
  </w:style>
  <w:style w:type="paragraph" w:styleId="Index7">
    <w:name w:val="index 7"/>
    <w:basedOn w:val="Normal"/>
    <w:next w:val="Normal"/>
    <w:semiHidden/>
    <w:pPr>
      <w:tabs>
        <w:tab w:val="clear" w:pos="850"/>
        <w:tab w:val="clear" w:pos="1191"/>
        <w:tab w:val="clear" w:pos="1531"/>
      </w:tabs>
      <w:ind w:left="1540" w:hanging="220"/>
    </w:pPr>
  </w:style>
  <w:style w:type="paragraph" w:styleId="Index8">
    <w:name w:val="index 8"/>
    <w:basedOn w:val="Normal"/>
    <w:next w:val="Normal"/>
    <w:semiHidden/>
    <w:pPr>
      <w:tabs>
        <w:tab w:val="clear" w:pos="850"/>
        <w:tab w:val="clear" w:pos="1191"/>
        <w:tab w:val="clear" w:pos="1531"/>
      </w:tabs>
      <w:ind w:left="1760" w:hanging="220"/>
    </w:pPr>
  </w:style>
  <w:style w:type="paragraph" w:styleId="Index9">
    <w:name w:val="index 9"/>
    <w:basedOn w:val="Normal"/>
    <w:next w:val="Normal"/>
    <w:semiHidden/>
    <w:pPr>
      <w:tabs>
        <w:tab w:val="clear" w:pos="850"/>
        <w:tab w:val="clear" w:pos="1191"/>
        <w:tab w:val="clear" w:pos="1531"/>
      </w:tabs>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rPr>
      <w:sz w:val="24"/>
      <w:szCs w:val="24"/>
    </w:rPr>
  </w:style>
  <w:style w:type="paragraph" w:styleId="CommentSubject">
    <w:name w:val="annotation subject"/>
    <w:basedOn w:val="CommentText"/>
    <w:next w:val="CommentText"/>
    <w:semiHidden/>
    <w:rPr>
      <w:b/>
      <w:bCs/>
    </w:rPr>
  </w:style>
  <w:style w:type="paragraph" w:styleId="Footer">
    <w:name w:val="footer"/>
    <w:basedOn w:val="Normal"/>
    <w:pPr>
      <w:tabs>
        <w:tab w:val="clear" w:pos="850"/>
        <w:tab w:val="clear" w:pos="1191"/>
        <w:tab w:val="clear" w:pos="1531"/>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tabs>
        <w:tab w:val="clear" w:pos="850"/>
        <w:tab w:val="clear" w:pos="1191"/>
        <w:tab w:val="clear" w:pos="1531"/>
      </w:tabs>
      <w:ind w:left="440" w:hanging="440"/>
    </w:pPr>
  </w:style>
  <w:style w:type="paragraph" w:styleId="TableofAuthorities">
    <w:name w:val="table of authorities"/>
    <w:basedOn w:val="Normal"/>
    <w:next w:val="Normal"/>
    <w:semiHidden/>
    <w:pPr>
      <w:tabs>
        <w:tab w:val="clear" w:pos="850"/>
        <w:tab w:val="clear" w:pos="1191"/>
        <w:tab w:val="clear" w:pos="1531"/>
      </w:tabs>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tabs>
        <w:tab w:val="clear" w:pos="850"/>
        <w:tab w:val="clear" w:pos="1191"/>
        <w:tab w:val="clear" w:pos="1531"/>
      </w:tabs>
      <w:ind w:left="1100"/>
    </w:pPr>
  </w:style>
  <w:style w:type="paragraph" w:styleId="TOC7">
    <w:name w:val="toc 7"/>
    <w:basedOn w:val="Normal"/>
    <w:next w:val="Normal"/>
    <w:qFormat/>
    <w:pPr>
      <w:tabs>
        <w:tab w:val="clear" w:pos="850"/>
        <w:tab w:val="clear" w:pos="1191"/>
        <w:tab w:val="clear" w:pos="1531"/>
      </w:tabs>
      <w:ind w:left="1320"/>
    </w:pPr>
  </w:style>
  <w:style w:type="paragraph" w:styleId="TOC8">
    <w:name w:val="toc 8"/>
    <w:basedOn w:val="Normal"/>
    <w:next w:val="Normal"/>
    <w:qFormat/>
    <w:pPr>
      <w:tabs>
        <w:tab w:val="clear" w:pos="850"/>
        <w:tab w:val="clear" w:pos="1191"/>
        <w:tab w:val="clear" w:pos="1531"/>
      </w:tabs>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semiHidden/>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jc w:val="left"/>
    </w:pPr>
  </w:style>
  <w:style w:type="character" w:customStyle="1" w:styleId="CitationChar">
    <w:name w:val="Citation Char"/>
    <w:basedOn w:val="DefaultParagraphFont"/>
    <w:link w:val="Citation"/>
    <w:rPr>
      <w:sz w:val="22"/>
      <w:szCs w:val="2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nexHeading">
    <w:name w:val="BulletedNote"/>
    <w:pPr>
      <w:numPr>
        <w:numId w:val="2"/>
      </w:numPr>
    </w:pPr>
  </w:style>
  <w:style w:type="numbering" w:customStyle="1" w:styleId="BodyText">
    <w:name w:val="NumericNote"/>
    <w:pPr>
      <w:numPr>
        <w:numId w:val="3"/>
      </w:numPr>
    </w:pPr>
  </w:style>
  <w:style w:type="numbering" w:customStyle="1" w:styleId="Annotation">
    <w:name w:val="NumberedNote"/>
    <w:pPr>
      <w:numPr>
        <w:numId w:val="1"/>
      </w:numPr>
    </w:pPr>
  </w:style>
  <w:style w:type="numbering" w:customStyle="1" w:styleId="AppendixHeading">
    <w:name w:val="AlphaNo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ain.oecd.org\winapps\Office2010\Workgroup%20Templates\AE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0D22B9DF-9937-48AE-A010-A67984F08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AE2007.dotm</Template>
  <TotalTime>914</TotalTime>
  <Pages>2</Pages>
  <Words>373</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 Michael</dc:creator>
  <cp:lastModifiedBy>KEENAN Michael</cp:lastModifiedBy>
  <cp:revision>3</cp:revision>
  <cp:lastPrinted>2015-06-04T12:16:00Z</cp:lastPrinted>
  <dcterms:created xsi:type="dcterms:W3CDTF">2015-06-03T09:20:00Z</dcterms:created>
  <dcterms:modified xsi:type="dcterms:W3CDTF">2015-06-04T16:26:00Z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ies>
</file>