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386" w:rsidRDefault="00A95CE8">
      <w:pPr>
        <w:rPr>
          <w:rFonts w:ascii="Times New Roman" w:eastAsia="Century Gothic" w:hAnsi="Times New Roman" w:cs="Century Gothic"/>
          <w:b/>
          <w:sz w:val="36"/>
          <w:szCs w:val="36"/>
          <w:u w:val="single"/>
        </w:rPr>
      </w:pPr>
      <w:r>
        <w:rPr>
          <w:rFonts w:ascii="Century Gothic" w:eastAsia="Century Gothic" w:hAnsi="Century Gothic" w:cs="Century Gothic"/>
          <w:b/>
          <w:sz w:val="36"/>
          <w:szCs w:val="36"/>
          <w:u w:val="single"/>
        </w:rPr>
        <w:t xml:space="preserve">Workshop specification: </w:t>
      </w:r>
    </w:p>
    <w:p w:rsidR="00AE714D" w:rsidRPr="00FA26AC" w:rsidRDefault="00A95CE8">
      <w:r w:rsidRPr="00FA26AC">
        <w:rPr>
          <w:rFonts w:ascii="Century Gothic" w:eastAsia="Century Gothic" w:hAnsi="Century Gothic" w:cs="Century Gothic"/>
          <w:sz w:val="36"/>
          <w:szCs w:val="36"/>
        </w:rPr>
        <w:t xml:space="preserve">From text to impact in ninety minutes. </w:t>
      </w:r>
    </w:p>
    <w:p w:rsidR="00AE714D" w:rsidRDefault="00A95CE8">
      <w:pPr>
        <w:pStyle w:val="Heading3"/>
      </w:pPr>
      <w:bookmarkStart w:id="0" w:name="_7tko8qlvkhia" w:colFirst="0" w:colLast="0"/>
      <w:bookmarkEnd w:id="0"/>
      <w:r>
        <w:t>Summary</w:t>
      </w:r>
    </w:p>
    <w:p w:rsidR="00AE714D" w:rsidRDefault="00A95CE8">
      <w:pPr>
        <w:rPr>
          <w:b/>
          <w:u w:val="single"/>
        </w:rPr>
      </w:pPr>
      <w:r>
        <w:t>This workshop will give participants an opportunity to turn their text into insight by walking them through key phases of the project pipeline. Starting with an overview of how semantic analyses can be used to explore questions of interest in the domain of</w:t>
      </w:r>
      <w:r>
        <w:t xml:space="preserve"> knowledge transfer, the session will then be broken down into a series of practical exercises covering data collection, an</w:t>
      </w:r>
      <w:r w:rsidR="00F444A7">
        <w:t xml:space="preserve">alysis and outputs. These will </w:t>
      </w:r>
      <w:r>
        <w:t>consist of a combination of presentations drawn from Nesta’s vast experience and small group exercise</w:t>
      </w:r>
      <w:r>
        <w:t xml:space="preserve">s. The practical component will conclude with a short session on the practicalities of semantic analyses, allowing participants to reflect on how they might implement projects in their own institutional context. The session will conclude with a Q&amp;A on the </w:t>
      </w:r>
      <w:r>
        <w:t xml:space="preserve">semantic analysis pipeline and a recap of key points. </w:t>
      </w:r>
    </w:p>
    <w:p w:rsidR="00AE714D" w:rsidRDefault="00A95CE8">
      <w:pPr>
        <w:pStyle w:val="Heading3"/>
        <w:rPr>
          <w:rFonts w:ascii="Times New Roman" w:hAnsi="Times New Roman"/>
        </w:rPr>
      </w:pPr>
      <w:bookmarkStart w:id="1" w:name="_waf077qllrgq" w:colFirst="0" w:colLast="0"/>
      <w:bookmarkEnd w:id="1"/>
      <w:r>
        <w:t>Structure</w:t>
      </w:r>
    </w:p>
    <w:p w:rsidR="00153386" w:rsidRDefault="00153386" w:rsidP="00153386">
      <w:pPr>
        <w:pBdr>
          <w:bottom w:val="single" w:sz="6" w:space="1" w:color="auto"/>
        </w:pBdr>
        <w:rPr>
          <w:lang w:val="en-AU"/>
        </w:rPr>
      </w:pPr>
    </w:p>
    <w:p w:rsidR="00AE714D" w:rsidRPr="00C765F2" w:rsidRDefault="00A95CE8">
      <w:pPr>
        <w:pStyle w:val="Heading4"/>
        <w:rPr>
          <w:rFonts w:ascii="Times New Roman" w:hAnsi="Times New Roman"/>
          <w:lang w:val="en-AU"/>
        </w:rPr>
      </w:pPr>
      <w:bookmarkStart w:id="2" w:name="_pmh89oo6uiit" w:colFirst="0" w:colLast="0"/>
      <w:bookmarkEnd w:id="2"/>
      <w:r>
        <w:t>O</w:t>
      </w:r>
      <w:r>
        <w:t>pening/overview (</w:t>
      </w:r>
      <w:r w:rsidR="00C765F2" w:rsidRPr="003017F0">
        <w:rPr>
          <w:color w:val="00B0F0"/>
          <w:lang w:val="en-AU"/>
        </w:rPr>
        <w:t>5</w:t>
      </w:r>
      <w:r w:rsidR="00C765F2" w:rsidRPr="003017F0">
        <w:rPr>
          <w:color w:val="00B0F0"/>
        </w:rPr>
        <w:t xml:space="preserve"> minutes</w:t>
      </w:r>
      <w:r w:rsidR="00C765F2">
        <w:t>)</w:t>
      </w:r>
      <w:r>
        <w:t xml:space="preserve"> </w:t>
      </w:r>
      <w:r w:rsidR="00C765F2" w:rsidRPr="00C765F2">
        <w:rPr>
          <w:b w:val="0"/>
          <w:color w:val="FF0000"/>
          <w:lang w:val="en-AU"/>
        </w:rPr>
        <w:t>(presentation only)</w:t>
      </w:r>
    </w:p>
    <w:p w:rsidR="00AE714D" w:rsidRDefault="00A95CE8">
      <w:pPr>
        <w:numPr>
          <w:ilvl w:val="0"/>
          <w:numId w:val="4"/>
        </w:numPr>
      </w:pPr>
      <w:r w:rsidRPr="0010225E">
        <w:rPr>
          <w:b/>
          <w:u w:val="single"/>
        </w:rPr>
        <w:t>Review goal of session</w:t>
      </w:r>
    </w:p>
    <w:p w:rsidR="00AE714D" w:rsidRDefault="00A95CE8">
      <w:pPr>
        <w:numPr>
          <w:ilvl w:val="1"/>
          <w:numId w:val="4"/>
        </w:numPr>
      </w:pPr>
      <w:r>
        <w:t>To come away with an understanding of the steps, challenges and opportunities in the semantic analysis pipeline,</w:t>
      </w:r>
      <w:r>
        <w:t xml:space="preserve"> as well as ideas on how this might be applied in one’s own context</w:t>
      </w:r>
    </w:p>
    <w:p w:rsidR="00C765F2" w:rsidRPr="0010225E" w:rsidRDefault="00C765F2" w:rsidP="00C765F2">
      <w:pPr>
        <w:numPr>
          <w:ilvl w:val="0"/>
          <w:numId w:val="4"/>
        </w:numPr>
        <w:rPr>
          <w:b/>
          <w:u w:val="single"/>
        </w:rPr>
      </w:pPr>
      <w:r w:rsidRPr="0010225E">
        <w:rPr>
          <w:b/>
          <w:u w:val="single"/>
          <w:lang w:val="en-AU"/>
        </w:rPr>
        <w:t xml:space="preserve">A broad overview of </w:t>
      </w:r>
    </w:p>
    <w:p w:rsidR="00AE714D" w:rsidRPr="00C765F2" w:rsidRDefault="00C765F2" w:rsidP="00C765F2">
      <w:pPr>
        <w:numPr>
          <w:ilvl w:val="1"/>
          <w:numId w:val="4"/>
        </w:numPr>
      </w:pPr>
      <w:r>
        <w:rPr>
          <w:lang w:val="en-AU"/>
        </w:rPr>
        <w:t>The k</w:t>
      </w:r>
      <w:r w:rsidRPr="00C765F2">
        <w:rPr>
          <w:lang w:val="en-AU"/>
        </w:rPr>
        <w:t>inds of questions we may want to ask</w:t>
      </w:r>
    </w:p>
    <w:p w:rsidR="00C765F2" w:rsidRPr="00153386" w:rsidRDefault="00C765F2" w:rsidP="00C765F2">
      <w:pPr>
        <w:numPr>
          <w:ilvl w:val="1"/>
          <w:numId w:val="4"/>
        </w:numPr>
      </w:pPr>
      <w:r>
        <w:rPr>
          <w:lang w:val="en-AU"/>
        </w:rPr>
        <w:t>The large variety of sources, beyond official data</w:t>
      </w:r>
    </w:p>
    <w:p w:rsidR="00153386" w:rsidRDefault="00153386" w:rsidP="00153386">
      <w:pPr>
        <w:pBdr>
          <w:bottom w:val="single" w:sz="6" w:space="1" w:color="auto"/>
        </w:pBdr>
        <w:rPr>
          <w:lang w:val="en-AU"/>
        </w:rPr>
      </w:pPr>
    </w:p>
    <w:p w:rsidR="00AE714D" w:rsidRPr="00C765F2" w:rsidRDefault="00C765F2">
      <w:pPr>
        <w:pStyle w:val="Heading4"/>
        <w:rPr>
          <w:lang w:val="en-AU"/>
        </w:rPr>
      </w:pPr>
      <w:bookmarkStart w:id="3" w:name="_f8nt7grwyr31" w:colFirst="0" w:colLast="0"/>
      <w:bookmarkEnd w:id="3"/>
      <w:r>
        <w:rPr>
          <w:lang w:val="en-AU"/>
        </w:rPr>
        <w:t xml:space="preserve">Following the pipeline of a semantic analysis </w:t>
      </w:r>
      <w:r w:rsidR="00A95CE8">
        <w:t>(</w:t>
      </w:r>
      <w:r w:rsidR="00A95CE8" w:rsidRPr="003017F0">
        <w:rPr>
          <w:color w:val="00B0F0"/>
        </w:rPr>
        <w:t>60 mi</w:t>
      </w:r>
      <w:r w:rsidR="00A95CE8" w:rsidRPr="003017F0">
        <w:rPr>
          <w:color w:val="00B0F0"/>
        </w:rPr>
        <w:t>nutes</w:t>
      </w:r>
      <w:r w:rsidR="00A95CE8">
        <w:t xml:space="preserve">) </w:t>
      </w:r>
      <w:r w:rsidRPr="00C765F2">
        <w:rPr>
          <w:b w:val="0"/>
          <w:color w:val="FF0000"/>
          <w:lang w:val="en-AU"/>
        </w:rPr>
        <w:t>(presentation and exercises)</w:t>
      </w:r>
    </w:p>
    <w:p w:rsidR="0010225E" w:rsidRPr="0010225E" w:rsidRDefault="0010225E" w:rsidP="00C765F2">
      <w:pPr>
        <w:numPr>
          <w:ilvl w:val="0"/>
          <w:numId w:val="4"/>
        </w:numPr>
        <w:rPr>
          <w:b/>
        </w:rPr>
      </w:pPr>
      <w:r>
        <w:rPr>
          <w:b/>
          <w:u w:val="single"/>
          <w:lang w:val="en-AU"/>
        </w:rPr>
        <w:t>Data collection</w:t>
      </w:r>
      <w:r w:rsidR="00153386">
        <w:rPr>
          <w:b/>
          <w:u w:val="single"/>
          <w:lang w:val="en-AU"/>
        </w:rPr>
        <w:t xml:space="preserve"> (20 minutes)</w:t>
      </w:r>
    </w:p>
    <w:p w:rsidR="00AE714D" w:rsidRPr="0010225E" w:rsidRDefault="0010225E" w:rsidP="0010225E">
      <w:pPr>
        <w:numPr>
          <w:ilvl w:val="1"/>
          <w:numId w:val="4"/>
        </w:numPr>
      </w:pPr>
      <w:r w:rsidRPr="0010225E">
        <w:rPr>
          <w:b/>
          <w:lang w:val="en-AU"/>
        </w:rPr>
        <w:t>Presentation</w:t>
      </w:r>
      <w:r>
        <w:rPr>
          <w:lang w:val="en-AU"/>
        </w:rPr>
        <w:t xml:space="preserve">: </w:t>
      </w:r>
      <w:r w:rsidRPr="0010225E">
        <w:rPr>
          <w:lang w:val="en-AU"/>
        </w:rPr>
        <w:t>Example of data sources</w:t>
      </w:r>
    </w:p>
    <w:p w:rsidR="0010225E" w:rsidRPr="0010225E" w:rsidRDefault="0010225E" w:rsidP="0010225E">
      <w:pPr>
        <w:numPr>
          <w:ilvl w:val="1"/>
          <w:numId w:val="4"/>
        </w:numPr>
      </w:pPr>
      <w:r w:rsidRPr="0010225E">
        <w:rPr>
          <w:b/>
          <w:lang w:val="en-AU"/>
        </w:rPr>
        <w:t>Guided exercise</w:t>
      </w:r>
      <w:r>
        <w:rPr>
          <w:lang w:val="en-AU"/>
        </w:rPr>
        <w:t xml:space="preserve">: </w:t>
      </w:r>
      <w:r w:rsidRPr="0010225E">
        <w:rPr>
          <w:lang w:val="en-AU"/>
        </w:rPr>
        <w:t xml:space="preserve">Identify </w:t>
      </w:r>
      <w:r>
        <w:rPr>
          <w:lang w:val="en-AU"/>
        </w:rPr>
        <w:t xml:space="preserve">policy applications, </w:t>
      </w:r>
      <w:r w:rsidRPr="0010225E">
        <w:rPr>
          <w:lang w:val="en-AU"/>
        </w:rPr>
        <w:t>data sources</w:t>
      </w:r>
      <w:r>
        <w:rPr>
          <w:lang w:val="en-AU"/>
        </w:rPr>
        <w:t xml:space="preserve"> and their limitations</w:t>
      </w:r>
    </w:p>
    <w:p w:rsidR="00AE714D" w:rsidRPr="0010225E" w:rsidRDefault="00A95CE8" w:rsidP="0010225E">
      <w:pPr>
        <w:numPr>
          <w:ilvl w:val="0"/>
          <w:numId w:val="4"/>
        </w:numPr>
        <w:rPr>
          <w:b/>
        </w:rPr>
      </w:pPr>
      <w:r>
        <w:rPr>
          <w:b/>
          <w:u w:val="single"/>
        </w:rPr>
        <w:t>Analysis (20 minutes)</w:t>
      </w:r>
      <w:r>
        <w:t xml:space="preserve"> </w:t>
      </w:r>
    </w:p>
    <w:p w:rsidR="00AE714D" w:rsidRPr="0010225E" w:rsidRDefault="0010225E" w:rsidP="0010225E">
      <w:pPr>
        <w:numPr>
          <w:ilvl w:val="1"/>
          <w:numId w:val="4"/>
        </w:numPr>
      </w:pPr>
      <w:r w:rsidRPr="0010225E">
        <w:rPr>
          <w:b/>
          <w:lang w:val="en-AU"/>
        </w:rPr>
        <w:t>Presentation</w:t>
      </w:r>
      <w:r w:rsidR="00A95CE8">
        <w:t xml:space="preserve">: Steps of semantic </w:t>
      </w:r>
      <w:r>
        <w:rPr>
          <w:lang w:val="en-AU"/>
        </w:rPr>
        <w:t xml:space="preserve">analysis </w:t>
      </w:r>
      <w:r w:rsidR="00A95CE8">
        <w:t xml:space="preserve">pipeline (5 minutes) </w:t>
      </w:r>
    </w:p>
    <w:p w:rsidR="0010225E" w:rsidRPr="0010225E" w:rsidRDefault="0010225E" w:rsidP="0010225E">
      <w:pPr>
        <w:numPr>
          <w:ilvl w:val="1"/>
          <w:numId w:val="4"/>
        </w:numPr>
      </w:pPr>
      <w:r w:rsidRPr="0010225E">
        <w:rPr>
          <w:b/>
          <w:lang w:val="en-AU"/>
        </w:rPr>
        <w:t>Presentation</w:t>
      </w:r>
      <w:r>
        <w:t xml:space="preserve">: </w:t>
      </w:r>
      <w:r>
        <w:rPr>
          <w:lang w:val="en-AU"/>
        </w:rPr>
        <w:t>Practical example of a semantic analysis</w:t>
      </w:r>
      <w:r>
        <w:t xml:space="preserve"> (5 minutes) </w:t>
      </w:r>
    </w:p>
    <w:p w:rsidR="00AE714D" w:rsidRPr="00032EB2" w:rsidRDefault="0010225E" w:rsidP="0010225E">
      <w:pPr>
        <w:numPr>
          <w:ilvl w:val="1"/>
          <w:numId w:val="4"/>
        </w:numPr>
      </w:pPr>
      <w:r w:rsidRPr="0010225E">
        <w:rPr>
          <w:b/>
          <w:lang w:val="en-AU"/>
        </w:rPr>
        <w:lastRenderedPageBreak/>
        <w:t>Guided exercise</w:t>
      </w:r>
      <w:r w:rsidR="00A95CE8">
        <w:t xml:space="preserve">: </w:t>
      </w:r>
      <w:r w:rsidR="00032EB2">
        <w:rPr>
          <w:lang w:val="en-AU"/>
        </w:rPr>
        <w:t>Two data files are provided:</w:t>
      </w:r>
    </w:p>
    <w:p w:rsidR="00032EB2" w:rsidRPr="00032EB2" w:rsidRDefault="00032EB2" w:rsidP="00032EB2">
      <w:pPr>
        <w:numPr>
          <w:ilvl w:val="2"/>
          <w:numId w:val="4"/>
        </w:numPr>
      </w:pPr>
      <w:r w:rsidRPr="00032EB2">
        <w:rPr>
          <w:lang w:val="en-AU"/>
        </w:rPr>
        <w:t>1) Project descriptions</w:t>
      </w:r>
      <w:r>
        <w:rPr>
          <w:lang w:val="en-AU"/>
        </w:rPr>
        <w:t xml:space="preserve"> (before semantic analysis) – how would you assign topics to projects?</w:t>
      </w:r>
    </w:p>
    <w:p w:rsidR="00032EB2" w:rsidRPr="00153386" w:rsidRDefault="00032EB2" w:rsidP="00032EB2">
      <w:pPr>
        <w:numPr>
          <w:ilvl w:val="2"/>
          <w:numId w:val="4"/>
        </w:numPr>
      </w:pPr>
      <w:r>
        <w:rPr>
          <w:lang w:val="en-AU"/>
        </w:rPr>
        <w:t xml:space="preserve">2) Project topics (after semantic analysis) </w:t>
      </w:r>
      <w:r w:rsidR="00153386">
        <w:rPr>
          <w:lang w:val="en-AU"/>
        </w:rPr>
        <w:t>–</w:t>
      </w:r>
      <w:r>
        <w:rPr>
          <w:lang w:val="en-AU"/>
        </w:rPr>
        <w:t xml:space="preserve"> </w:t>
      </w:r>
      <w:r w:rsidR="00153386">
        <w:rPr>
          <w:lang w:val="en-AU"/>
        </w:rPr>
        <w:t>how would you interpret the findings?</w:t>
      </w:r>
    </w:p>
    <w:p w:rsidR="00153386" w:rsidRPr="00153386" w:rsidRDefault="00153386" w:rsidP="00153386">
      <w:pPr>
        <w:numPr>
          <w:ilvl w:val="0"/>
          <w:numId w:val="4"/>
        </w:numPr>
        <w:rPr>
          <w:b/>
        </w:rPr>
      </w:pPr>
      <w:r>
        <w:rPr>
          <w:b/>
          <w:u w:val="single"/>
          <w:lang w:val="en-AU"/>
        </w:rPr>
        <w:t>Communicating results</w:t>
      </w:r>
      <w:r>
        <w:rPr>
          <w:b/>
          <w:u w:val="single"/>
        </w:rPr>
        <w:t xml:space="preserve"> (</w:t>
      </w:r>
      <w:r>
        <w:rPr>
          <w:b/>
          <w:u w:val="single"/>
          <w:lang w:val="en-AU"/>
        </w:rPr>
        <w:t>20</w:t>
      </w:r>
      <w:r>
        <w:rPr>
          <w:b/>
          <w:u w:val="single"/>
        </w:rPr>
        <w:t xml:space="preserve"> minutes)</w:t>
      </w:r>
    </w:p>
    <w:p w:rsidR="00153386" w:rsidRPr="00153386" w:rsidRDefault="00153386" w:rsidP="00153386">
      <w:pPr>
        <w:numPr>
          <w:ilvl w:val="1"/>
          <w:numId w:val="4"/>
        </w:numPr>
        <w:rPr>
          <w:b/>
        </w:rPr>
      </w:pPr>
      <w:r>
        <w:rPr>
          <w:b/>
          <w:lang w:val="en-AU"/>
        </w:rPr>
        <w:t xml:space="preserve">Presentation: </w:t>
      </w:r>
      <w:r>
        <w:rPr>
          <w:lang w:val="en-AU"/>
        </w:rPr>
        <w:t>Options for data visualisation</w:t>
      </w:r>
    </w:p>
    <w:p w:rsidR="00153386" w:rsidRPr="00153386" w:rsidRDefault="00153386" w:rsidP="00153386">
      <w:pPr>
        <w:numPr>
          <w:ilvl w:val="1"/>
          <w:numId w:val="4"/>
        </w:numPr>
        <w:rPr>
          <w:b/>
        </w:rPr>
      </w:pPr>
      <w:r>
        <w:rPr>
          <w:b/>
          <w:lang w:val="en-AU"/>
        </w:rPr>
        <w:t xml:space="preserve">Guided exercise: </w:t>
      </w:r>
      <w:r>
        <w:rPr>
          <w:lang w:val="en-AU"/>
        </w:rPr>
        <w:t>Thinking about policy applications, and appropriate outputs</w:t>
      </w:r>
    </w:p>
    <w:p w:rsidR="00153386" w:rsidRPr="00153386" w:rsidRDefault="00153386" w:rsidP="00153386">
      <w:pPr>
        <w:pBdr>
          <w:bottom w:val="single" w:sz="6" w:space="1" w:color="auto"/>
        </w:pBdr>
        <w:rPr>
          <w:lang w:val="en-AU"/>
        </w:rPr>
      </w:pPr>
    </w:p>
    <w:p w:rsidR="00153386" w:rsidRPr="001D50C9" w:rsidRDefault="00153386" w:rsidP="001D50C9">
      <w:pPr>
        <w:pStyle w:val="Heading4"/>
        <w:rPr>
          <w:lang w:val="en-AU"/>
        </w:rPr>
      </w:pPr>
      <w:r>
        <w:rPr>
          <w:lang w:val="en-AU"/>
        </w:rPr>
        <w:t>Capabilities and workflows</w:t>
      </w:r>
      <w:r>
        <w:rPr>
          <w:lang w:val="en-AU"/>
        </w:rPr>
        <w:t xml:space="preserve"> </w:t>
      </w:r>
      <w:r>
        <w:t>(</w:t>
      </w:r>
      <w:r w:rsidRPr="003017F0">
        <w:rPr>
          <w:color w:val="00B0F0"/>
          <w:lang w:val="en-AU"/>
        </w:rPr>
        <w:t>20</w:t>
      </w:r>
      <w:r w:rsidRPr="003017F0">
        <w:rPr>
          <w:color w:val="00B0F0"/>
        </w:rPr>
        <w:t xml:space="preserve"> minutes</w:t>
      </w:r>
      <w:r>
        <w:t xml:space="preserve">) </w:t>
      </w:r>
      <w:r w:rsidRPr="00C765F2">
        <w:rPr>
          <w:b w:val="0"/>
          <w:color w:val="FF0000"/>
          <w:lang w:val="en-AU"/>
        </w:rPr>
        <w:t xml:space="preserve">(presentation and </w:t>
      </w:r>
      <w:r>
        <w:rPr>
          <w:b w:val="0"/>
          <w:color w:val="FF0000"/>
          <w:lang w:val="en-AU"/>
        </w:rPr>
        <w:t>discussion</w:t>
      </w:r>
      <w:r w:rsidRPr="00C765F2">
        <w:rPr>
          <w:b w:val="0"/>
          <w:color w:val="FF0000"/>
          <w:lang w:val="en-AU"/>
        </w:rPr>
        <w:t>)</w:t>
      </w:r>
    </w:p>
    <w:p w:rsidR="00FC6721" w:rsidRPr="00FC6721" w:rsidRDefault="00FC6721" w:rsidP="00153386">
      <w:pPr>
        <w:numPr>
          <w:ilvl w:val="0"/>
          <w:numId w:val="4"/>
        </w:numPr>
        <w:rPr>
          <w:b/>
        </w:rPr>
      </w:pPr>
      <w:r>
        <w:rPr>
          <w:b/>
          <w:lang w:val="en-AU"/>
        </w:rPr>
        <w:t xml:space="preserve">Presentation: </w:t>
      </w:r>
    </w:p>
    <w:p w:rsidR="00AE714D" w:rsidRPr="00FC6721" w:rsidRDefault="001D50C9" w:rsidP="00FC6721">
      <w:pPr>
        <w:numPr>
          <w:ilvl w:val="1"/>
          <w:numId w:val="4"/>
        </w:numPr>
      </w:pPr>
      <w:r w:rsidRPr="00FC6721">
        <w:rPr>
          <w:lang w:val="en-AU"/>
        </w:rPr>
        <w:t>An introduction to the tools required to do analysis at scale</w:t>
      </w:r>
    </w:p>
    <w:p w:rsidR="00FC6721" w:rsidRPr="00FC6721" w:rsidRDefault="005A1A84" w:rsidP="005A1A84">
      <w:pPr>
        <w:numPr>
          <w:ilvl w:val="0"/>
          <w:numId w:val="4"/>
        </w:numPr>
      </w:pPr>
      <w:r>
        <w:rPr>
          <w:b/>
          <w:lang w:val="en-AU"/>
        </w:rPr>
        <w:t xml:space="preserve">Wide discussion with </w:t>
      </w:r>
      <w:r w:rsidR="003017F0">
        <w:rPr>
          <w:b/>
          <w:lang w:val="en-AU"/>
        </w:rPr>
        <w:t>participants</w:t>
      </w:r>
      <w:r>
        <w:rPr>
          <w:b/>
          <w:lang w:val="en-AU"/>
        </w:rPr>
        <w:t>, including Q&amp;A</w:t>
      </w:r>
    </w:p>
    <w:p w:rsidR="005A1A84" w:rsidRPr="005A1A84" w:rsidRDefault="005A1A84" w:rsidP="005A1A84">
      <w:pPr>
        <w:pBdr>
          <w:bottom w:val="single" w:sz="6" w:space="1" w:color="auto"/>
        </w:pBdr>
        <w:rPr>
          <w:lang w:val="en-AU"/>
        </w:rPr>
      </w:pPr>
      <w:bookmarkStart w:id="4" w:name="_wcynvhyoqqv4" w:colFirst="0" w:colLast="0"/>
      <w:bookmarkEnd w:id="4"/>
    </w:p>
    <w:p w:rsidR="00AE714D" w:rsidRPr="005A1A84" w:rsidRDefault="00A95CE8" w:rsidP="005A1A84">
      <w:pPr>
        <w:pStyle w:val="Heading4"/>
        <w:rPr>
          <w:lang w:val="en-AU"/>
        </w:rPr>
      </w:pPr>
      <w:r>
        <w:t xml:space="preserve">Closing </w:t>
      </w:r>
      <w:r w:rsidR="005A1A84">
        <w:rPr>
          <w:lang w:val="en-AU"/>
        </w:rPr>
        <w:t>remarks</w:t>
      </w:r>
    </w:p>
    <w:p w:rsidR="00AE714D" w:rsidRDefault="00AE714D">
      <w:bookmarkStart w:id="5" w:name="_GoBack"/>
      <w:bookmarkEnd w:id="5"/>
    </w:p>
    <w:sectPr w:rsidR="00AE714D">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CE8" w:rsidRDefault="00A95CE8">
      <w:pPr>
        <w:spacing w:after="0" w:line="240" w:lineRule="auto"/>
      </w:pPr>
      <w:r>
        <w:separator/>
      </w:r>
    </w:p>
  </w:endnote>
  <w:endnote w:type="continuationSeparator" w:id="0">
    <w:p w:rsidR="00A95CE8" w:rsidRDefault="00A9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CE8" w:rsidRDefault="00A95CE8">
      <w:pPr>
        <w:spacing w:after="0" w:line="240" w:lineRule="auto"/>
      </w:pPr>
      <w:r>
        <w:separator/>
      </w:r>
    </w:p>
  </w:footnote>
  <w:footnote w:type="continuationSeparator" w:id="0">
    <w:p w:rsidR="00A95CE8" w:rsidRDefault="00A95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14D" w:rsidRDefault="00AE71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4DB"/>
    <w:multiLevelType w:val="multilevel"/>
    <w:tmpl w:val="FA68EB38"/>
    <w:lvl w:ilvl="0">
      <w:start w:val="1"/>
      <w:numFmt w:val="bullet"/>
      <w:lvlText w:val="●"/>
      <w:lvlJc w:val="left"/>
      <w:pPr>
        <w:ind w:left="720" w:hanging="360"/>
      </w:pPr>
      <w:rPr>
        <w:rFonts w:ascii="Arial" w:eastAsia="Arial" w:hAnsi="Arial" w:cs="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72CAA"/>
    <w:multiLevelType w:val="multilevel"/>
    <w:tmpl w:val="833E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7B3FD2"/>
    <w:multiLevelType w:val="multilevel"/>
    <w:tmpl w:val="4C665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DE331D"/>
    <w:multiLevelType w:val="multilevel"/>
    <w:tmpl w:val="27F2C688"/>
    <w:lvl w:ilvl="0">
      <w:start w:val="1"/>
      <w:numFmt w:val="bullet"/>
      <w:lvlText w:val="●"/>
      <w:lvlJc w:val="left"/>
      <w:pPr>
        <w:ind w:left="720" w:hanging="360"/>
      </w:pPr>
      <w:rPr>
        <w:rFonts w:ascii="Arial" w:eastAsia="Arial" w:hAnsi="Arial" w:cs="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4D"/>
    <w:rsid w:val="00032EB2"/>
    <w:rsid w:val="0010225E"/>
    <w:rsid w:val="00153386"/>
    <w:rsid w:val="001D0D25"/>
    <w:rsid w:val="001D50C9"/>
    <w:rsid w:val="002C45E1"/>
    <w:rsid w:val="003017F0"/>
    <w:rsid w:val="005A1A84"/>
    <w:rsid w:val="00677A19"/>
    <w:rsid w:val="00A95CE8"/>
    <w:rsid w:val="00AE714D"/>
    <w:rsid w:val="00C765F2"/>
    <w:rsid w:val="00F444A7"/>
    <w:rsid w:val="00FA26AC"/>
    <w:rsid w:val="00FC6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72E578"/>
  <w15:docId w15:val="{3C8D69A5-7F16-DB40-A39E-5956F3A7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outlineLvl w:val="2"/>
    </w:pPr>
    <w:rPr>
      <w:rFonts w:ascii="Century Gothic" w:eastAsia="Century Gothic" w:hAnsi="Century Gothic" w:cs="Century Gothic"/>
      <w:b/>
      <w:color w:val="434343"/>
      <w:sz w:val="28"/>
      <w:szCs w:val="28"/>
    </w:rPr>
  </w:style>
  <w:style w:type="paragraph" w:styleId="Heading4">
    <w:name w:val="heading 4"/>
    <w:basedOn w:val="Normal"/>
    <w:next w:val="Normal"/>
    <w:pPr>
      <w:keepNext/>
      <w:keepLines/>
      <w:spacing w:before="280" w:after="80"/>
      <w:outlineLvl w:val="3"/>
    </w:pPr>
    <w:rPr>
      <w:b/>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153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Klinger</cp:lastModifiedBy>
  <cp:revision>2</cp:revision>
  <dcterms:created xsi:type="dcterms:W3CDTF">2018-03-11T19:08:00Z</dcterms:created>
  <dcterms:modified xsi:type="dcterms:W3CDTF">2018-03-11T19:08:00Z</dcterms:modified>
</cp:coreProperties>
</file>