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6B1D2F"/>
          <w:sz w:val="38"/>
        </w:rPr>
        <w:t>ASK RED BEAR ASSISTIVE AI</w:t>
        <w:br/>
        <w:t>DEVELOPMENT STATUS &amp; COMPLETION ASSESSMENT</w:t>
      </w:r>
    </w:p>
    <w:p>
      <w:pPr>
        <w:jc w:val="center"/>
      </w:pPr>
      <w:r>
        <w:rPr>
          <w:rFonts w:ascii="Arial" w:hAnsi="Arial"/>
          <w:b/>
          <w:color w:val="C98A2C"/>
          <w:sz w:val="22"/>
        </w:rPr>
        <w:t>Comprehensive Technical Audit of Assistive AI Architecture, Speech Pipeline, Sovereign Governance, and Production Roadmap</w:t>
      </w:r>
    </w:p>
    <w:p>
      <w:pPr>
        <w:jc w:val="center"/>
      </w:pPr>
      <w:r>
        <w:rPr>
          <w:rFonts w:ascii="Arial" w:hAnsi="Arial"/>
          <w:color w:val="64748B"/>
          <w:sz w:val="18"/>
        </w:rPr>
        <w:t>Cowessess First Nation | Chief Red Bear Children's Lodge</w:t>
        <w:br/>
        <w:t>Preparation Date: October 27, 2026 | Commit HEAD: 0746579 | Branch: main</w:t>
        <w:br/>
        <w:t>Governance Classification: Strictly Assistive AI — Human-in-the-Loop Guaranteed</w:t>
      </w:r>
    </w:p>
    <w:p>
      <w:pPr>
        <w:spacing w:after="240"/>
      </w:pPr>
    </w:p>
    <w:tbl>
      <w:tblPr>
        <w:tblW w:type="auto" w:w="0"/>
        <w:jc w:val="center"/>
        <w:tblLook w:firstColumn="1" w:firstRow="1" w:lastColumn="0" w:lastRow="0" w:noHBand="0" w:noVBand="1" w:val="04A0"/>
      </w:tblPr>
      <w:tblGrid>
        <w:gridCol w:w="9936"/>
      </w:tblGrid>
      <w:tr>
        <w:tc>
          <w:tcPr>
            <w:tcW w:type="dxa" w:w="9936"/>
            <w:shd w:fill="FEF3C7"/>
            <w:tcMar>
              <w:top w:w="140" w:type="dxa"/>
              <w:bottom w:w="140" w:type="dxa"/>
              <w:left w:w="200" w:type="dxa"/>
              <w:right w:w="200" w:type="dxa"/>
            </w:tcMar>
          </w:tcPr>
          <w:p>
            <w:r>
              <w:rPr>
                <w:b/>
                <w:color w:val="92400E"/>
                <w:sz w:val="20"/>
              </w:rPr>
              <w:t>⚠️ MANDATORY AI ASSISTIVE &amp; LEGAL NOTICE</w:t>
              <w:br/>
              <w:br/>
            </w:r>
            <w:r>
              <w:rPr>
                <w:color w:val="78350F"/>
                <w:sz w:val="18"/>
              </w:rPr>
              <w:t>Ask Red Bear is strictly assistive and advisory. It possesses zero legal authority to make autonomous child welfare screenings, custody determinations, or statutory child protection decisions. All outputs are generated as assistive drafts and require independent human review and legal verification by a qualified CRBCL caseworker or supervisor. Crucially, the backend completion engine currently runs on a simulated provider (FakeAiProvider); live cloud LLM integration requires CRBCL Board budget authorization and provider selection.</w:t>
            </w:r>
          </w:p>
        </w:tc>
      </w:tr>
    </w:tbl>
    <w:p>
      <w:pPr>
        <w:spacing w:after="280"/>
      </w:pPr>
    </w:p>
    <w:p>
      <w:pPr>
        <w:spacing w:before="280" w:after="100"/>
      </w:pPr>
      <w:r>
        <w:rPr>
          <w:rFonts w:ascii="Arial" w:hAnsi="Arial"/>
          <w:b/>
          <w:color w:val="6B1D2F"/>
          <w:sz w:val="26"/>
        </w:rPr>
        <w:t>1. EXECUTIVE SUMMARY &amp; ASSISTIVE SCOPE</w:t>
      </w:r>
    </w:p>
    <w:p>
      <w:pPr>
        <w:spacing w:after="100"/>
      </w:pPr>
      <w:r>
        <w:rPr>
          <w:rFonts w:ascii="Arial" w:hAnsi="Arial"/>
          <w:color w:val="1E293B"/>
          <w:sz w:val="19"/>
        </w:rPr>
        <w:t>Ask Red Bear is a custom-engineered artificial intelligence capability embedded within the CRBCL Family Wellness platform. Developed to alleviate heavy administrative burdens on frontline caseworkers, Ask Red Bear provides natural language record retrieval, schedule summarization, and hands-free voice transcription. In strict compliance with Indigenous OCAP® data principles and Canadian child welfare standards, the system is designed never to make autonomous decisions or replace human caseworkers.</w:t>
      </w:r>
    </w:p>
    <w:p>
      <w:pPr>
        <w:spacing w:before="280" w:after="100"/>
      </w:pPr>
      <w:r>
        <w:rPr>
          <w:rFonts w:ascii="Arial" w:hAnsi="Arial"/>
          <w:b/>
          <w:color w:val="6B1D2F"/>
          <w:sz w:val="26"/>
        </w:rPr>
        <w:t>2. CURRENT ARCHITECTURAL STATE &amp; SIMULATION DISCLOSURE</w:t>
      </w:r>
    </w:p>
    <w:p>
      <w:pPr>
        <w:spacing w:after="100"/>
      </w:pPr>
      <w:r>
        <w:rPr>
          <w:rFonts w:ascii="Arial" w:hAnsi="Arial"/>
          <w:color w:val="1E293B"/>
          <w:sz w:val="19"/>
        </w:rPr>
        <w:t>To ensure total transparency with CRBCL leadership, the current implementation status of Ask Red Bear components is detailed below:</w:t>
      </w:r>
    </w:p>
    <w:p>
      <w:pPr>
        <w:spacing w:after="100"/>
      </w:pPr>
      <w:r>
        <w:rPr>
          <w:rFonts w:ascii="Arial" w:hAnsi="Arial"/>
          <w:b/>
          <w:color w:val="1E293B"/>
          <w:sz w:val="19"/>
        </w:rPr>
        <w:t xml:space="preserve">• </w:t>
      </w:r>
      <w:r>
        <w:rPr>
          <w:rFonts w:ascii="Arial" w:hAnsi="Arial"/>
          <w:color w:val="1E293B"/>
          <w:sz w:val="19"/>
        </w:rPr>
        <w:t>LIVE VERIFIED (Backend RBAC &amp; Logic): The Authorization-First Context Gateway, active Case Restriction filters, deterministic tool routing (get_case_summary, get_my_cases, get_overdue_goals), field-level redactions, and database audit logging are 100% written, integrated, and verified with passing automated test suites (test_ask_red_bear_speech.py).</w:t>
      </w:r>
    </w:p>
    <w:p>
      <w:pPr>
        <w:spacing w:after="100"/>
      </w:pPr>
      <w:r>
        <w:rPr>
          <w:rFonts w:ascii="Arial" w:hAnsi="Arial"/>
          <w:b/>
          <w:color w:val="1E293B"/>
          <w:sz w:val="19"/>
        </w:rPr>
        <w:t xml:space="preserve">• </w:t>
      </w:r>
      <w:r>
        <w:rPr>
          <w:rFonts w:ascii="Arial" w:hAnsi="Arial"/>
          <w:color w:val="1E293B"/>
          <w:sz w:val="19"/>
        </w:rPr>
        <w:t>STUBBED / SIMULATED (LLM Generation): The final model completion step in gateway.py currently utilizes FakeAiProvider (generating synthetic assistive summaries). No live API keys for external cloud LLMs (such as Anthropic Claude 3.5 Sonnet or OpenAI GPT-4o) have been stored in the production environment. This intentional design prevents unmonitored API billing until leadership authorizes an enterprise AI budget.</w:t>
      </w:r>
    </w:p>
    <w:p>
      <w:pPr>
        <w:spacing w:after="100"/>
      </w:pPr>
      <w:r>
        <w:rPr>
          <w:rFonts w:ascii="Arial" w:hAnsi="Arial"/>
          <w:b/>
          <w:color w:val="1E293B"/>
          <w:sz w:val="19"/>
        </w:rPr>
        <w:t xml:space="preserve">• </w:t>
      </w:r>
      <w:r>
        <w:rPr>
          <w:rFonts w:ascii="Arial" w:hAnsi="Arial"/>
          <w:color w:val="1E293B"/>
          <w:sz w:val="19"/>
        </w:rPr>
        <w:t>LIVE VERIFIED (Speech-to-Text Input Aid): The browser-based speech dictation interface (SpeechDictationControl.jsx) and backend transcription endpoint (/api/v1/ask-red-bear/transcribe) function as an ephemeral input aid. In-memory audio recordings are transcribed directly into the text box for user review and editing before prompt dispatch.</w:t>
      </w:r>
    </w:p>
    <w:p>
      <w:pPr>
        <w:spacing w:before="280" w:after="100"/>
      </w:pPr>
      <w:r>
        <w:rPr>
          <w:rFonts w:ascii="Arial" w:hAnsi="Arial"/>
          <w:b/>
          <w:color w:val="6B1D2F"/>
          <w:sz w:val="26"/>
        </w:rPr>
        <w:t>3. AUTHORIZATION-FIRST SECURITY &amp; FIELD REDACTION ENGINE</w:t>
      </w:r>
    </w:p>
    <w:p>
      <w:pPr>
        <w:spacing w:after="100"/>
      </w:pPr>
      <w:r>
        <w:rPr>
          <w:rFonts w:ascii="Arial" w:hAnsi="Arial"/>
          <w:color w:val="1E293B"/>
          <w:sz w:val="19"/>
        </w:rPr>
        <w:t>Ask Red Bear implements rigorous defense-in-depth protections to prevent unauthorized data exposure, hallucination, or prompt injection:</w:t>
      </w:r>
    </w:p>
    <w:tbl>
      <w:tblPr>
        <w:tblW w:type="auto" w:w="0"/>
        <w:jc w:val="center"/>
        <w:tblLook w:firstColumn="1" w:firstRow="1" w:lastColumn="0" w:lastRow="0" w:noHBand="0" w:noVBand="1" w:val="04A0"/>
      </w:tblPr>
      <w:tblGrid>
        <w:gridCol w:w="3312"/>
        <w:gridCol w:w="3312"/>
        <w:gridCol w:w="3312"/>
      </w:tblGrid>
      <w:tr>
        <w:tc>
          <w:tcPr>
            <w:tcW w:type="dxa" w:w="3312"/>
            <w:shd w:fill="#6B1D2F"/>
          </w:tcPr>
          <w:p>
            <w:r>
              <w:rPr>
                <w:b/>
                <w:color w:val="FFFFFF"/>
                <w:sz w:val="17"/>
              </w:rPr>
              <w:t>Security Control Layer</w:t>
            </w:r>
          </w:p>
        </w:tc>
        <w:tc>
          <w:tcPr>
            <w:tcW w:type="dxa" w:w="3312"/>
            <w:shd w:fill="#6B1D2F"/>
          </w:tcPr>
          <w:p>
            <w:r>
              <w:rPr>
                <w:b/>
                <w:color w:val="FFFFFF"/>
                <w:sz w:val="17"/>
              </w:rPr>
              <w:t>Implementation Mechanism</w:t>
            </w:r>
          </w:p>
        </w:tc>
        <w:tc>
          <w:tcPr>
            <w:tcW w:type="dxa" w:w="3312"/>
            <w:shd w:fill="#6B1D2F"/>
          </w:tcPr>
          <w:p>
            <w:r>
              <w:rPr>
                <w:b/>
                <w:color w:val="FFFFFF"/>
                <w:sz w:val="17"/>
              </w:rPr>
              <w:t>Child Welfare Protection Benefit</w:t>
            </w:r>
          </w:p>
        </w:tc>
      </w:tr>
      <w:tr>
        <w:tc>
          <w:tcPr>
            <w:tcW w:type="dxa" w:w="3312"/>
            <w:shd w:fill="#F8FAFC"/>
            <w:tcMar>
              <w:top w:w="50" w:type="dxa"/>
              <w:bottom w:w="50" w:type="dxa"/>
              <w:left w:w="80" w:type="dxa"/>
              <w:right w:w="80" w:type="dxa"/>
            </w:tcMar>
          </w:tcPr>
          <w:p>
            <w:r>
              <w:rPr>
                <w:b/>
                <w:sz w:val="16"/>
              </w:rPr>
              <w:t>Prompt Guard Filter</w:t>
            </w:r>
          </w:p>
        </w:tc>
        <w:tc>
          <w:tcPr>
            <w:tcW w:type="dxa" w:w="3312"/>
            <w:shd w:fill="#F8FAFC"/>
            <w:tcMar>
              <w:top w:w="50" w:type="dxa"/>
              <w:bottom w:w="50" w:type="dxa"/>
              <w:left w:w="80" w:type="dxa"/>
              <w:right w:w="80" w:type="dxa"/>
            </w:tcMar>
          </w:tcPr>
          <w:p>
            <w:r>
              <w:rPr>
                <w:sz w:val="16"/>
              </w:rPr>
              <w:t>inspect_prompt_safety() regex &amp; semantic check</w:t>
            </w:r>
          </w:p>
        </w:tc>
        <w:tc>
          <w:tcPr>
            <w:tcW w:type="dxa" w:w="3312"/>
            <w:shd w:fill="#F8FAFC"/>
            <w:tcMar>
              <w:top w:w="50" w:type="dxa"/>
              <w:bottom w:w="50" w:type="dxa"/>
              <w:left w:w="80" w:type="dxa"/>
              <w:right w:w="80" w:type="dxa"/>
            </w:tcMar>
          </w:tcPr>
          <w:p>
            <w:r>
              <w:rPr>
                <w:sz w:val="16"/>
              </w:rPr>
              <w:t>Rejects prompt injection, jailbreak attempts, or instructions to ignore system safety rules.</w:t>
            </w:r>
          </w:p>
        </w:tc>
      </w:tr>
      <w:tr>
        <w:tc>
          <w:tcPr>
            <w:tcW w:type="dxa" w:w="3312"/>
            <w:shd w:fill="FFFFFF"/>
            <w:tcMar>
              <w:top w:w="50" w:type="dxa"/>
              <w:bottom w:w="50" w:type="dxa"/>
              <w:left w:w="80" w:type="dxa"/>
              <w:right w:w="80" w:type="dxa"/>
            </w:tcMar>
          </w:tcPr>
          <w:p>
            <w:r>
              <w:rPr>
                <w:b/>
                <w:sz w:val="16"/>
              </w:rPr>
              <w:t>Case Restriction Enforcement</w:t>
            </w:r>
          </w:p>
        </w:tc>
        <w:tc>
          <w:tcPr>
            <w:tcW w:type="dxa" w:w="3312"/>
            <w:shd w:fill="FFFFFF"/>
            <w:tcMar>
              <w:top w:w="50" w:type="dxa"/>
              <w:bottom w:w="50" w:type="dxa"/>
              <w:left w:w="80" w:type="dxa"/>
              <w:right w:w="80" w:type="dxa"/>
            </w:tcMar>
          </w:tcPr>
          <w:p>
            <w:r>
              <w:rPr>
                <w:sz w:val="16"/>
              </w:rPr>
              <w:t>AiGateway.get_authorized_case_ids()</w:t>
            </w:r>
          </w:p>
        </w:tc>
        <w:tc>
          <w:tcPr>
            <w:tcW w:type="dxa" w:w="3312"/>
            <w:shd w:fill="FFFFFF"/>
            <w:tcMar>
              <w:top w:w="50" w:type="dxa"/>
              <w:bottom w:w="50" w:type="dxa"/>
              <w:left w:w="80" w:type="dxa"/>
              <w:right w:w="80" w:type="dxa"/>
            </w:tcMar>
          </w:tcPr>
          <w:p>
            <w:r>
              <w:rPr>
                <w:sz w:val="16"/>
              </w:rPr>
              <w:t>Completely excludes cases from retrieval context if the user has a registered family conflict of interest.</w:t>
            </w:r>
          </w:p>
        </w:tc>
      </w:tr>
      <w:tr>
        <w:tc>
          <w:tcPr>
            <w:tcW w:type="dxa" w:w="3312"/>
            <w:shd w:fill="#F8FAFC"/>
            <w:tcMar>
              <w:top w:w="50" w:type="dxa"/>
              <w:bottom w:w="50" w:type="dxa"/>
              <w:left w:w="80" w:type="dxa"/>
              <w:right w:w="80" w:type="dxa"/>
            </w:tcMar>
          </w:tcPr>
          <w:p>
            <w:r>
              <w:rPr>
                <w:b/>
                <w:sz w:val="16"/>
              </w:rPr>
              <w:t>Field-Level Redaction</w:t>
            </w:r>
          </w:p>
        </w:tc>
        <w:tc>
          <w:tcPr>
            <w:tcW w:type="dxa" w:w="3312"/>
            <w:shd w:fill="#F8FAFC"/>
            <w:tcMar>
              <w:top w:w="50" w:type="dxa"/>
              <w:bottom w:w="50" w:type="dxa"/>
              <w:left w:w="80" w:type="dxa"/>
              <w:right w:w="80" w:type="dxa"/>
            </w:tcMar>
          </w:tcPr>
          <w:p>
            <w:r>
              <w:rPr>
                <w:sz w:val="16"/>
              </w:rPr>
              <w:t>Dynamic JSON stripping before prompt compilation</w:t>
            </w:r>
          </w:p>
        </w:tc>
        <w:tc>
          <w:tcPr>
            <w:tcW w:type="dxa" w:w="3312"/>
            <w:shd w:fill="#F8FAFC"/>
            <w:tcMar>
              <w:top w:w="50" w:type="dxa"/>
              <w:bottom w:w="50" w:type="dxa"/>
              <w:left w:w="80" w:type="dxa"/>
              <w:right w:w="80" w:type="dxa"/>
            </w:tcMar>
          </w:tcPr>
          <w:p>
            <w:r>
              <w:rPr>
                <w:sz w:val="16"/>
              </w:rPr>
              <w:t>Automatically removes child medical notes, reporter identities, and financial accounts unless explicitly permitted.</w:t>
            </w:r>
          </w:p>
        </w:tc>
      </w:tr>
      <w:tr>
        <w:tc>
          <w:tcPr>
            <w:tcW w:type="dxa" w:w="3312"/>
            <w:shd w:fill="FFFFFF"/>
            <w:tcMar>
              <w:top w:w="50" w:type="dxa"/>
              <w:bottom w:w="50" w:type="dxa"/>
              <w:left w:w="80" w:type="dxa"/>
              <w:right w:w="80" w:type="dxa"/>
            </w:tcMar>
          </w:tcPr>
          <w:p>
            <w:r>
              <w:rPr>
                <w:b/>
                <w:sz w:val="16"/>
              </w:rPr>
              <w:t>Immutable AI Audit Ledger</w:t>
            </w:r>
          </w:p>
        </w:tc>
        <w:tc>
          <w:tcPr>
            <w:tcW w:type="dxa" w:w="3312"/>
            <w:shd w:fill="FFFFFF"/>
            <w:tcMar>
              <w:top w:w="50" w:type="dxa"/>
              <w:bottom w:w="50" w:type="dxa"/>
              <w:left w:w="80" w:type="dxa"/>
              <w:right w:w="80" w:type="dxa"/>
            </w:tcMar>
          </w:tcPr>
          <w:p>
            <w:r>
              <w:rPr>
                <w:sz w:val="16"/>
              </w:rPr>
              <w:t>AiRequestAudit database table logging</w:t>
            </w:r>
          </w:p>
        </w:tc>
        <w:tc>
          <w:tcPr>
            <w:tcW w:type="dxa" w:w="3312"/>
            <w:shd w:fill="FFFFFF"/>
            <w:tcMar>
              <w:top w:w="50" w:type="dxa"/>
              <w:bottom w:w="50" w:type="dxa"/>
              <w:left w:w="80" w:type="dxa"/>
              <w:right w:w="80" w:type="dxa"/>
            </w:tcMar>
          </w:tcPr>
          <w:p>
            <w:r>
              <w:rPr>
                <w:sz w:val="16"/>
              </w:rPr>
              <w:t>Logs user ID, prompt token counts, latency, and estimated cost in CAD for every single AI interaction.</w:t>
            </w:r>
          </w:p>
        </w:tc>
      </w:tr>
    </w:tbl>
    <w:p>
      <w:pPr>
        <w:spacing w:after="240"/>
      </w:pPr>
    </w:p>
    <w:p>
      <w:pPr>
        <w:spacing w:before="280" w:after="100"/>
      </w:pPr>
      <w:r>
        <w:rPr>
          <w:rFonts w:ascii="Arial" w:hAnsi="Arial"/>
          <w:b/>
          <w:color w:val="6B1D2F"/>
          <w:sz w:val="26"/>
        </w:rPr>
        <w:t>4. KNOWLEDGE BASE &amp; RETRIEVAL-AUGMENTED GENERATION (RAG) REQUIREMENTS</w:t>
      </w:r>
    </w:p>
    <w:p>
      <w:pPr>
        <w:spacing w:after="100"/>
      </w:pPr>
      <w:r>
        <w:rPr>
          <w:rFonts w:ascii="Arial" w:hAnsi="Arial"/>
          <w:color w:val="1E293B"/>
          <w:sz w:val="19"/>
        </w:rPr>
        <w:t>To elevate Ask Red Bear from simple database querying to a comprehensive knowledge assistant, a sovereign Retrieval-Augmented Generation (RAG) pipeline is recommended. Key requirements include:</w:t>
      </w:r>
    </w:p>
    <w:p>
      <w:pPr>
        <w:spacing w:after="100"/>
      </w:pPr>
      <w:r>
        <w:rPr>
          <w:rFonts w:ascii="Arial" w:hAnsi="Arial"/>
          <w:b/>
          <w:color w:val="1E293B"/>
          <w:sz w:val="19"/>
        </w:rPr>
        <w:t xml:space="preserve">• </w:t>
      </w:r>
      <w:r>
        <w:rPr>
          <w:rFonts w:ascii="Arial" w:hAnsi="Arial"/>
          <w:color w:val="1E293B"/>
          <w:sz w:val="19"/>
        </w:rPr>
        <w:t>1. Cowessess First Nation Miyo-Pimatisiwin Act Ingestion: Chunking, indexing, and embedding the full statutory text of the Cowessess Child and Family Wellness legislation so Ask Red Bear can cite specific legal sections when answering caseworker questions.</w:t>
      </w:r>
    </w:p>
    <w:p>
      <w:pPr>
        <w:spacing w:after="100"/>
      </w:pPr>
      <w:r>
        <w:rPr>
          <w:rFonts w:ascii="Arial" w:hAnsi="Arial"/>
          <w:b/>
          <w:color w:val="1E293B"/>
          <w:sz w:val="19"/>
        </w:rPr>
        <w:t xml:space="preserve">• </w:t>
      </w:r>
      <w:r>
        <w:rPr>
          <w:rFonts w:ascii="Arial" w:hAnsi="Arial"/>
          <w:color w:val="1E293B"/>
          <w:sz w:val="19"/>
        </w:rPr>
        <w:t>2. CRBCL Operational Policy Ingestion: Vectorizing internal manuals regarding customary care protocols, travel mileage reimbursements, and emergency after-hours intake procedures.</w:t>
      </w:r>
    </w:p>
    <w:p>
      <w:pPr>
        <w:spacing w:after="100"/>
      </w:pPr>
      <w:r>
        <w:rPr>
          <w:rFonts w:ascii="Arial" w:hAnsi="Arial"/>
          <w:b/>
          <w:color w:val="1E293B"/>
          <w:sz w:val="19"/>
        </w:rPr>
        <w:t xml:space="preserve">• </w:t>
      </w:r>
      <w:r>
        <w:rPr>
          <w:rFonts w:ascii="Arial" w:hAnsi="Arial"/>
          <w:color w:val="1E293B"/>
          <w:sz w:val="19"/>
        </w:rPr>
        <w:t>3. Sovereign Vector Storage: Enabling pgvector within the existing PostgreSQL database to ensure all vector embeddings and search indexes remain within CRBCL's sovereign boundary, avoiding external vector databases.</w:t>
      </w:r>
    </w:p>
    <w:p>
      <w:pPr>
        <w:spacing w:before="280" w:after="100"/>
      </w:pPr>
      <w:r>
        <w:rPr>
          <w:rFonts w:ascii="Arial" w:hAnsi="Arial"/>
          <w:b/>
          <w:color w:val="6B1D2F"/>
          <w:sz w:val="26"/>
        </w:rPr>
        <w:t>5. PRODUCTION PROVIDER COMPARISON &amp; COST PROJECTIONS</w:t>
      </w:r>
    </w:p>
    <w:p>
      <w:pPr>
        <w:spacing w:after="100"/>
      </w:pPr>
      <w:r>
        <w:rPr>
          <w:rFonts w:ascii="Arial" w:hAnsi="Arial"/>
          <w:color w:val="1E293B"/>
          <w:sz w:val="19"/>
        </w:rPr>
        <w:t>CRBCL leadership has three viable architectural pathways for powering live completion in Ask Red Bear:</w:t>
      </w:r>
    </w:p>
    <w:tbl>
      <w:tblPr>
        <w:tblW w:type="auto" w:w="0"/>
        <w:jc w:val="center"/>
        <w:tblLook w:firstColumn="1" w:firstRow="1" w:lastColumn="0" w:lastRow="0" w:noHBand="0" w:noVBand="1" w:val="04A0"/>
      </w:tblPr>
      <w:tblGrid>
        <w:gridCol w:w="2484"/>
        <w:gridCol w:w="2484"/>
        <w:gridCol w:w="2484"/>
        <w:gridCol w:w="2484"/>
      </w:tblGrid>
      <w:tr>
        <w:tc>
          <w:tcPr>
            <w:tcW w:type="dxa" w:w="2484"/>
            <w:shd w:fill="#6B1D2F"/>
          </w:tcPr>
          <w:p>
            <w:r>
              <w:rPr>
                <w:b/>
                <w:color w:val="FFFFFF"/>
                <w:sz w:val="17"/>
              </w:rPr>
              <w:t>Provider Option</w:t>
            </w:r>
          </w:p>
        </w:tc>
        <w:tc>
          <w:tcPr>
            <w:tcW w:type="dxa" w:w="2484"/>
            <w:shd w:fill="#6B1D2F"/>
          </w:tcPr>
          <w:p>
            <w:r>
              <w:rPr>
                <w:b/>
                <w:color w:val="FFFFFF"/>
                <w:sz w:val="17"/>
              </w:rPr>
              <w:t>Data Sovereignty &amp; Privacy</w:t>
            </w:r>
          </w:p>
        </w:tc>
        <w:tc>
          <w:tcPr>
            <w:tcW w:type="dxa" w:w="2484"/>
            <w:shd w:fill="#6B1D2F"/>
          </w:tcPr>
          <w:p>
            <w:r>
              <w:rPr>
                <w:b/>
                <w:color w:val="FFFFFF"/>
                <w:sz w:val="17"/>
              </w:rPr>
              <w:t>Estimated Monthly Cost</w:t>
            </w:r>
          </w:p>
        </w:tc>
        <w:tc>
          <w:tcPr>
            <w:tcW w:type="dxa" w:w="2484"/>
            <w:shd w:fill="#6B1D2F"/>
          </w:tcPr>
          <w:p>
            <w:r>
              <w:rPr>
                <w:b/>
                <w:color w:val="FFFFFF"/>
                <w:sz w:val="17"/>
              </w:rPr>
              <w:t>Recommendation</w:t>
            </w:r>
          </w:p>
        </w:tc>
      </w:tr>
      <w:tr>
        <w:tc>
          <w:tcPr>
            <w:tcW w:type="dxa" w:w="2484"/>
            <w:shd w:fill="#F8FAFC"/>
            <w:tcMar>
              <w:top w:w="50" w:type="dxa"/>
              <w:bottom w:w="50" w:type="dxa"/>
              <w:left w:w="80" w:type="dxa"/>
              <w:right w:w="80" w:type="dxa"/>
            </w:tcMar>
          </w:tcPr>
          <w:p>
            <w:r>
              <w:rPr>
                <w:b/>
                <w:sz w:val="15"/>
              </w:rPr>
              <w:t>Option A: Anthropic Claude 3.5 Sonnet (AWS Canada)</w:t>
            </w:r>
          </w:p>
        </w:tc>
        <w:tc>
          <w:tcPr>
            <w:tcW w:type="dxa" w:w="2484"/>
            <w:shd w:fill="#F8FAFC"/>
            <w:tcMar>
              <w:top w:w="50" w:type="dxa"/>
              <w:bottom w:w="50" w:type="dxa"/>
              <w:left w:w="80" w:type="dxa"/>
              <w:right w:w="80" w:type="dxa"/>
            </w:tcMar>
          </w:tcPr>
          <w:p>
            <w:r>
              <w:rPr>
                <w:sz w:val="15"/>
              </w:rPr>
              <w:t>Data remains within Canada (ca-central-1); zero model training on customer data.</w:t>
            </w:r>
          </w:p>
        </w:tc>
        <w:tc>
          <w:tcPr>
            <w:tcW w:type="dxa" w:w="2484"/>
            <w:shd w:fill="#F8FAFC"/>
            <w:tcMar>
              <w:top w:w="50" w:type="dxa"/>
              <w:bottom w:w="50" w:type="dxa"/>
              <w:left w:w="80" w:type="dxa"/>
              <w:right w:w="80" w:type="dxa"/>
            </w:tcMar>
          </w:tcPr>
          <w:p>
            <w:r>
              <w:rPr>
                <w:sz w:val="15"/>
              </w:rPr>
              <w:t>$150–$300 CAD / mo (approx. 10,000 queries)</w:t>
            </w:r>
          </w:p>
        </w:tc>
        <w:tc>
          <w:tcPr>
            <w:tcW w:type="dxa" w:w="2484"/>
            <w:shd w:fill="#F8FAFC"/>
            <w:tcMar>
              <w:top w:w="50" w:type="dxa"/>
              <w:bottom w:w="50" w:type="dxa"/>
              <w:left w:w="80" w:type="dxa"/>
              <w:right w:w="80" w:type="dxa"/>
            </w:tcMar>
          </w:tcPr>
          <w:p>
            <w:r>
              <w:rPr>
                <w:sz w:val="15"/>
              </w:rPr>
              <w:t>RECOMMENDED: Highest reasoning, strong safety guardrails, low cost.</w:t>
            </w:r>
          </w:p>
        </w:tc>
      </w:tr>
      <w:tr>
        <w:tc>
          <w:tcPr>
            <w:tcW w:type="dxa" w:w="2484"/>
            <w:shd w:fill="FFFFFF"/>
            <w:tcMar>
              <w:top w:w="50" w:type="dxa"/>
              <w:bottom w:w="50" w:type="dxa"/>
              <w:left w:w="80" w:type="dxa"/>
              <w:right w:w="80" w:type="dxa"/>
            </w:tcMar>
          </w:tcPr>
          <w:p>
            <w:r>
              <w:rPr>
                <w:b/>
                <w:sz w:val="15"/>
              </w:rPr>
              <w:t>Option B: Microsoft Azure OpenAI (Canada East)</w:t>
            </w:r>
          </w:p>
        </w:tc>
        <w:tc>
          <w:tcPr>
            <w:tcW w:type="dxa" w:w="2484"/>
            <w:shd w:fill="FFFFFF"/>
            <w:tcMar>
              <w:top w:w="50" w:type="dxa"/>
              <w:bottom w:w="50" w:type="dxa"/>
              <w:left w:w="80" w:type="dxa"/>
              <w:right w:w="80" w:type="dxa"/>
            </w:tcMar>
          </w:tcPr>
          <w:p>
            <w:r>
              <w:rPr>
                <w:sz w:val="15"/>
              </w:rPr>
              <w:t>HIPAA/SOC2 certified; isolated Canadian enterprise tenant.</w:t>
            </w:r>
          </w:p>
        </w:tc>
        <w:tc>
          <w:tcPr>
            <w:tcW w:type="dxa" w:w="2484"/>
            <w:shd w:fill="FFFFFF"/>
            <w:tcMar>
              <w:top w:w="50" w:type="dxa"/>
              <w:bottom w:w="50" w:type="dxa"/>
              <w:left w:w="80" w:type="dxa"/>
              <w:right w:w="80" w:type="dxa"/>
            </w:tcMar>
          </w:tcPr>
          <w:p>
            <w:r>
              <w:rPr>
                <w:sz w:val="15"/>
              </w:rPr>
              <w:t>$200–$400 CAD / mo</w:t>
            </w:r>
          </w:p>
        </w:tc>
        <w:tc>
          <w:tcPr>
            <w:tcW w:type="dxa" w:w="2484"/>
            <w:shd w:fill="FFFFFF"/>
            <w:tcMar>
              <w:top w:w="50" w:type="dxa"/>
              <w:bottom w:w="50" w:type="dxa"/>
              <w:left w:w="80" w:type="dxa"/>
              <w:right w:w="80" w:type="dxa"/>
            </w:tcMar>
          </w:tcPr>
          <w:p>
            <w:r>
              <w:rPr>
                <w:sz w:val="15"/>
              </w:rPr>
              <w:t>VIABLE ALTERNATIVE: Seamless if CRBCL adopts Microsoft 365.</w:t>
            </w:r>
          </w:p>
        </w:tc>
      </w:tr>
      <w:tr>
        <w:tc>
          <w:tcPr>
            <w:tcW w:type="dxa" w:w="2484"/>
            <w:shd w:fill="#F8FAFC"/>
            <w:tcMar>
              <w:top w:w="50" w:type="dxa"/>
              <w:bottom w:w="50" w:type="dxa"/>
              <w:left w:w="80" w:type="dxa"/>
              <w:right w:w="80" w:type="dxa"/>
            </w:tcMar>
          </w:tcPr>
          <w:p>
            <w:r>
              <w:rPr>
                <w:b/>
                <w:sz w:val="15"/>
              </w:rPr>
              <w:t>Option C: Self-Hosted Sovereign Model (Llama-3 on GPU)</w:t>
            </w:r>
          </w:p>
        </w:tc>
        <w:tc>
          <w:tcPr>
            <w:tcW w:type="dxa" w:w="2484"/>
            <w:shd w:fill="#F8FAFC"/>
            <w:tcMar>
              <w:top w:w="50" w:type="dxa"/>
              <w:bottom w:w="50" w:type="dxa"/>
              <w:left w:w="80" w:type="dxa"/>
              <w:right w:w="80" w:type="dxa"/>
            </w:tcMar>
          </w:tcPr>
          <w:p>
            <w:r>
              <w:rPr>
                <w:sz w:val="15"/>
              </w:rPr>
              <w:t>100% on-premise Cowessess data sovereignty; zero third-party transmission.</w:t>
            </w:r>
          </w:p>
        </w:tc>
        <w:tc>
          <w:tcPr>
            <w:tcW w:type="dxa" w:w="2484"/>
            <w:shd w:fill="#F8FAFC"/>
            <w:tcMar>
              <w:top w:w="50" w:type="dxa"/>
              <w:bottom w:w="50" w:type="dxa"/>
              <w:left w:w="80" w:type="dxa"/>
              <w:right w:w="80" w:type="dxa"/>
            </w:tcMar>
          </w:tcPr>
          <w:p>
            <w:r>
              <w:rPr>
                <w:sz w:val="15"/>
              </w:rPr>
              <w:t>$600–$1,200 CAD / mo (dedicated GPU hardware)</w:t>
            </w:r>
          </w:p>
        </w:tc>
        <w:tc>
          <w:tcPr>
            <w:tcW w:type="dxa" w:w="2484"/>
            <w:shd w:fill="#F8FAFC"/>
            <w:tcMar>
              <w:top w:w="50" w:type="dxa"/>
              <w:bottom w:w="50" w:type="dxa"/>
              <w:left w:w="80" w:type="dxa"/>
              <w:right w:w="80" w:type="dxa"/>
            </w:tcMar>
          </w:tcPr>
          <w:p>
            <w:r>
              <w:rPr>
                <w:sz w:val="15"/>
              </w:rPr>
              <w:t>HIGH SECURITY OPTION: Ideal long-term for complete sovereign isolation.</w:t>
            </w:r>
          </w:p>
        </w:tc>
      </w:tr>
    </w:tbl>
    <w:p>
      <w:pPr>
        <w:spacing w:after="240"/>
      </w:pPr>
    </w:p>
    <w:p>
      <w:pPr>
        <w:spacing w:before="280" w:after="100"/>
      </w:pPr>
      <w:r>
        <w:rPr>
          <w:rFonts w:ascii="Arial" w:hAnsi="Arial"/>
          <w:b/>
          <w:color w:val="6B1D2F"/>
          <w:sz w:val="26"/>
        </w:rPr>
        <w:t>6. OPERATIONAL COMPLETION ROADMAP</w:t>
      </w:r>
    </w:p>
    <w:p>
      <w:pPr>
        <w:spacing w:after="100"/>
      </w:pPr>
      <w:r>
        <w:rPr>
          <w:rFonts w:ascii="Arial" w:hAnsi="Arial"/>
          <w:color w:val="1E293B"/>
          <w:sz w:val="19"/>
        </w:rPr>
        <w:t>Finalizing Ask Red Bear for frontline caseworkers requires a straightforward 6-week execution plan:</w:t>
      </w:r>
    </w:p>
    <w:p>
      <w:pPr>
        <w:spacing w:after="100"/>
      </w:pPr>
      <w:r>
        <w:rPr>
          <w:rFonts w:ascii="Arial" w:hAnsi="Arial"/>
          <w:b/>
          <w:color w:val="1E293B"/>
          <w:sz w:val="19"/>
        </w:rPr>
        <w:t xml:space="preserve">• </w:t>
      </w:r>
      <w:r>
        <w:rPr>
          <w:rFonts w:ascii="Arial" w:hAnsi="Arial"/>
          <w:color w:val="1E293B"/>
          <w:sz w:val="19"/>
        </w:rPr>
        <w:t>Weeks 1–2: Board approval of AI budget and signing of enterprise sovereign agreement with Anthropic AWS Canada.</w:t>
      </w:r>
    </w:p>
    <w:p>
      <w:pPr>
        <w:spacing w:after="100"/>
      </w:pPr>
      <w:r>
        <w:rPr>
          <w:rFonts w:ascii="Arial" w:hAnsi="Arial"/>
          <w:b/>
          <w:color w:val="1E293B"/>
          <w:sz w:val="19"/>
        </w:rPr>
        <w:t xml:space="preserve">• </w:t>
      </w:r>
      <w:r>
        <w:rPr>
          <w:rFonts w:ascii="Arial" w:hAnsi="Arial"/>
          <w:color w:val="1E293B"/>
          <w:sz w:val="19"/>
        </w:rPr>
        <w:t>Weeks 3–4: Ingest Cowessess Miyo-Pimatisiwin Act into pgvector database; conduct prompt testing with senior caseworkers.</w:t>
      </w:r>
    </w:p>
    <w:p>
      <w:pPr>
        <w:spacing w:after="100"/>
      </w:pPr>
      <w:r>
        <w:rPr>
          <w:rFonts w:ascii="Arial" w:hAnsi="Arial"/>
          <w:b/>
          <w:color w:val="1E293B"/>
          <w:sz w:val="19"/>
        </w:rPr>
        <w:t xml:space="preserve">• </w:t>
      </w:r>
      <w:r>
        <w:rPr>
          <w:rFonts w:ascii="Arial" w:hAnsi="Arial"/>
          <w:color w:val="1E293B"/>
          <w:sz w:val="19"/>
        </w:rPr>
        <w:t>Weeks 5–6: Deploy live API keys, establish automated monthly token cost alerts, and conduct mandatory caseworker AI ethics training.</w:t>
      </w:r>
    </w:p>
    <w:p>
      <w:pPr>
        <w:spacing w:after="32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CONFIDENTIAL — STRICTLY FOR CRBCL LEADERSHIP &amp; AI GOVERNANCE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CHIEF RED BEAR CHILDREN'S LODGE — ASK RED BEAR AI ASSESSMENT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64748B"/>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