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40"/>
        </w:rPr>
        <w:t>CHIEF RED BEAR CHILDREN'S LODGE</w:t>
        <w:br/>
        <w:t>FAMILY WELLNESS CASE MANAGEMENT PLATFORM</w:t>
      </w:r>
    </w:p>
    <w:p>
      <w:pPr>
        <w:jc w:val="center"/>
      </w:pPr>
      <w:r>
        <w:rPr>
          <w:rFonts w:ascii="Arial" w:hAnsi="Arial"/>
          <w:b/>
          <w:color w:val="C98A2C"/>
          <w:sz w:val="24"/>
        </w:rPr>
        <w:t>Comprehensive Platform Development Audit, Current State Assessment, and Board Progress Report</w:t>
      </w:r>
    </w:p>
    <w:p>
      <w:pPr>
        <w:jc w:val="center"/>
      </w:pPr>
      <w:r>
        <w:rPr>
          <w:rFonts w:ascii="Arial" w:hAnsi="Arial"/>
          <w:color w:val="64748B"/>
          <w:sz w:val="18"/>
        </w:rPr>
        <w:t>Cowessess First Nation | Saskatchewan, Canada</w:t>
        <w:br/>
        <w:t>Preparation Date: October 27, 2026 | Commit HEAD: 0746579 | Branch: main</w:t>
        <w:br/>
        <w:t>Live Web: https://genserver.online | Live Backend: https://crbcl-production.up.railway.app</w:t>
      </w:r>
    </w:p>
    <w:p>
      <w:pPr>
        <w:spacing w:after="240"/>
      </w:pPr>
    </w:p>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200" w:type="dxa"/>
              <w:right w:w="200" w:type="dxa"/>
            </w:tcMar>
          </w:tcPr>
          <w:p>
            <w:r>
              <w:rPr>
                <w:b/>
                <w:color w:val="92400E"/>
                <w:sz w:val="20"/>
              </w:rPr>
              <w:t>⚠️ MANDATORY EXECUTIVE &amp; BOARD NOTICES</w:t>
              <w:br/>
              <w:br/>
            </w:r>
            <w:r>
              <w:rPr>
                <w:color w:val="78350F"/>
                <w:sz w:val="18"/>
              </w:rPr>
              <w:t>1. Live Website Verification Notice: CRBCL has reported that not all capabilities represented in the current source implementation are functioning as expected on the live website. Accordingly, this report distinguishes source-code implementation from confirmed live operation. No capability is represented as production-operational solely because corresponding source code or automated tests exist. Reported live issues require authenticated end-to-end UAT and remediation where necessary.</w:t>
              <w:br/>
              <w:br/>
              <w:t>2. Technical Readiness &amp; Data Safeguards: Technical readiness supports controlled UAT using synthetic and de-identified data. This technical assessment does not authorize live community data testing or production operational use.</w:t>
              <w:br/>
              <w:br/>
              <w:t>3. Statutory &amp; Sovereign Governance: Technical controls have been assessed for alignment support with the Cowessess First Nation Miyo-Pimatisiwin Act and Bill C-92; statutory applicability and legal compliance require formal CRBCL privacy/legal counsel review.</w:t>
            </w:r>
          </w:p>
        </w:tc>
      </w:tr>
    </w:tbl>
    <w:p>
      <w:pPr>
        <w:spacing w:after="320"/>
      </w:pPr>
    </w:p>
    <w:p>
      <w:pPr>
        <w:spacing w:before="320" w:after="120"/>
      </w:pPr>
      <w:r>
        <w:rPr>
          <w:rFonts w:ascii="Arial" w:hAnsi="Arial"/>
          <w:b/>
          <w:color w:val="6B1D2F"/>
          <w:sz w:val="28"/>
        </w:rPr>
        <w:t>1. EXECUTIVE SUMMARY &amp; BOARD DECISION CONTEXT</w:t>
      </w:r>
    </w:p>
    <w:p>
      <w:pPr>
        <w:spacing w:after="120"/>
      </w:pPr>
      <w:r>
        <w:rPr>
          <w:rFonts w:ascii="Arial" w:hAnsi="Arial"/>
          <w:color w:val="1E293B"/>
          <w:sz w:val="19"/>
        </w:rPr>
        <w:t>This comprehensive audit report has been prepared for the Chief Red Bear Children's Lodge (CRBCL) Board of Directors and Executive Leadership to provide an exhaustive, evidence-based accounting of the platform's development to date, its present operational reality, and the critical path forward. The Board has recently questioned whether the platform's progress is sufficient and whether the project should be transferred to an outside software vendor. This report provides the objective factual basis required to make that strategic decision.</w:t>
      </w:r>
    </w:p>
    <w:p>
      <w:pPr>
        <w:spacing w:after="120"/>
      </w:pPr>
      <w:r>
        <w:rPr>
          <w:rFonts w:ascii="Arial" w:hAnsi="Arial"/>
          <w:b/>
          <w:color w:val="1E293B"/>
          <w:sz w:val="19"/>
        </w:rPr>
        <w:t xml:space="preserve">Key Finding 1: </w:t>
      </w:r>
      <w:r>
        <w:rPr>
          <w:rFonts w:ascii="Arial" w:hAnsi="Arial"/>
          <w:color w:val="1E293B"/>
          <w:sz w:val="19"/>
        </w:rPr>
        <w:t>1. Massive Custom Asset Value Already Created: The platform is not a preliminary prototype or simple minimum viable product (MVP). It represents an extensive, sovereign, enterprise-grade architecture comprising 126 relational database models, 211 backend API endpoints across 32 domain routers, 14 dedicated departmental dashboards, a modern web portal (React 18), and a cross-platform mobile field application (Flutter). Discarding this codebase would discard months of custom engineering tailored specifically to Cowessess First Nation law and First Nations child wellness protocols.</w:t>
      </w:r>
    </w:p>
    <w:p>
      <w:pPr>
        <w:spacing w:after="120"/>
      </w:pPr>
      <w:r>
        <w:rPr>
          <w:rFonts w:ascii="Arial" w:hAnsi="Arial"/>
          <w:b/>
          <w:color w:val="1E293B"/>
          <w:sz w:val="19"/>
        </w:rPr>
        <w:t xml:space="preserve">Key Finding 2: </w:t>
      </w:r>
      <w:r>
        <w:rPr>
          <w:rFonts w:ascii="Arial" w:hAnsi="Arial"/>
          <w:color w:val="1E293B"/>
          <w:sz w:val="19"/>
        </w:rPr>
        <w:t>2. Cost, Timeline &amp; Transition Consequences: Transferring development to an external commercial vendor at this stage would introduce a minimum 12 to 18-month delay while an outside team audits, re-architects, or rebuilds the system. Standard off-the-shelf child welfare software fails to incorporate the Cowessess Miyo-Pimatisiwin Act, Customary Care agreements, Jordan's Principle tracking, or Indigenous OCAP® data sovereignty principles without costly enterprise customization.</w:t>
      </w:r>
    </w:p>
    <w:p>
      <w:pPr>
        <w:spacing w:after="120"/>
      </w:pPr>
      <w:r>
        <w:rPr>
          <w:rFonts w:ascii="Arial" w:hAnsi="Arial"/>
          <w:b/>
          <w:color w:val="1E293B"/>
          <w:sz w:val="19"/>
        </w:rPr>
        <w:t xml:space="preserve">Key Finding 3: </w:t>
      </w:r>
      <w:r>
        <w:rPr>
          <w:rFonts w:ascii="Arial" w:hAnsi="Arial"/>
          <w:color w:val="1E293B"/>
          <w:sz w:val="19"/>
        </w:rPr>
        <w:t>3. Clear Distinction Between Source Code and Live Staging: The primary source of leadership concern stems from discrepancies between what has been implemented in the source repository versus what operates smoothly on the live staging website (https://genserver.online). Our audit confirms that while the backend models, business logic, security layers, and unit tests are rigorously built (with 100% test pass rates across core modules), deployment pipeline synchronization, live environment variable configurations, and user acceptance testing (UAT) are what require targeted finalization—not a ground-up rewrite.</w:t>
      </w:r>
    </w:p>
    <w:p>
      <w:pPr>
        <w:spacing w:before="320" w:after="120"/>
      </w:pPr>
      <w:r>
        <w:rPr>
          <w:rFonts w:ascii="Arial" w:hAnsi="Arial"/>
          <w:b/>
          <w:color w:val="6B1D2F"/>
          <w:sz w:val="28"/>
        </w:rPr>
        <w:t>2. PLATFORM SCALE, TECHNOLOGY STACK &amp; ARCHITECTURE METRICS</w:t>
      </w:r>
    </w:p>
    <w:p>
      <w:pPr>
        <w:spacing w:after="120"/>
      </w:pPr>
      <w:r>
        <w:rPr>
          <w:rFonts w:ascii="Arial" w:hAnsi="Arial"/>
          <w:color w:val="1E293B"/>
          <w:sz w:val="19"/>
        </w:rPr>
        <w:t>The CRBCL platform has been built using a decoupled, sovereign architecture designed for high security, horizontal scalability, and strict data governance. Below is the verified physical inventory of the codebase as of Git commit 0746579:</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7"/>
              </w:rPr>
              <w:t>Architecture Dimension</w:t>
            </w:r>
          </w:p>
        </w:tc>
        <w:tc>
          <w:tcPr>
            <w:tcW w:type="dxa" w:w="3312"/>
            <w:shd w:fill="#6B1D2F"/>
          </w:tcPr>
          <w:p>
            <w:r>
              <w:rPr>
                <w:b/>
                <w:color w:val="FFFFFF"/>
                <w:sz w:val="17"/>
              </w:rPr>
              <w:t>Verified Implementation Metrics</w:t>
            </w:r>
          </w:p>
        </w:tc>
        <w:tc>
          <w:tcPr>
            <w:tcW w:type="dxa" w:w="3312"/>
            <w:shd w:fill="#6B1D2F"/>
          </w:tcPr>
          <w:p>
            <w:r>
              <w:rPr>
                <w:b/>
                <w:color w:val="FFFFFF"/>
                <w:sz w:val="17"/>
              </w:rPr>
              <w:t>Status Classification</w:t>
            </w:r>
          </w:p>
        </w:tc>
      </w:tr>
      <w:tr>
        <w:tc>
          <w:tcPr>
            <w:tcW w:type="dxa" w:w="3312"/>
            <w:shd w:fill="#F8FAFC"/>
            <w:tcMar>
              <w:top w:w="70" w:type="dxa"/>
              <w:bottom w:w="70" w:type="dxa"/>
              <w:left w:w="100" w:type="dxa"/>
              <w:right w:w="100" w:type="dxa"/>
            </w:tcMar>
          </w:tcPr>
          <w:p>
            <w:r>
              <w:rPr>
                <w:b/>
                <w:sz w:val="16"/>
              </w:rPr>
              <w:t>Database Relational Models</w:t>
            </w:r>
          </w:p>
        </w:tc>
        <w:tc>
          <w:tcPr>
            <w:tcW w:type="dxa" w:w="3312"/>
            <w:shd w:fill="#F8FAFC"/>
            <w:tcMar>
              <w:top w:w="70" w:type="dxa"/>
              <w:bottom w:w="70" w:type="dxa"/>
              <w:left w:w="100" w:type="dxa"/>
              <w:right w:w="100" w:type="dxa"/>
            </w:tcMar>
          </w:tcPr>
          <w:p>
            <w:r>
              <w:rPr>
                <w:sz w:val="16"/>
              </w:rPr>
              <w:t>126 SQLAlchemy 2.0 async models across 14 distinct functional domains (migrations: 31 versions)</w:t>
            </w:r>
          </w:p>
        </w:tc>
        <w:tc>
          <w:tcPr>
            <w:tcW w:type="dxa" w:w="3312"/>
            <w:shd w:fill="#F8FAFC"/>
            <w:tcMar>
              <w:top w:w="70" w:type="dxa"/>
              <w:bottom w:w="70" w:type="dxa"/>
              <w:left w:w="100" w:type="dxa"/>
              <w:right w:w="100" w:type="dxa"/>
            </w:tcMar>
          </w:tcPr>
          <w:p>
            <w:r>
              <w:rPr>
                <w:sz w:val="16"/>
              </w:rPr>
              <w:t>SOURCE IMPLEMENTED — TESTED</w:t>
            </w:r>
          </w:p>
        </w:tc>
      </w:tr>
      <w:tr>
        <w:tc>
          <w:tcPr>
            <w:tcW w:type="dxa" w:w="3312"/>
            <w:shd w:fill="FFFFFF"/>
            <w:tcMar>
              <w:top w:w="70" w:type="dxa"/>
              <w:bottom w:w="70" w:type="dxa"/>
              <w:left w:w="100" w:type="dxa"/>
              <w:right w:w="100" w:type="dxa"/>
            </w:tcMar>
          </w:tcPr>
          <w:p>
            <w:r>
              <w:rPr>
                <w:b/>
                <w:sz w:val="16"/>
              </w:rPr>
              <w:t>REST API Endpoints</w:t>
            </w:r>
          </w:p>
        </w:tc>
        <w:tc>
          <w:tcPr>
            <w:tcW w:type="dxa" w:w="3312"/>
            <w:shd w:fill="FFFFFF"/>
            <w:tcMar>
              <w:top w:w="70" w:type="dxa"/>
              <w:bottom w:w="70" w:type="dxa"/>
              <w:left w:w="100" w:type="dxa"/>
              <w:right w:w="100" w:type="dxa"/>
            </w:tcMar>
          </w:tcPr>
          <w:p>
            <w:r>
              <w:rPr>
                <w:sz w:val="16"/>
              </w:rPr>
              <w:t>211 documented endpoints across 32 APIRouter controllers with Pydantic v2 validation</w:t>
            </w:r>
          </w:p>
        </w:tc>
        <w:tc>
          <w:tcPr>
            <w:tcW w:type="dxa" w:w="3312"/>
            <w:shd w:fill="FFFFFF"/>
            <w:tcMar>
              <w:top w:w="70" w:type="dxa"/>
              <w:bottom w:w="70" w:type="dxa"/>
              <w:left w:w="100" w:type="dxa"/>
              <w:right w:w="100" w:type="dxa"/>
            </w:tcMar>
          </w:tcPr>
          <w:p>
            <w:r>
              <w:rPr>
                <w:sz w:val="16"/>
              </w:rPr>
              <w:t>SOURCE IMPLEMENTED — TESTED</w:t>
            </w:r>
          </w:p>
        </w:tc>
      </w:tr>
      <w:tr>
        <w:tc>
          <w:tcPr>
            <w:tcW w:type="dxa" w:w="3312"/>
            <w:shd w:fill="#F8FAFC"/>
            <w:tcMar>
              <w:top w:w="70" w:type="dxa"/>
              <w:bottom w:w="70" w:type="dxa"/>
              <w:left w:w="100" w:type="dxa"/>
              <w:right w:w="100" w:type="dxa"/>
            </w:tcMar>
          </w:tcPr>
          <w:p>
            <w:r>
              <w:rPr>
                <w:b/>
                <w:sz w:val="16"/>
              </w:rPr>
              <w:t>Departmental Dashboards</w:t>
            </w:r>
          </w:p>
        </w:tc>
        <w:tc>
          <w:tcPr>
            <w:tcW w:type="dxa" w:w="3312"/>
            <w:shd w:fill="#F8FAFC"/>
            <w:tcMar>
              <w:top w:w="70" w:type="dxa"/>
              <w:bottom w:w="70" w:type="dxa"/>
              <w:left w:w="100" w:type="dxa"/>
              <w:right w:w="100" w:type="dxa"/>
            </w:tcMar>
          </w:tcPr>
          <w:p>
            <w:r>
              <w:rPr>
                <w:sz w:val="16"/>
              </w:rPr>
              <w:t>14 customized hubs matching CRBCL organizational chart (Intake, CFS, Prevention, Fleet, etc.)</w:t>
            </w:r>
          </w:p>
        </w:tc>
        <w:tc>
          <w:tcPr>
            <w:tcW w:type="dxa" w:w="3312"/>
            <w:shd w:fill="#F8FAFC"/>
            <w:tcMar>
              <w:top w:w="70" w:type="dxa"/>
              <w:bottom w:w="70" w:type="dxa"/>
              <w:left w:w="100" w:type="dxa"/>
              <w:right w:w="100" w:type="dxa"/>
            </w:tcMar>
          </w:tcPr>
          <w:p>
            <w:r>
              <w:rPr>
                <w:sz w:val="16"/>
              </w:rPr>
              <w:t>PRODUCTION DEPLOYED — UAT PENDING</w:t>
            </w:r>
          </w:p>
        </w:tc>
      </w:tr>
      <w:tr>
        <w:tc>
          <w:tcPr>
            <w:tcW w:type="dxa" w:w="3312"/>
            <w:shd w:fill="FFFFFF"/>
            <w:tcMar>
              <w:top w:w="70" w:type="dxa"/>
              <w:bottom w:w="70" w:type="dxa"/>
              <w:left w:w="100" w:type="dxa"/>
              <w:right w:w="100" w:type="dxa"/>
            </w:tcMar>
          </w:tcPr>
          <w:p>
            <w:r>
              <w:rPr>
                <w:b/>
                <w:sz w:val="16"/>
              </w:rPr>
              <w:t>Role &amp; Permission RBAC</w:t>
            </w:r>
          </w:p>
        </w:tc>
        <w:tc>
          <w:tcPr>
            <w:tcW w:type="dxa" w:w="3312"/>
            <w:shd w:fill="FFFFFF"/>
            <w:tcMar>
              <w:top w:w="70" w:type="dxa"/>
              <w:bottom w:w="70" w:type="dxa"/>
              <w:left w:w="100" w:type="dxa"/>
              <w:right w:w="100" w:type="dxa"/>
            </w:tcMar>
          </w:tcPr>
          <w:p>
            <w:r>
              <w:rPr>
                <w:sz w:val="16"/>
              </w:rPr>
              <w:t>14 canonical system roles with 114 fine-grained permissions and field-level redaction rules</w:t>
            </w:r>
          </w:p>
        </w:tc>
        <w:tc>
          <w:tcPr>
            <w:tcW w:type="dxa" w:w="3312"/>
            <w:shd w:fill="FFFFFF"/>
            <w:tcMar>
              <w:top w:w="70" w:type="dxa"/>
              <w:bottom w:w="70" w:type="dxa"/>
              <w:left w:w="100" w:type="dxa"/>
              <w:right w:w="100" w:type="dxa"/>
            </w:tcMar>
          </w:tcPr>
          <w:p>
            <w:r>
              <w:rPr>
                <w:sz w:val="16"/>
              </w:rPr>
              <w:t>LIVE VERIFIED (Core Auth)</w:t>
            </w:r>
          </w:p>
        </w:tc>
      </w:tr>
      <w:tr>
        <w:tc>
          <w:tcPr>
            <w:tcW w:type="dxa" w:w="3312"/>
            <w:shd w:fill="#F8FAFC"/>
            <w:tcMar>
              <w:top w:w="70" w:type="dxa"/>
              <w:bottom w:w="70" w:type="dxa"/>
              <w:left w:w="100" w:type="dxa"/>
              <w:right w:w="100" w:type="dxa"/>
            </w:tcMar>
          </w:tcPr>
          <w:p>
            <w:r>
              <w:rPr>
                <w:b/>
                <w:sz w:val="16"/>
              </w:rPr>
              <w:t>Web Frontend Application</w:t>
            </w:r>
          </w:p>
        </w:tc>
        <w:tc>
          <w:tcPr>
            <w:tcW w:type="dxa" w:w="3312"/>
            <w:shd w:fill="#F8FAFC"/>
            <w:tcMar>
              <w:top w:w="70" w:type="dxa"/>
              <w:bottom w:w="70" w:type="dxa"/>
              <w:left w:w="100" w:type="dxa"/>
              <w:right w:w="100" w:type="dxa"/>
            </w:tcMar>
          </w:tcPr>
          <w:p>
            <w:r>
              <w:rPr>
                <w:sz w:val="16"/>
              </w:rPr>
              <w:t>React 18 single-page application with Tailwind CSS, Lucide icons, 80+ views and components</w:t>
            </w:r>
          </w:p>
        </w:tc>
        <w:tc>
          <w:tcPr>
            <w:tcW w:type="dxa" w:w="3312"/>
            <w:shd w:fill="#F8FAFC"/>
            <w:tcMar>
              <w:top w:w="70" w:type="dxa"/>
              <w:bottom w:w="70" w:type="dxa"/>
              <w:left w:w="100" w:type="dxa"/>
              <w:right w:w="100" w:type="dxa"/>
            </w:tcMar>
          </w:tcPr>
          <w:p>
            <w:r>
              <w:rPr>
                <w:sz w:val="16"/>
              </w:rPr>
              <w:t>PRODUCTION DEPLOYED — UAT PENDING</w:t>
            </w:r>
          </w:p>
        </w:tc>
      </w:tr>
      <w:tr>
        <w:tc>
          <w:tcPr>
            <w:tcW w:type="dxa" w:w="3312"/>
            <w:shd w:fill="FFFFFF"/>
            <w:tcMar>
              <w:top w:w="70" w:type="dxa"/>
              <w:bottom w:w="70" w:type="dxa"/>
              <w:left w:w="100" w:type="dxa"/>
              <w:right w:w="100" w:type="dxa"/>
            </w:tcMar>
          </w:tcPr>
          <w:p>
            <w:r>
              <w:rPr>
                <w:b/>
                <w:sz w:val="16"/>
              </w:rPr>
              <w:t>Mobile Field Application</w:t>
            </w:r>
          </w:p>
        </w:tc>
        <w:tc>
          <w:tcPr>
            <w:tcW w:type="dxa" w:w="3312"/>
            <w:shd w:fill="FFFFFF"/>
            <w:tcMar>
              <w:top w:w="70" w:type="dxa"/>
              <w:bottom w:w="70" w:type="dxa"/>
              <w:left w:w="100" w:type="dxa"/>
              <w:right w:w="100" w:type="dxa"/>
            </w:tcMar>
          </w:tcPr>
          <w:p>
            <w:r>
              <w:rPr>
                <w:sz w:val="16"/>
              </w:rPr>
              <w:t>Flutter cross-platform client (Android/iOS) with local SQLite drafting and offline sync engine</w:t>
            </w:r>
          </w:p>
        </w:tc>
        <w:tc>
          <w:tcPr>
            <w:tcW w:type="dxa" w:w="3312"/>
            <w:shd w:fill="FFFFFF"/>
            <w:tcMar>
              <w:top w:w="70" w:type="dxa"/>
              <w:bottom w:w="70" w:type="dxa"/>
              <w:left w:w="100" w:type="dxa"/>
              <w:right w:w="100" w:type="dxa"/>
            </w:tcMar>
          </w:tcPr>
          <w:p>
            <w:r>
              <w:rPr>
                <w:sz w:val="16"/>
              </w:rPr>
              <w:t>SOURCE IMPLEMENTED — BUILD VERIFIED</w:t>
            </w:r>
          </w:p>
        </w:tc>
      </w:tr>
      <w:tr>
        <w:tc>
          <w:tcPr>
            <w:tcW w:type="dxa" w:w="3312"/>
            <w:shd w:fill="#F8FAFC"/>
            <w:tcMar>
              <w:top w:w="70" w:type="dxa"/>
              <w:bottom w:w="70" w:type="dxa"/>
              <w:left w:w="100" w:type="dxa"/>
              <w:right w:w="100" w:type="dxa"/>
            </w:tcMar>
          </w:tcPr>
          <w:p>
            <w:r>
              <w:rPr>
                <w:b/>
                <w:sz w:val="16"/>
              </w:rPr>
              <w:t>Synthetic &amp; Test Integrity</w:t>
            </w:r>
          </w:p>
        </w:tc>
        <w:tc>
          <w:tcPr>
            <w:tcW w:type="dxa" w:w="3312"/>
            <w:shd w:fill="#F8FAFC"/>
            <w:tcMar>
              <w:top w:w="70" w:type="dxa"/>
              <w:bottom w:w="70" w:type="dxa"/>
              <w:left w:w="100" w:type="dxa"/>
              <w:right w:w="100" w:type="dxa"/>
            </w:tcMar>
          </w:tcPr>
          <w:p>
            <w:r>
              <w:rPr>
                <w:sz w:val="16"/>
              </w:rPr>
              <w:t>Complete synthetic seed datasets; ZERO real community client records imported or exposed</w:t>
            </w:r>
          </w:p>
        </w:tc>
        <w:tc>
          <w:tcPr>
            <w:tcW w:type="dxa" w:w="3312"/>
            <w:shd w:fill="#F8FAFC"/>
            <w:tcMar>
              <w:top w:w="70" w:type="dxa"/>
              <w:bottom w:w="70" w:type="dxa"/>
              <w:left w:w="100" w:type="dxa"/>
              <w:right w:w="100" w:type="dxa"/>
            </w:tcMar>
          </w:tcPr>
          <w:p>
            <w:r>
              <w:rPr>
                <w:sz w:val="16"/>
              </w:rPr>
              <w:t>LIVE VERIFIED (Protected)</w:t>
            </w:r>
          </w:p>
        </w:tc>
      </w:tr>
    </w:tbl>
    <w:p>
      <w:pPr>
        <w:spacing w:after="240"/>
      </w:pPr>
    </w:p>
    <w:p>
      <w:pPr>
        <w:spacing w:before="320" w:after="120"/>
      </w:pPr>
      <w:r>
        <w:rPr>
          <w:rFonts w:ascii="Arial" w:hAnsi="Arial"/>
          <w:b/>
          <w:color w:val="6B1D2F"/>
          <w:sz w:val="28"/>
        </w:rPr>
        <w:t>3. 14 DEDICATED DEPARTMENTAL DASHBOARDS AUDIT</w:t>
      </w:r>
    </w:p>
    <w:p>
      <w:pPr>
        <w:spacing w:after="120"/>
      </w:pPr>
      <w:r>
        <w:rPr>
          <w:rFonts w:ascii="Arial" w:hAnsi="Arial"/>
          <w:color w:val="1E293B"/>
          <w:sz w:val="19"/>
        </w:rPr>
        <w:t>A cornerstone of the CRBCL platform is its dedicated operational hubs for every distinct operational division of Chief Red Bear Children's Lodge. Each dashboard provides role-gated metrics, specialized workflow actions, and audit logs:</w:t>
      </w:r>
    </w:p>
    <w:tbl>
      <w:tblPr>
        <w:tblW w:type="auto" w:w="0"/>
        <w:jc w:val="center"/>
        <w:tblLook w:firstColumn="1" w:firstRow="1" w:lastColumn="0" w:lastRow="0" w:noHBand="0" w:noVBand="1" w:val="04A0"/>
      </w:tblPr>
      <w:tblGrid>
        <w:gridCol w:w="2484"/>
        <w:gridCol w:w="2484"/>
        <w:gridCol w:w="2484"/>
        <w:gridCol w:w="2484"/>
      </w:tblGrid>
      <w:tr>
        <w:tc>
          <w:tcPr>
            <w:tcW w:type="dxa" w:w="2484"/>
            <w:shd w:fill="#6B1D2F"/>
          </w:tcPr>
          <w:p>
            <w:r>
              <w:rPr>
                <w:b/>
                <w:color w:val="FFFFFF"/>
                <w:sz w:val="17"/>
              </w:rPr>
              <w:t>Dept / Domain</w:t>
            </w:r>
          </w:p>
        </w:tc>
        <w:tc>
          <w:tcPr>
            <w:tcW w:type="dxa" w:w="2484"/>
            <w:shd w:fill="#6B1D2F"/>
          </w:tcPr>
          <w:p>
            <w:r>
              <w:rPr>
                <w:b/>
                <w:color w:val="FFFFFF"/>
                <w:sz w:val="17"/>
              </w:rPr>
              <w:t>Key Functional Capabilities</w:t>
            </w:r>
          </w:p>
        </w:tc>
        <w:tc>
          <w:tcPr>
            <w:tcW w:type="dxa" w:w="2484"/>
            <w:shd w:fill="#6B1D2F"/>
          </w:tcPr>
          <w:p>
            <w:r>
              <w:rPr>
                <w:b/>
                <w:color w:val="FFFFFF"/>
                <w:sz w:val="17"/>
              </w:rPr>
              <w:t>Backend / UI Evidence</w:t>
            </w:r>
          </w:p>
        </w:tc>
        <w:tc>
          <w:tcPr>
            <w:tcW w:type="dxa" w:w="2484"/>
            <w:shd w:fill="#6B1D2F"/>
          </w:tcPr>
          <w:p>
            <w:r>
              <w:rPr>
                <w:b/>
                <w:color w:val="FFFFFF"/>
                <w:sz w:val="17"/>
              </w:rPr>
              <w:t>Operational Status</w:t>
            </w:r>
          </w:p>
        </w:tc>
      </w:tr>
      <w:tr>
        <w:tc>
          <w:tcPr>
            <w:tcW w:type="dxa" w:w="2484"/>
            <w:shd w:fill="#F8FAFC"/>
            <w:tcMar>
              <w:top w:w="50" w:type="dxa"/>
              <w:bottom w:w="50" w:type="dxa"/>
              <w:left w:w="80" w:type="dxa"/>
              <w:right w:w="80" w:type="dxa"/>
            </w:tcMar>
          </w:tcPr>
          <w:p>
            <w:r>
              <w:rPr>
                <w:b/>
                <w:sz w:val="15"/>
              </w:rPr>
              <w:t>1. Intake &amp; Assessment</w:t>
            </w:r>
          </w:p>
        </w:tc>
        <w:tc>
          <w:tcPr>
            <w:tcW w:type="dxa" w:w="2484"/>
            <w:shd w:fill="#F8FAFC"/>
            <w:tcMar>
              <w:top w:w="50" w:type="dxa"/>
              <w:bottom w:w="50" w:type="dxa"/>
              <w:left w:w="80" w:type="dxa"/>
              <w:right w:w="80" w:type="dxa"/>
            </w:tcMar>
          </w:tcPr>
          <w:p>
            <w:r>
              <w:rPr>
                <w:sz w:val="15"/>
              </w:rPr>
              <w:t>Public / internal referrals, triage priority, 24/48h response timers, screening</w:t>
            </w:r>
          </w:p>
        </w:tc>
        <w:tc>
          <w:tcPr>
            <w:tcW w:type="dxa" w:w="2484"/>
            <w:shd w:fill="#F8FAFC"/>
            <w:tcMar>
              <w:top w:w="50" w:type="dxa"/>
              <w:bottom w:w="50" w:type="dxa"/>
              <w:left w:w="80" w:type="dxa"/>
              <w:right w:w="80" w:type="dxa"/>
            </w:tcMar>
          </w:tcPr>
          <w:p>
            <w:r>
              <w:rPr>
                <w:sz w:val="15"/>
              </w:rPr>
              <w:t>intake.py, assessments.py, IntakeDashboard.jsx</w:t>
            </w:r>
          </w:p>
        </w:tc>
        <w:tc>
          <w:tcPr>
            <w:tcW w:type="dxa" w:w="2484"/>
            <w:shd w:fill="#F8FAFC"/>
            <w:tcMar>
              <w:top w:w="50" w:type="dxa"/>
              <w:bottom w:w="50" w:type="dxa"/>
              <w:left w:w="80" w:type="dxa"/>
              <w:right w:w="80" w:type="dxa"/>
            </w:tcMar>
          </w:tcPr>
          <w:p>
            <w:r>
              <w:rPr>
                <w:sz w:val="15"/>
              </w:rPr>
              <w:t>PRODUCTION DEPLOYED — UAT PENDING</w:t>
            </w:r>
          </w:p>
        </w:tc>
      </w:tr>
      <w:tr>
        <w:tc>
          <w:tcPr>
            <w:tcW w:type="dxa" w:w="2484"/>
            <w:shd w:fill="FFFFFF"/>
            <w:tcMar>
              <w:top w:w="50" w:type="dxa"/>
              <w:bottom w:w="50" w:type="dxa"/>
              <w:left w:w="80" w:type="dxa"/>
              <w:right w:w="80" w:type="dxa"/>
            </w:tcMar>
          </w:tcPr>
          <w:p>
            <w:r>
              <w:rPr>
                <w:b/>
                <w:sz w:val="15"/>
              </w:rPr>
              <w:t>2. Child &amp; Family Services (CFS)</w:t>
            </w:r>
          </w:p>
        </w:tc>
        <w:tc>
          <w:tcPr>
            <w:tcW w:type="dxa" w:w="2484"/>
            <w:shd w:fill="FFFFFF"/>
            <w:tcMar>
              <w:top w:w="50" w:type="dxa"/>
              <w:bottom w:w="50" w:type="dxa"/>
              <w:left w:w="80" w:type="dxa"/>
              <w:right w:w="80" w:type="dxa"/>
            </w:tcMar>
          </w:tcPr>
          <w:p>
            <w:r>
              <w:rPr>
                <w:sz w:val="15"/>
              </w:rPr>
              <w:t>Active protection cases, safety plans, court dates, statutory deadlines</w:t>
            </w:r>
          </w:p>
        </w:tc>
        <w:tc>
          <w:tcPr>
            <w:tcW w:type="dxa" w:w="2484"/>
            <w:shd w:fill="FFFFFF"/>
            <w:tcMar>
              <w:top w:w="50" w:type="dxa"/>
              <w:bottom w:w="50" w:type="dxa"/>
              <w:left w:w="80" w:type="dxa"/>
              <w:right w:w="80" w:type="dxa"/>
            </w:tcMar>
          </w:tcPr>
          <w:p>
            <w:r>
              <w:rPr>
                <w:sz w:val="15"/>
              </w:rPr>
              <w:t>cases.py, safety_plans.py, TeamDashboard.jsx</w:t>
            </w:r>
          </w:p>
        </w:tc>
        <w:tc>
          <w:tcPr>
            <w:tcW w:type="dxa" w:w="2484"/>
            <w:shd w:fill="FFFFFF"/>
            <w:tcMar>
              <w:top w:w="50" w:type="dxa"/>
              <w:bottom w:w="50" w:type="dxa"/>
              <w:left w:w="80" w:type="dxa"/>
              <w:right w:w="80" w:type="dxa"/>
            </w:tcMar>
          </w:tcPr>
          <w:p>
            <w:r>
              <w:rPr>
                <w:sz w:val="15"/>
              </w:rPr>
              <w:t>PRODUCTION DEPLOYED — UAT PENDING</w:t>
            </w:r>
          </w:p>
        </w:tc>
      </w:tr>
      <w:tr>
        <w:tc>
          <w:tcPr>
            <w:tcW w:type="dxa" w:w="2484"/>
            <w:shd w:fill="#F8FAFC"/>
            <w:tcMar>
              <w:top w:w="50" w:type="dxa"/>
              <w:bottom w:w="50" w:type="dxa"/>
              <w:left w:w="80" w:type="dxa"/>
              <w:right w:w="80" w:type="dxa"/>
            </w:tcMar>
          </w:tcPr>
          <w:p>
            <w:r>
              <w:rPr>
                <w:b/>
                <w:sz w:val="15"/>
              </w:rPr>
              <w:t>3. Prevention &amp; Family Healing</w:t>
            </w:r>
          </w:p>
        </w:tc>
        <w:tc>
          <w:tcPr>
            <w:tcW w:type="dxa" w:w="2484"/>
            <w:shd w:fill="#F8FAFC"/>
            <w:tcMar>
              <w:top w:w="50" w:type="dxa"/>
              <w:bottom w:w="50" w:type="dxa"/>
              <w:left w:w="80" w:type="dxa"/>
              <w:right w:w="80" w:type="dxa"/>
            </w:tcMar>
          </w:tcPr>
          <w:p>
            <w:r>
              <w:rPr>
                <w:sz w:val="15"/>
              </w:rPr>
              <w:t>Custom records workspace, 3-tier duplicate engine, client reconciliation</w:t>
            </w:r>
          </w:p>
        </w:tc>
        <w:tc>
          <w:tcPr>
            <w:tcW w:type="dxa" w:w="2484"/>
            <w:shd w:fill="#F8FAFC"/>
            <w:tcMar>
              <w:top w:w="50" w:type="dxa"/>
              <w:bottom w:w="50" w:type="dxa"/>
              <w:left w:w="80" w:type="dxa"/>
              <w:right w:w="80" w:type="dxa"/>
            </w:tcMar>
          </w:tcPr>
          <w:p>
            <w:r>
              <w:rPr>
                <w:sz w:val="15"/>
              </w:rPr>
              <w:t>prevention_healing.py, PreventionHealingWorkspace.jsx</w:t>
            </w:r>
          </w:p>
        </w:tc>
        <w:tc>
          <w:tcPr>
            <w:tcW w:type="dxa" w:w="2484"/>
            <w:shd w:fill="#F8FAFC"/>
            <w:tcMar>
              <w:top w:w="50" w:type="dxa"/>
              <w:bottom w:w="50" w:type="dxa"/>
              <w:left w:w="80" w:type="dxa"/>
              <w:right w:w="80" w:type="dxa"/>
            </w:tcMar>
          </w:tcPr>
          <w:p>
            <w:r>
              <w:rPr>
                <w:sz w:val="15"/>
              </w:rPr>
              <w:t>LIVE VERIFIED (Staging UAT)</w:t>
            </w:r>
          </w:p>
        </w:tc>
      </w:tr>
      <w:tr>
        <w:tc>
          <w:tcPr>
            <w:tcW w:type="dxa" w:w="2484"/>
            <w:shd w:fill="FFFFFF"/>
            <w:tcMar>
              <w:top w:w="50" w:type="dxa"/>
              <w:bottom w:w="50" w:type="dxa"/>
              <w:left w:w="80" w:type="dxa"/>
              <w:right w:w="80" w:type="dxa"/>
            </w:tcMar>
          </w:tcPr>
          <w:p>
            <w:r>
              <w:rPr>
                <w:b/>
                <w:sz w:val="15"/>
              </w:rPr>
              <w:t>4. Foster Care &amp; Kinship</w:t>
            </w:r>
          </w:p>
        </w:tc>
        <w:tc>
          <w:tcPr>
            <w:tcW w:type="dxa" w:w="2484"/>
            <w:shd w:fill="FFFFFF"/>
            <w:tcMar>
              <w:top w:w="50" w:type="dxa"/>
              <w:bottom w:w="50" w:type="dxa"/>
              <w:left w:w="80" w:type="dxa"/>
              <w:right w:w="80" w:type="dxa"/>
            </w:tcMar>
          </w:tcPr>
          <w:p>
            <w:r>
              <w:rPr>
                <w:sz w:val="15"/>
              </w:rPr>
              <w:t>Caregiver applications, background checks, placement capacity, licensing</w:t>
            </w:r>
          </w:p>
        </w:tc>
        <w:tc>
          <w:tcPr>
            <w:tcW w:type="dxa" w:w="2484"/>
            <w:shd w:fill="FFFFFF"/>
            <w:tcMar>
              <w:top w:w="50" w:type="dxa"/>
              <w:bottom w:w="50" w:type="dxa"/>
              <w:left w:w="80" w:type="dxa"/>
              <w:right w:w="80" w:type="dxa"/>
            </w:tcMar>
          </w:tcPr>
          <w:p>
            <w:r>
              <w:rPr>
                <w:sz w:val="15"/>
              </w:rPr>
              <w:t>placements.py, CaregiverPortal.jsx</w:t>
            </w:r>
          </w:p>
        </w:tc>
        <w:tc>
          <w:tcPr>
            <w:tcW w:type="dxa" w:w="2484"/>
            <w:shd w:fill="FFFFFF"/>
            <w:tcMar>
              <w:top w:w="50" w:type="dxa"/>
              <w:bottom w:w="50" w:type="dxa"/>
              <w:left w:w="80" w:type="dxa"/>
              <w:right w:w="80" w:type="dxa"/>
            </w:tcMar>
          </w:tcPr>
          <w:p>
            <w:r>
              <w:rPr>
                <w:sz w:val="15"/>
              </w:rPr>
              <w:t>SOURCE IMPLEMENTED — TESTED</w:t>
            </w:r>
          </w:p>
        </w:tc>
      </w:tr>
      <w:tr>
        <w:tc>
          <w:tcPr>
            <w:tcW w:type="dxa" w:w="2484"/>
            <w:shd w:fill="#F8FAFC"/>
            <w:tcMar>
              <w:top w:w="50" w:type="dxa"/>
              <w:bottom w:w="50" w:type="dxa"/>
              <w:left w:w="80" w:type="dxa"/>
              <w:right w:w="80" w:type="dxa"/>
            </w:tcMar>
          </w:tcPr>
          <w:p>
            <w:r>
              <w:rPr>
                <w:b/>
                <w:sz w:val="15"/>
              </w:rPr>
              <w:t>5. Customary Care</w:t>
            </w:r>
          </w:p>
        </w:tc>
        <w:tc>
          <w:tcPr>
            <w:tcW w:type="dxa" w:w="2484"/>
            <w:shd w:fill="#F8FAFC"/>
            <w:tcMar>
              <w:top w:w="50" w:type="dxa"/>
              <w:bottom w:w="50" w:type="dxa"/>
              <w:left w:w="80" w:type="dxa"/>
              <w:right w:w="80" w:type="dxa"/>
            </w:tcMar>
          </w:tcPr>
          <w:p>
            <w:r>
              <w:rPr>
                <w:sz w:val="15"/>
              </w:rPr>
              <w:t>Traditional Cowessess care agreements, elder consultations, family circles</w:t>
            </w:r>
          </w:p>
        </w:tc>
        <w:tc>
          <w:tcPr>
            <w:tcW w:type="dxa" w:w="2484"/>
            <w:shd w:fill="#F8FAFC"/>
            <w:tcMar>
              <w:top w:w="50" w:type="dxa"/>
              <w:bottom w:w="50" w:type="dxa"/>
              <w:left w:w="80" w:type="dxa"/>
              <w:right w:w="80" w:type="dxa"/>
            </w:tcMar>
          </w:tcPr>
          <w:p>
            <w:r>
              <w:rPr>
                <w:sz w:val="15"/>
              </w:rPr>
              <w:t>customary_care.py, CustomaryCareView.jsx</w:t>
            </w:r>
          </w:p>
        </w:tc>
        <w:tc>
          <w:tcPr>
            <w:tcW w:type="dxa" w:w="2484"/>
            <w:shd w:fill="#F8FAFC"/>
            <w:tcMar>
              <w:top w:w="50" w:type="dxa"/>
              <w:bottom w:w="50" w:type="dxa"/>
              <w:left w:w="80" w:type="dxa"/>
              <w:right w:w="80" w:type="dxa"/>
            </w:tcMar>
          </w:tcPr>
          <w:p>
            <w:r>
              <w:rPr>
                <w:sz w:val="15"/>
              </w:rPr>
              <w:t>SOURCE IMPLEMENTED — TESTED</w:t>
            </w:r>
          </w:p>
        </w:tc>
      </w:tr>
      <w:tr>
        <w:tc>
          <w:tcPr>
            <w:tcW w:type="dxa" w:w="2484"/>
            <w:shd w:fill="FFFFFF"/>
            <w:tcMar>
              <w:top w:w="50" w:type="dxa"/>
              <w:bottom w:w="50" w:type="dxa"/>
              <w:left w:w="80" w:type="dxa"/>
              <w:right w:w="80" w:type="dxa"/>
            </w:tcMar>
          </w:tcPr>
          <w:p>
            <w:r>
              <w:rPr>
                <w:b/>
                <w:sz w:val="15"/>
              </w:rPr>
              <w:t>6. Cultural &amp; Healing</w:t>
            </w:r>
          </w:p>
        </w:tc>
        <w:tc>
          <w:tcPr>
            <w:tcW w:type="dxa" w:w="2484"/>
            <w:shd w:fill="FFFFFF"/>
            <w:tcMar>
              <w:top w:w="50" w:type="dxa"/>
              <w:bottom w:w="50" w:type="dxa"/>
              <w:left w:w="80" w:type="dxa"/>
              <w:right w:w="80" w:type="dxa"/>
            </w:tcMar>
          </w:tcPr>
          <w:p>
            <w:r>
              <w:rPr>
                <w:sz w:val="15"/>
              </w:rPr>
              <w:t>Ceremony tracking, Elder honoraria, cultural plans, language initiatives</w:t>
            </w:r>
          </w:p>
        </w:tc>
        <w:tc>
          <w:tcPr>
            <w:tcW w:type="dxa" w:w="2484"/>
            <w:shd w:fill="FFFFFF"/>
            <w:tcMar>
              <w:top w:w="50" w:type="dxa"/>
              <w:bottom w:w="50" w:type="dxa"/>
              <w:left w:w="80" w:type="dxa"/>
              <w:right w:w="80" w:type="dxa"/>
            </w:tcMar>
          </w:tcPr>
          <w:p>
            <w:r>
              <w:rPr>
                <w:sz w:val="15"/>
              </w:rPr>
              <w:t>cultural_healing.py, CulturalDashboard.jsx</w:t>
            </w:r>
          </w:p>
        </w:tc>
        <w:tc>
          <w:tcPr>
            <w:tcW w:type="dxa" w:w="2484"/>
            <w:shd w:fill="FFFFFF"/>
            <w:tcMar>
              <w:top w:w="50" w:type="dxa"/>
              <w:bottom w:w="50" w:type="dxa"/>
              <w:left w:w="80" w:type="dxa"/>
              <w:right w:w="80" w:type="dxa"/>
            </w:tcMar>
          </w:tcPr>
          <w:p>
            <w:r>
              <w:rPr>
                <w:sz w:val="15"/>
              </w:rPr>
              <w:t>SOURCE IMPLEMENTED — TESTED</w:t>
            </w:r>
          </w:p>
        </w:tc>
      </w:tr>
      <w:tr>
        <w:tc>
          <w:tcPr>
            <w:tcW w:type="dxa" w:w="2484"/>
            <w:shd w:fill="#F8FAFC"/>
            <w:tcMar>
              <w:top w:w="50" w:type="dxa"/>
              <w:bottom w:w="50" w:type="dxa"/>
              <w:left w:w="80" w:type="dxa"/>
              <w:right w:w="80" w:type="dxa"/>
            </w:tcMar>
          </w:tcPr>
          <w:p>
            <w:r>
              <w:rPr>
                <w:b/>
                <w:sz w:val="15"/>
              </w:rPr>
              <w:t>7. Youth Services &amp; Transitions</w:t>
            </w:r>
          </w:p>
        </w:tc>
        <w:tc>
          <w:tcPr>
            <w:tcW w:type="dxa" w:w="2484"/>
            <w:shd w:fill="#F8FAFC"/>
            <w:tcMar>
              <w:top w:w="50" w:type="dxa"/>
              <w:bottom w:w="50" w:type="dxa"/>
              <w:left w:w="80" w:type="dxa"/>
              <w:right w:w="80" w:type="dxa"/>
            </w:tcMar>
          </w:tcPr>
          <w:p>
            <w:r>
              <w:rPr>
                <w:sz w:val="15"/>
              </w:rPr>
              <w:t>Aging-out transition plans, independent living stipends, mentor matches</w:t>
            </w:r>
          </w:p>
        </w:tc>
        <w:tc>
          <w:tcPr>
            <w:tcW w:type="dxa" w:w="2484"/>
            <w:shd w:fill="#F8FAFC"/>
            <w:tcMar>
              <w:top w:w="50" w:type="dxa"/>
              <w:bottom w:w="50" w:type="dxa"/>
              <w:left w:w="80" w:type="dxa"/>
              <w:right w:w="80" w:type="dxa"/>
            </w:tcMar>
          </w:tcPr>
          <w:p>
            <w:r>
              <w:rPr>
                <w:sz w:val="15"/>
              </w:rPr>
              <w:t>youth_services.py, YouthServicesView.jsx</w:t>
            </w:r>
          </w:p>
        </w:tc>
        <w:tc>
          <w:tcPr>
            <w:tcW w:type="dxa" w:w="2484"/>
            <w:shd w:fill="#F8FAFC"/>
            <w:tcMar>
              <w:top w:w="50" w:type="dxa"/>
              <w:bottom w:w="50" w:type="dxa"/>
              <w:left w:w="80" w:type="dxa"/>
              <w:right w:w="80" w:type="dxa"/>
            </w:tcMar>
          </w:tcPr>
          <w:p>
            <w:r>
              <w:rPr>
                <w:sz w:val="15"/>
              </w:rPr>
              <w:t>SOURCE IMPLEMENTED — TESTED</w:t>
            </w:r>
          </w:p>
        </w:tc>
      </w:tr>
      <w:tr>
        <w:tc>
          <w:tcPr>
            <w:tcW w:type="dxa" w:w="2484"/>
            <w:shd w:fill="FFFFFF"/>
            <w:tcMar>
              <w:top w:w="50" w:type="dxa"/>
              <w:bottom w:w="50" w:type="dxa"/>
              <w:left w:w="80" w:type="dxa"/>
              <w:right w:w="80" w:type="dxa"/>
            </w:tcMar>
          </w:tcPr>
          <w:p>
            <w:r>
              <w:rPr>
                <w:b/>
                <w:sz w:val="15"/>
              </w:rPr>
              <w:t>8. Family Support &amp; Community</w:t>
            </w:r>
          </w:p>
        </w:tc>
        <w:tc>
          <w:tcPr>
            <w:tcW w:type="dxa" w:w="2484"/>
            <w:shd w:fill="FFFFFF"/>
            <w:tcMar>
              <w:top w:w="50" w:type="dxa"/>
              <w:bottom w:w="50" w:type="dxa"/>
              <w:left w:w="80" w:type="dxa"/>
              <w:right w:w="80" w:type="dxa"/>
            </w:tcMar>
          </w:tcPr>
          <w:p>
            <w:r>
              <w:rPr>
                <w:sz w:val="15"/>
              </w:rPr>
              <w:t>Community food distribution, crisis vouchers, parenting workshops</w:t>
            </w:r>
          </w:p>
        </w:tc>
        <w:tc>
          <w:tcPr>
            <w:tcW w:type="dxa" w:w="2484"/>
            <w:shd w:fill="FFFFFF"/>
            <w:tcMar>
              <w:top w:w="50" w:type="dxa"/>
              <w:bottom w:w="50" w:type="dxa"/>
              <w:left w:w="80" w:type="dxa"/>
              <w:right w:w="80" w:type="dxa"/>
            </w:tcMar>
          </w:tcPr>
          <w:p>
            <w:r>
              <w:rPr>
                <w:sz w:val="15"/>
              </w:rPr>
              <w:t>family_support.py, FamilySupportView.jsx</w:t>
            </w:r>
          </w:p>
        </w:tc>
        <w:tc>
          <w:tcPr>
            <w:tcW w:type="dxa" w:w="2484"/>
            <w:shd w:fill="FFFFFF"/>
            <w:tcMar>
              <w:top w:w="50" w:type="dxa"/>
              <w:bottom w:w="50" w:type="dxa"/>
              <w:left w:w="80" w:type="dxa"/>
              <w:right w:w="80" w:type="dxa"/>
            </w:tcMar>
          </w:tcPr>
          <w:p>
            <w:r>
              <w:rPr>
                <w:sz w:val="15"/>
              </w:rPr>
              <w:t>PRODUCTION DEPLOYED — UAT PENDING</w:t>
            </w:r>
          </w:p>
        </w:tc>
      </w:tr>
      <w:tr>
        <w:tc>
          <w:tcPr>
            <w:tcW w:type="dxa" w:w="2484"/>
            <w:shd w:fill="#F8FAFC"/>
            <w:tcMar>
              <w:top w:w="50" w:type="dxa"/>
              <w:bottom w:w="50" w:type="dxa"/>
              <w:left w:w="80" w:type="dxa"/>
              <w:right w:w="80" w:type="dxa"/>
            </w:tcMar>
          </w:tcPr>
          <w:p>
            <w:r>
              <w:rPr>
                <w:b/>
                <w:sz w:val="15"/>
              </w:rPr>
              <w:t>9. Jordan's Principle &amp; Special Needs</w:t>
            </w:r>
          </w:p>
        </w:tc>
        <w:tc>
          <w:tcPr>
            <w:tcW w:type="dxa" w:w="2484"/>
            <w:shd w:fill="#F8FAFC"/>
            <w:tcMar>
              <w:top w:w="50" w:type="dxa"/>
              <w:bottom w:w="50" w:type="dxa"/>
              <w:left w:w="80" w:type="dxa"/>
              <w:right w:w="80" w:type="dxa"/>
            </w:tcMar>
          </w:tcPr>
          <w:p>
            <w:r>
              <w:rPr>
                <w:sz w:val="15"/>
              </w:rPr>
              <w:t>Federal reimbursement claims, service requests, medical equipment tracking</w:t>
            </w:r>
          </w:p>
        </w:tc>
        <w:tc>
          <w:tcPr>
            <w:tcW w:type="dxa" w:w="2484"/>
            <w:shd w:fill="#F8FAFC"/>
            <w:tcMar>
              <w:top w:w="50" w:type="dxa"/>
              <w:bottom w:w="50" w:type="dxa"/>
              <w:left w:w="80" w:type="dxa"/>
              <w:right w:w="80" w:type="dxa"/>
            </w:tcMar>
          </w:tcPr>
          <w:p>
            <w:r>
              <w:rPr>
                <w:sz w:val="15"/>
              </w:rPr>
              <w:t>jordans_principle.py, JordansPrincipleView.jsx</w:t>
            </w:r>
          </w:p>
        </w:tc>
        <w:tc>
          <w:tcPr>
            <w:tcW w:type="dxa" w:w="2484"/>
            <w:shd w:fill="#F8FAFC"/>
            <w:tcMar>
              <w:top w:w="50" w:type="dxa"/>
              <w:bottom w:w="50" w:type="dxa"/>
              <w:left w:w="80" w:type="dxa"/>
              <w:right w:w="80" w:type="dxa"/>
            </w:tcMar>
          </w:tcPr>
          <w:p>
            <w:r>
              <w:rPr>
                <w:sz w:val="15"/>
              </w:rPr>
              <w:t>SOURCE IMPLEMENTED — TESTED</w:t>
            </w:r>
          </w:p>
        </w:tc>
      </w:tr>
      <w:tr>
        <w:tc>
          <w:tcPr>
            <w:tcW w:type="dxa" w:w="2484"/>
            <w:shd w:fill="FFFFFF"/>
            <w:tcMar>
              <w:top w:w="50" w:type="dxa"/>
              <w:bottom w:w="50" w:type="dxa"/>
              <w:left w:w="80" w:type="dxa"/>
              <w:right w:w="80" w:type="dxa"/>
            </w:tcMar>
          </w:tcPr>
          <w:p>
            <w:r>
              <w:rPr>
                <w:b/>
                <w:sz w:val="15"/>
              </w:rPr>
              <w:t>10. Legal &amp; Court Services</w:t>
            </w:r>
          </w:p>
        </w:tc>
        <w:tc>
          <w:tcPr>
            <w:tcW w:type="dxa" w:w="2484"/>
            <w:shd w:fill="FFFFFF"/>
            <w:tcMar>
              <w:top w:w="50" w:type="dxa"/>
              <w:bottom w:w="50" w:type="dxa"/>
              <w:left w:w="80" w:type="dxa"/>
              <w:right w:w="80" w:type="dxa"/>
            </w:tcMar>
          </w:tcPr>
          <w:p>
            <w:r>
              <w:rPr>
                <w:sz w:val="15"/>
              </w:rPr>
              <w:t>Court orders, docket management, legal representation logs, disclosures</w:t>
            </w:r>
          </w:p>
        </w:tc>
        <w:tc>
          <w:tcPr>
            <w:tcW w:type="dxa" w:w="2484"/>
            <w:shd w:fill="FFFFFF"/>
            <w:tcMar>
              <w:top w:w="50" w:type="dxa"/>
              <w:bottom w:w="50" w:type="dxa"/>
              <w:left w:w="80" w:type="dxa"/>
              <w:right w:w="80" w:type="dxa"/>
            </w:tcMar>
          </w:tcPr>
          <w:p>
            <w:r>
              <w:rPr>
                <w:sz w:val="15"/>
              </w:rPr>
              <w:t>legal_court.py, LegalDashboard.jsx</w:t>
            </w:r>
          </w:p>
        </w:tc>
        <w:tc>
          <w:tcPr>
            <w:tcW w:type="dxa" w:w="2484"/>
            <w:shd w:fill="FFFFFF"/>
            <w:tcMar>
              <w:top w:w="50" w:type="dxa"/>
              <w:bottom w:w="50" w:type="dxa"/>
              <w:left w:w="80" w:type="dxa"/>
              <w:right w:w="80" w:type="dxa"/>
            </w:tcMar>
          </w:tcPr>
          <w:p>
            <w:r>
              <w:rPr>
                <w:sz w:val="15"/>
              </w:rPr>
              <w:t>SOURCE IMPLEMENTED — TESTED</w:t>
            </w:r>
          </w:p>
        </w:tc>
      </w:tr>
      <w:tr>
        <w:tc>
          <w:tcPr>
            <w:tcW w:type="dxa" w:w="2484"/>
            <w:shd w:fill="#F8FAFC"/>
            <w:tcMar>
              <w:top w:w="50" w:type="dxa"/>
              <w:bottom w:w="50" w:type="dxa"/>
              <w:left w:w="80" w:type="dxa"/>
              <w:right w:w="80" w:type="dxa"/>
            </w:tcMar>
          </w:tcPr>
          <w:p>
            <w:r>
              <w:rPr>
                <w:b/>
                <w:sz w:val="15"/>
              </w:rPr>
              <w:t>11. Front Desk &amp; Reception</w:t>
            </w:r>
          </w:p>
        </w:tc>
        <w:tc>
          <w:tcPr>
            <w:tcW w:type="dxa" w:w="2484"/>
            <w:shd w:fill="#F8FAFC"/>
            <w:tcMar>
              <w:top w:w="50" w:type="dxa"/>
              <w:bottom w:w="50" w:type="dxa"/>
              <w:left w:w="80" w:type="dxa"/>
              <w:right w:w="80" w:type="dxa"/>
            </w:tcMar>
          </w:tcPr>
          <w:p>
            <w:r>
              <w:rPr>
                <w:sz w:val="15"/>
              </w:rPr>
              <w:t>Visitor check-in, package logging, emergency triage, routing history</w:t>
            </w:r>
          </w:p>
        </w:tc>
        <w:tc>
          <w:tcPr>
            <w:tcW w:type="dxa" w:w="2484"/>
            <w:shd w:fill="#F8FAFC"/>
            <w:tcMar>
              <w:top w:w="50" w:type="dxa"/>
              <w:bottom w:w="50" w:type="dxa"/>
              <w:left w:w="80" w:type="dxa"/>
              <w:right w:w="80" w:type="dxa"/>
            </w:tcMar>
          </w:tcPr>
          <w:p>
            <w:r>
              <w:rPr>
                <w:sz w:val="15"/>
              </w:rPr>
              <w:t>front_desk.py, FrontDeskView.jsx</w:t>
            </w:r>
          </w:p>
        </w:tc>
        <w:tc>
          <w:tcPr>
            <w:tcW w:type="dxa" w:w="2484"/>
            <w:shd w:fill="#F8FAFC"/>
            <w:tcMar>
              <w:top w:w="50" w:type="dxa"/>
              <w:bottom w:w="50" w:type="dxa"/>
              <w:left w:w="80" w:type="dxa"/>
              <w:right w:w="80" w:type="dxa"/>
            </w:tcMar>
          </w:tcPr>
          <w:p>
            <w:r>
              <w:rPr>
                <w:sz w:val="15"/>
              </w:rPr>
              <w:t>PRODUCTION DEPLOYED — UAT PENDING</w:t>
            </w:r>
          </w:p>
        </w:tc>
      </w:tr>
      <w:tr>
        <w:tc>
          <w:tcPr>
            <w:tcW w:type="dxa" w:w="2484"/>
            <w:shd w:fill="FFFFFF"/>
            <w:tcMar>
              <w:top w:w="50" w:type="dxa"/>
              <w:bottom w:w="50" w:type="dxa"/>
              <w:left w:w="80" w:type="dxa"/>
              <w:right w:w="80" w:type="dxa"/>
            </w:tcMar>
          </w:tcPr>
          <w:p>
            <w:r>
              <w:rPr>
                <w:b/>
                <w:sz w:val="15"/>
              </w:rPr>
              <w:t>12. Executive &amp; Governance</w:t>
            </w:r>
          </w:p>
        </w:tc>
        <w:tc>
          <w:tcPr>
            <w:tcW w:type="dxa" w:w="2484"/>
            <w:shd w:fill="FFFFFF"/>
            <w:tcMar>
              <w:top w:w="50" w:type="dxa"/>
              <w:bottom w:w="50" w:type="dxa"/>
              <w:left w:w="80" w:type="dxa"/>
              <w:right w:w="80" w:type="dxa"/>
            </w:tcMar>
          </w:tcPr>
          <w:p>
            <w:r>
              <w:rPr>
                <w:sz w:val="15"/>
              </w:rPr>
              <w:t>Board action resolutions, strategic KPIs, sovereign compliance reporting</w:t>
            </w:r>
          </w:p>
        </w:tc>
        <w:tc>
          <w:tcPr>
            <w:tcW w:type="dxa" w:w="2484"/>
            <w:shd w:fill="FFFFFF"/>
            <w:tcMar>
              <w:top w:w="50" w:type="dxa"/>
              <w:bottom w:w="50" w:type="dxa"/>
              <w:left w:w="80" w:type="dxa"/>
              <w:right w:w="80" w:type="dxa"/>
            </w:tcMar>
          </w:tcPr>
          <w:p>
            <w:r>
              <w:rPr>
                <w:sz w:val="15"/>
              </w:rPr>
              <w:t>board_action.py, executive.py, ExecutiveDashboard.jsx</w:t>
            </w:r>
          </w:p>
        </w:tc>
        <w:tc>
          <w:tcPr>
            <w:tcW w:type="dxa" w:w="2484"/>
            <w:shd w:fill="FFFFFF"/>
            <w:tcMar>
              <w:top w:w="50" w:type="dxa"/>
              <w:bottom w:w="50" w:type="dxa"/>
              <w:left w:w="80" w:type="dxa"/>
              <w:right w:w="80" w:type="dxa"/>
            </w:tcMar>
          </w:tcPr>
          <w:p>
            <w:r>
              <w:rPr>
                <w:sz w:val="15"/>
              </w:rPr>
              <w:t>LIVE VERIFIED (Staging UAT)</w:t>
            </w:r>
          </w:p>
        </w:tc>
      </w:tr>
      <w:tr>
        <w:tc>
          <w:tcPr>
            <w:tcW w:type="dxa" w:w="2484"/>
            <w:shd w:fill="#F8FAFC"/>
            <w:tcMar>
              <w:top w:w="50" w:type="dxa"/>
              <w:bottom w:w="50" w:type="dxa"/>
              <w:left w:w="80" w:type="dxa"/>
              <w:right w:w="80" w:type="dxa"/>
            </w:tcMar>
          </w:tcPr>
          <w:p>
            <w:r>
              <w:rPr>
                <w:b/>
                <w:sz w:val="15"/>
              </w:rPr>
              <w:t>13. Finance &amp; Operations</w:t>
            </w:r>
          </w:p>
        </w:tc>
        <w:tc>
          <w:tcPr>
            <w:tcW w:type="dxa" w:w="2484"/>
            <w:shd w:fill="#F8FAFC"/>
            <w:tcMar>
              <w:top w:w="50" w:type="dxa"/>
              <w:bottom w:w="50" w:type="dxa"/>
              <w:left w:w="80" w:type="dxa"/>
              <w:right w:w="80" w:type="dxa"/>
            </w:tcMar>
          </w:tcPr>
          <w:p>
            <w:r>
              <w:rPr>
                <w:sz w:val="15"/>
              </w:rPr>
              <w:t>Multi-fund general ledger, purchase orders, mileage claims, billing rates</w:t>
            </w:r>
          </w:p>
        </w:tc>
        <w:tc>
          <w:tcPr>
            <w:tcW w:type="dxa" w:w="2484"/>
            <w:shd w:fill="#F8FAFC"/>
            <w:tcMar>
              <w:top w:w="50" w:type="dxa"/>
              <w:bottom w:w="50" w:type="dxa"/>
              <w:left w:w="80" w:type="dxa"/>
              <w:right w:w="80" w:type="dxa"/>
            </w:tcMar>
          </w:tcPr>
          <w:p>
            <w:r>
              <w:rPr>
                <w:sz w:val="15"/>
              </w:rPr>
              <w:t>finance.py, FinanceDashboard.jsx</w:t>
            </w:r>
          </w:p>
        </w:tc>
        <w:tc>
          <w:tcPr>
            <w:tcW w:type="dxa" w:w="2484"/>
            <w:shd w:fill="#F8FAFC"/>
            <w:tcMar>
              <w:top w:w="50" w:type="dxa"/>
              <w:bottom w:w="50" w:type="dxa"/>
              <w:left w:w="80" w:type="dxa"/>
              <w:right w:w="80" w:type="dxa"/>
            </w:tcMar>
          </w:tcPr>
          <w:p>
            <w:r>
              <w:rPr>
                <w:sz w:val="15"/>
              </w:rPr>
              <w:t>SOURCE IMPLEMENTED — TESTED</w:t>
            </w:r>
          </w:p>
        </w:tc>
      </w:tr>
      <w:tr>
        <w:tc>
          <w:tcPr>
            <w:tcW w:type="dxa" w:w="2484"/>
            <w:shd w:fill="FFFFFF"/>
            <w:tcMar>
              <w:top w:w="50" w:type="dxa"/>
              <w:bottom w:w="50" w:type="dxa"/>
              <w:left w:w="80" w:type="dxa"/>
              <w:right w:w="80" w:type="dxa"/>
            </w:tcMar>
          </w:tcPr>
          <w:p>
            <w:r>
              <w:rPr>
                <w:b/>
                <w:sz w:val="15"/>
              </w:rPr>
              <w:t>14. Fleet &amp; Transportation</w:t>
            </w:r>
          </w:p>
        </w:tc>
        <w:tc>
          <w:tcPr>
            <w:tcW w:type="dxa" w:w="2484"/>
            <w:shd w:fill="FFFFFF"/>
            <w:tcMar>
              <w:top w:w="50" w:type="dxa"/>
              <w:bottom w:w="50" w:type="dxa"/>
              <w:left w:w="80" w:type="dxa"/>
              <w:right w:w="80" w:type="dxa"/>
            </w:tcMar>
          </w:tcPr>
          <w:p>
            <w:r>
              <w:rPr>
                <w:sz w:val="15"/>
              </w:rPr>
              <w:t>Vehicle assignments, GPS geofencing, maintenance logs, telematics integration</w:t>
            </w:r>
          </w:p>
        </w:tc>
        <w:tc>
          <w:tcPr>
            <w:tcW w:type="dxa" w:w="2484"/>
            <w:shd w:fill="FFFFFF"/>
            <w:tcMar>
              <w:top w:w="50" w:type="dxa"/>
              <w:bottom w:w="50" w:type="dxa"/>
              <w:left w:w="80" w:type="dxa"/>
              <w:right w:w="80" w:type="dxa"/>
            </w:tcMar>
          </w:tcPr>
          <w:p>
            <w:r>
              <w:rPr>
                <w:sz w:val="15"/>
              </w:rPr>
              <w:t>fleet.py, FleetDashboard.jsx</w:t>
            </w:r>
          </w:p>
        </w:tc>
        <w:tc>
          <w:tcPr>
            <w:tcW w:type="dxa" w:w="2484"/>
            <w:shd w:fill="FFFFFF"/>
            <w:tcMar>
              <w:top w:w="50" w:type="dxa"/>
              <w:bottom w:w="50" w:type="dxa"/>
              <w:left w:w="80" w:type="dxa"/>
              <w:right w:w="80" w:type="dxa"/>
            </w:tcMar>
          </w:tcPr>
          <w:p>
            <w:r>
              <w:rPr>
                <w:sz w:val="15"/>
              </w:rPr>
              <w:t>SOURCE IMPLEMENTED — TESTED</w:t>
            </w:r>
          </w:p>
        </w:tc>
      </w:tr>
    </w:tbl>
    <w:p>
      <w:pPr>
        <w:spacing w:after="240"/>
      </w:pPr>
    </w:p>
    <w:p>
      <w:pPr>
        <w:spacing w:before="320" w:after="120"/>
      </w:pPr>
      <w:r>
        <w:rPr>
          <w:rFonts w:ascii="Arial" w:hAnsi="Arial"/>
          <w:b/>
          <w:color w:val="6B1D2F"/>
          <w:sz w:val="28"/>
        </w:rPr>
        <w:t>4. PREVENTION &amp; HEALING RECORDS WORKSPACE AUDIT</w:t>
      </w:r>
    </w:p>
    <w:p>
      <w:pPr>
        <w:spacing w:after="120"/>
      </w:pPr>
      <w:r>
        <w:rPr>
          <w:rFonts w:ascii="Arial" w:hAnsi="Arial"/>
          <w:color w:val="1E293B"/>
          <w:sz w:val="19"/>
        </w:rPr>
        <w:t>Across Phases 1 through 5, significant engineering was focused on the Prevention &amp; Family Healing records workspace to transition historical Excel records into a secure relational structure without compromising data sovereignty or privacy. Key accomplishments include:</w:t>
      </w:r>
    </w:p>
    <w:p>
      <w:pPr>
        <w:spacing w:after="120"/>
      </w:pPr>
      <w:r>
        <w:rPr>
          <w:rFonts w:ascii="Arial" w:hAnsi="Arial"/>
          <w:b/>
          <w:color w:val="1E293B"/>
          <w:sz w:val="19"/>
        </w:rPr>
        <w:t xml:space="preserve">3-Tier Duplicate Protection Engine: </w:t>
      </w:r>
      <w:r>
        <w:rPr>
          <w:rFonts w:ascii="Arial" w:hAnsi="Arial"/>
          <w:color w:val="1E293B"/>
          <w:sz w:val="19"/>
        </w:rPr>
        <w:t>In Phase 5 (commit 0746579), the duplicate detection algorithm was overhauled into a multi-factor engine. Rather than treating identical client names or phone numbers as automatic duplicates (which improperly suppressed valid repeat community assistance), the system distinguishes between: (a) Exact Duplicate Submission, (b) Legitimate Repeat Assistance for Same Family, and (c) Distinct Individual with Similar Name. Suspected records are routed to an administrative Reconciliation Review Queue with complete provenance audit trails.</w:t>
      </w:r>
    </w:p>
    <w:p>
      <w:pPr>
        <w:spacing w:after="120"/>
      </w:pPr>
      <w:r>
        <w:rPr>
          <w:rFonts w:ascii="Arial" w:hAnsi="Arial"/>
          <w:b/>
          <w:color w:val="1E293B"/>
          <w:sz w:val="19"/>
        </w:rPr>
        <w:t xml:space="preserve">Staff Login Quarantine Safeguard: </w:t>
      </w:r>
      <w:r>
        <w:rPr>
          <w:rFonts w:ascii="Arial" w:hAnsi="Arial"/>
          <w:color w:val="1E293B"/>
          <w:sz w:val="19"/>
        </w:rPr>
        <w:t>All historical staff records parsed from CRBCL spreadsheets remain strictly in an INACTIVE state. No active user login credentials, JWT sessions, or PIN accounts are created without explicit administrative activation and credential distribution by the CRBCL System Administrator.</w:t>
      </w:r>
    </w:p>
    <w:p>
      <w:pPr>
        <w:spacing w:after="120"/>
      </w:pPr>
      <w:r>
        <w:rPr>
          <w:rFonts w:ascii="Arial" w:hAnsi="Arial"/>
          <w:b/>
          <w:color w:val="1E293B"/>
          <w:sz w:val="19"/>
        </w:rPr>
        <w:t xml:space="preserve">Zero Real Data In Production: </w:t>
      </w:r>
      <w:r>
        <w:rPr>
          <w:rFonts w:ascii="Arial" w:hAnsi="Arial"/>
          <w:color w:val="1E293B"/>
          <w:sz w:val="19"/>
        </w:rPr>
        <w:t>Real community Excel workbooks were safely validated in isolated quarantine environments, but live production execution of the bulk database import has been intentionally disabled. All staging, browser UAT, and end-to-end testing utilizes synthetic, de-identified datasets, ensuring 100% OCAP compliance.</w:t>
      </w:r>
    </w:p>
    <w:p>
      <w:pPr>
        <w:spacing w:before="320" w:after="120"/>
      </w:pPr>
      <w:r>
        <w:rPr>
          <w:rFonts w:ascii="Arial" w:hAnsi="Arial"/>
          <w:b/>
          <w:color w:val="6B1D2F"/>
          <w:sz w:val="28"/>
        </w:rPr>
        <w:t>5. ASK RED BEAR ASSISTIVE AI STATUS &amp; PRODUCTION REQUIREMENTS</w:t>
      </w:r>
    </w:p>
    <w:p>
      <w:pPr>
        <w:spacing w:after="120"/>
      </w:pPr>
      <w:r>
        <w:rPr>
          <w:rFonts w:ascii="Arial" w:hAnsi="Arial"/>
          <w:color w:val="1E293B"/>
          <w:sz w:val="19"/>
        </w:rPr>
        <w:t>Ask Red Bear is CRBCL's custom assistive AI assistant designed to help caseworkers query authorized case records, retrieve upcoming court dates, and transcribe voice notes in the field. To ensure complete transparency for the Board, its architecture and current state are defined below:</w:t>
      </w:r>
    </w:p>
    <w:p>
      <w:pPr>
        <w:spacing w:after="120"/>
      </w:pPr>
      <w:r>
        <w:rPr>
          <w:rFonts w:ascii="Arial" w:hAnsi="Arial"/>
          <w:b/>
          <w:color w:val="1E293B"/>
          <w:sz w:val="19"/>
        </w:rPr>
        <w:t xml:space="preserve">Security &amp; Redaction Controls: </w:t>
      </w:r>
      <w:r>
        <w:rPr>
          <w:rFonts w:ascii="Arial" w:hAnsi="Arial"/>
          <w:color w:val="1E293B"/>
          <w:sz w:val="19"/>
        </w:rPr>
        <w:t>Ask Red Bear operates behind a mandatory Authorization-First Context Manager. Before an AI prompt is processed, the system queries the caseworker's active permissions and explicit Case Restrictions. If a caseworker is restricted from Case #104, the AI context builder completely excludes Case #104 data from the model's memory. Furthermore, sensitive fields (child medical diagnoses, reporter contact details, and financial account numbers) are automatically redacted prior to prompt ingestion.</w:t>
      </w:r>
    </w:p>
    <w:p>
      <w:pPr>
        <w:spacing w:after="120"/>
      </w:pPr>
      <w:r>
        <w:rPr>
          <w:rFonts w:ascii="Arial" w:hAnsi="Arial"/>
          <w:b/>
          <w:color w:val="1E293B"/>
          <w:sz w:val="19"/>
        </w:rPr>
        <w:t xml:space="preserve">Voice Dictation Input Aid: </w:t>
      </w:r>
      <w:r>
        <w:rPr>
          <w:rFonts w:ascii="Arial" w:hAnsi="Arial"/>
          <w:color w:val="1E293B"/>
          <w:sz w:val="19"/>
        </w:rPr>
        <w:t>Field workers can dictate notes using their device microphone. Crucially, transcription is engineered as an input aid only: speech-to-text audio is transcribed into text in memory and placed in the user's input box for explicit human review and editing. Audio is never saved as a case note automatically, preventing unreviewed AI-generated records.</w:t>
      </w:r>
    </w:p>
    <w:p>
      <w:pPr>
        <w:spacing w:after="120"/>
      </w:pPr>
      <w:r>
        <w:rPr>
          <w:rFonts w:ascii="Arial" w:hAnsi="Arial"/>
          <w:b/>
          <w:color w:val="1E293B"/>
          <w:sz w:val="19"/>
        </w:rPr>
        <w:t xml:space="preserve">Current Operational State (Stubbed LLM): </w:t>
      </w:r>
      <w:r>
        <w:rPr>
          <w:rFonts w:ascii="Arial" w:hAnsi="Arial"/>
          <w:color w:val="1E293B"/>
          <w:sz w:val="19"/>
        </w:rPr>
        <w:t>In the current code implementation, Ask Red Bear's backend completion engine is backed by a simulated provider (FakeAiProvider). Live LLM completion (via Anthropic Claude 3.5 Sonnet, Azure OpenAI, or a self-hosted Canadian sovereign model) has not been provisioned with live API keys on the production server. This intentional design prevents uncontrolled API cost accumulation and ensures Board review before live third-party cloud AI processing is activated.</w:t>
      </w:r>
    </w:p>
    <w:p>
      <w:pPr>
        <w:spacing w:before="320" w:after="120"/>
      </w:pPr>
      <w:r>
        <w:rPr>
          <w:rFonts w:ascii="Arial" w:hAnsi="Arial"/>
          <w:b/>
          <w:color w:val="6B1D2F"/>
          <w:sz w:val="28"/>
        </w:rPr>
        <w:t>6. WEB APPLICATION &amp; FLUTTER MOBILE APP STATUS</w:t>
      </w:r>
    </w:p>
    <w:p>
      <w:pPr>
        <w:spacing w:after="120"/>
      </w:pPr>
      <w:r>
        <w:rPr>
          <w:rFonts w:ascii="Arial" w:hAnsi="Arial"/>
          <w:color w:val="1E293B"/>
          <w:sz w:val="19"/>
        </w:rPr>
        <w:t>The web application (React 18 single-page application) is currently deployed to production hosting at https://genserver.online. The site provides full administrative navigation, dashboard layouts, data visualization, and form components. Certain dynamic components require live backend API endpoint re-alignment following recent Railway routing updates.</w:t>
      </w:r>
    </w:p>
    <w:p>
      <w:pPr>
        <w:spacing w:after="120"/>
      </w:pPr>
      <w:r>
        <w:rPr>
          <w:rFonts w:ascii="Arial" w:hAnsi="Arial"/>
          <w:color w:val="1E293B"/>
          <w:sz w:val="19"/>
        </w:rPr>
        <w:t>The mobile application (Flutter / Dart) is engineered specifically for frontline caseworkers operating in rural Saskatchewan with intermittent cellular connectivity. It features a complete SQLite local database schema, encrypted biometric login (fingerprint/FaceID), voice recording capture, and an outbox synchronization engine. The mobile codebase compiles cleanly for Android, iOS, and Web preview targets, but enterprise MDM (Mobile Device Management) app store distribution requires CRBCL Apple Developer and Google Play enterprise account provisioning.</w:t>
      </w:r>
    </w:p>
    <w:p>
      <w:pPr>
        <w:spacing w:before="320" w:after="120"/>
      </w:pPr>
      <w:r>
        <w:rPr>
          <w:rFonts w:ascii="Arial" w:hAnsi="Arial"/>
          <w:b/>
          <w:color w:val="6B1D2F"/>
          <w:sz w:val="28"/>
        </w:rPr>
        <w:t>7. OUTSTANDING STRATEGIC &amp; GOVERNANCE DECISIONS REQUIRED</w:t>
      </w:r>
    </w:p>
    <w:p>
      <w:pPr>
        <w:spacing w:after="120"/>
      </w:pPr>
      <w:r>
        <w:rPr>
          <w:rFonts w:ascii="Arial" w:hAnsi="Arial"/>
          <w:color w:val="1E293B"/>
          <w:sz w:val="19"/>
        </w:rPr>
        <w:t>To achieve full operational production go-live, the following strategic decisions must be formally approved by the CRBCL Board of Directors and Executive Leadership:</w:t>
      </w:r>
    </w:p>
    <w:p>
      <w:pPr>
        <w:spacing w:after="120"/>
      </w:pPr>
      <w:r>
        <w:rPr>
          <w:rFonts w:ascii="Arial" w:hAnsi="Arial"/>
          <w:b/>
          <w:color w:val="1E293B"/>
          <w:sz w:val="19"/>
        </w:rPr>
        <w:t xml:space="preserve">• </w:t>
      </w:r>
      <w:r>
        <w:rPr>
          <w:rFonts w:ascii="Arial" w:hAnsi="Arial"/>
          <w:color w:val="1E293B"/>
          <w:sz w:val="19"/>
        </w:rPr>
        <w:t>Decision 1 — Sovereign Hosting Infrastructure: Determine whether production data will remain hosted on modern cloud infrastructure (Railway / DigitalOcean with Canadian data region selection) or transitioned to dedicated on-premise servers at Cowessess First Nation.</w:t>
      </w:r>
    </w:p>
    <w:p>
      <w:pPr>
        <w:spacing w:after="120"/>
      </w:pPr>
      <w:r>
        <w:rPr>
          <w:rFonts w:ascii="Arial" w:hAnsi="Arial"/>
          <w:b/>
          <w:color w:val="1E293B"/>
          <w:sz w:val="19"/>
        </w:rPr>
        <w:t xml:space="preserve">• </w:t>
      </w:r>
      <w:r>
        <w:rPr>
          <w:rFonts w:ascii="Arial" w:hAnsi="Arial"/>
          <w:color w:val="1E293B"/>
          <w:sz w:val="19"/>
        </w:rPr>
        <w:t>Decision 2 — AI Provider Selection &amp; Token Budget: Formally select the underlying LLM provider for Ask Red Bear (Recommended: Anthropic Claude 3.5 Sonnet hosted in AWS Canada Central, or a self-hosted sovereign Llama-3 instance) and approve an initial monthly AI token budget ($250–$500 CAD/month).</w:t>
      </w:r>
    </w:p>
    <w:p>
      <w:pPr>
        <w:spacing w:after="120"/>
      </w:pPr>
      <w:r>
        <w:rPr>
          <w:rFonts w:ascii="Arial" w:hAnsi="Arial"/>
          <w:b/>
          <w:color w:val="1E293B"/>
          <w:sz w:val="19"/>
        </w:rPr>
        <w:t xml:space="preserve">• </w:t>
      </w:r>
      <w:r>
        <w:rPr>
          <w:rFonts w:ascii="Arial" w:hAnsi="Arial"/>
          <w:color w:val="1E293B"/>
          <w:sz w:val="19"/>
        </w:rPr>
        <w:t>Decision 3 — SMS &amp; Fleet Telematics Gateway Contracts: Authorize enterprise vendor contracts for SMS notifications (Twilio Canada) and GPS fleet tracking (Geotab / Samsara API integration) to enable live automated caregiver alerts and vehicle dispatch.</w:t>
      </w:r>
    </w:p>
    <w:p>
      <w:pPr>
        <w:spacing w:after="120"/>
      </w:pPr>
      <w:r>
        <w:rPr>
          <w:rFonts w:ascii="Arial" w:hAnsi="Arial"/>
          <w:b/>
          <w:color w:val="1E293B"/>
          <w:sz w:val="19"/>
        </w:rPr>
        <w:t xml:space="preserve">• </w:t>
      </w:r>
      <w:r>
        <w:rPr>
          <w:rFonts w:ascii="Arial" w:hAnsi="Arial"/>
          <w:color w:val="1E293B"/>
          <w:sz w:val="19"/>
        </w:rPr>
        <w:t>Decision 4 — Real Historical Data Migration Authorization: Formally approve the protocol, timeline, and data clean-up procedures for executing the real historical Excel data migration following final UAT sign-off.</w:t>
      </w:r>
    </w:p>
    <w:p>
      <w:pPr>
        <w:spacing w:before="320" w:after="120"/>
      </w:pPr>
      <w:r>
        <w:rPr>
          <w:rFonts w:ascii="Arial" w:hAnsi="Arial"/>
          <w:b/>
          <w:color w:val="6B1D2F"/>
          <w:sz w:val="28"/>
        </w:rPr>
        <w:t>8. PRIORITIZED OPERATIONAL COMPLETION ROADMAP</w:t>
      </w:r>
    </w:p>
    <w:p>
      <w:pPr>
        <w:spacing w:after="120"/>
      </w:pPr>
      <w:r>
        <w:rPr>
          <w:rFonts w:ascii="Arial" w:hAnsi="Arial"/>
          <w:color w:val="1E293B"/>
          <w:sz w:val="19"/>
        </w:rPr>
        <w:t>Rather than spending 12 to 18 months and hundreds of thousands of dollars re-architecting a new platform, the existing platform can achieve full operational deployment in 4 structured phases over 10 to 12 weeks:</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7"/>
              </w:rPr>
              <w:t>Phase &amp; Focus</w:t>
            </w:r>
          </w:p>
        </w:tc>
        <w:tc>
          <w:tcPr>
            <w:tcW w:type="dxa" w:w="3312"/>
            <w:shd w:fill="#6B1D2F"/>
          </w:tcPr>
          <w:p>
            <w:r>
              <w:rPr>
                <w:b/>
                <w:color w:val="FFFFFF"/>
                <w:sz w:val="17"/>
              </w:rPr>
              <w:t>Key Deliverables &amp; Milestones</w:t>
            </w:r>
          </w:p>
        </w:tc>
        <w:tc>
          <w:tcPr>
            <w:tcW w:type="dxa" w:w="3312"/>
            <w:shd w:fill="#6B1D2F"/>
          </w:tcPr>
          <w:p>
            <w:r>
              <w:rPr>
                <w:b/>
                <w:color w:val="FFFFFF"/>
                <w:sz w:val="17"/>
              </w:rPr>
              <w:t>Target Duration</w:t>
            </w:r>
          </w:p>
        </w:tc>
      </w:tr>
      <w:tr>
        <w:tc>
          <w:tcPr>
            <w:tcW w:type="dxa" w:w="3312"/>
            <w:shd w:fill="#F8FAFC"/>
            <w:tcMar>
              <w:top w:w="60" w:type="dxa"/>
              <w:bottom w:w="60" w:type="dxa"/>
              <w:left w:w="90" w:type="dxa"/>
              <w:right w:w="90" w:type="dxa"/>
            </w:tcMar>
          </w:tcPr>
          <w:p>
            <w:r>
              <w:rPr>
                <w:b/>
                <w:sz w:val="16"/>
              </w:rPr>
              <w:t>Phase 1: Production Pipeline &amp; Endpoint Sync</w:t>
            </w:r>
          </w:p>
        </w:tc>
        <w:tc>
          <w:tcPr>
            <w:tcW w:type="dxa" w:w="3312"/>
            <w:shd w:fill="#F8FAFC"/>
            <w:tcMar>
              <w:top w:w="60" w:type="dxa"/>
              <w:bottom w:w="60" w:type="dxa"/>
              <w:left w:w="90" w:type="dxa"/>
              <w:right w:w="90" w:type="dxa"/>
            </w:tcMar>
          </w:tcPr>
          <w:p>
            <w:r>
              <w:rPr>
                <w:sz w:val="16"/>
              </w:rPr>
              <w:t>Finalize Railway CORS/DNS synchronization, verify all 211 endpoints on live domain, run automated synthetic end-to-end smoke tests.</w:t>
            </w:r>
          </w:p>
        </w:tc>
        <w:tc>
          <w:tcPr>
            <w:tcW w:type="dxa" w:w="3312"/>
            <w:shd w:fill="#F8FAFC"/>
            <w:tcMar>
              <w:top w:w="60" w:type="dxa"/>
              <w:bottom w:w="60" w:type="dxa"/>
              <w:left w:w="90" w:type="dxa"/>
              <w:right w:w="90" w:type="dxa"/>
            </w:tcMar>
          </w:tcPr>
          <w:p>
            <w:r>
              <w:rPr>
                <w:sz w:val="16"/>
              </w:rPr>
              <w:t>Weeks 1–3</w:t>
            </w:r>
          </w:p>
        </w:tc>
      </w:tr>
      <w:tr>
        <w:tc>
          <w:tcPr>
            <w:tcW w:type="dxa" w:w="3312"/>
            <w:shd w:fill="FFFFFF"/>
            <w:tcMar>
              <w:top w:w="60" w:type="dxa"/>
              <w:bottom w:w="60" w:type="dxa"/>
              <w:left w:w="90" w:type="dxa"/>
              <w:right w:w="90" w:type="dxa"/>
            </w:tcMar>
          </w:tcPr>
          <w:p>
            <w:r>
              <w:rPr>
                <w:b/>
                <w:sz w:val="16"/>
              </w:rPr>
              <w:t>Phase 2: Live LLM &amp; Hardware Integration</w:t>
            </w:r>
          </w:p>
        </w:tc>
        <w:tc>
          <w:tcPr>
            <w:tcW w:type="dxa" w:w="3312"/>
            <w:shd w:fill="FFFFFF"/>
            <w:tcMar>
              <w:top w:w="60" w:type="dxa"/>
              <w:bottom w:w="60" w:type="dxa"/>
              <w:left w:w="90" w:type="dxa"/>
              <w:right w:w="90" w:type="dxa"/>
            </w:tcMar>
          </w:tcPr>
          <w:p>
            <w:r>
              <w:rPr>
                <w:sz w:val="16"/>
              </w:rPr>
              <w:t>Provision sovereign Claude 3.5 Sonnet API keys, connect Twilio SMS alerts, configure vehicle fleet telematics webhooks.</w:t>
            </w:r>
          </w:p>
        </w:tc>
        <w:tc>
          <w:tcPr>
            <w:tcW w:type="dxa" w:w="3312"/>
            <w:shd w:fill="FFFFFF"/>
            <w:tcMar>
              <w:top w:w="60" w:type="dxa"/>
              <w:bottom w:w="60" w:type="dxa"/>
              <w:left w:w="90" w:type="dxa"/>
              <w:right w:w="90" w:type="dxa"/>
            </w:tcMar>
          </w:tcPr>
          <w:p>
            <w:r>
              <w:rPr>
                <w:sz w:val="16"/>
              </w:rPr>
              <w:t>Weeks 4–6</w:t>
            </w:r>
          </w:p>
        </w:tc>
      </w:tr>
      <w:tr>
        <w:tc>
          <w:tcPr>
            <w:tcW w:type="dxa" w:w="3312"/>
            <w:shd w:fill="#F8FAFC"/>
            <w:tcMar>
              <w:top w:w="60" w:type="dxa"/>
              <w:bottom w:w="60" w:type="dxa"/>
              <w:left w:w="90" w:type="dxa"/>
              <w:right w:w="90" w:type="dxa"/>
            </w:tcMar>
          </w:tcPr>
          <w:p>
            <w:r>
              <w:rPr>
                <w:b/>
                <w:sz w:val="16"/>
              </w:rPr>
              <w:t>Phase 3: Frontline Caseworker UAT &amp; Training</w:t>
            </w:r>
          </w:p>
        </w:tc>
        <w:tc>
          <w:tcPr>
            <w:tcW w:type="dxa" w:w="3312"/>
            <w:shd w:fill="#F8FAFC"/>
            <w:tcMar>
              <w:top w:w="60" w:type="dxa"/>
              <w:bottom w:w="60" w:type="dxa"/>
              <w:left w:w="90" w:type="dxa"/>
              <w:right w:w="90" w:type="dxa"/>
            </w:tcMar>
          </w:tcPr>
          <w:p>
            <w:r>
              <w:rPr>
                <w:sz w:val="16"/>
              </w:rPr>
              <w:t>Conduct structured, role-based UAT workshops with designated CRBCL department supervisors using synthetic case files; refine UI workflows.</w:t>
            </w:r>
          </w:p>
        </w:tc>
        <w:tc>
          <w:tcPr>
            <w:tcW w:type="dxa" w:w="3312"/>
            <w:shd w:fill="#F8FAFC"/>
            <w:tcMar>
              <w:top w:w="60" w:type="dxa"/>
              <w:bottom w:w="60" w:type="dxa"/>
              <w:left w:w="90" w:type="dxa"/>
              <w:right w:w="90" w:type="dxa"/>
            </w:tcMar>
          </w:tcPr>
          <w:p>
            <w:r>
              <w:rPr>
                <w:sz w:val="16"/>
              </w:rPr>
              <w:t>Weeks 7–9</w:t>
            </w:r>
          </w:p>
        </w:tc>
      </w:tr>
      <w:tr>
        <w:tc>
          <w:tcPr>
            <w:tcW w:type="dxa" w:w="3312"/>
            <w:shd w:fill="FFFFFF"/>
            <w:tcMar>
              <w:top w:w="60" w:type="dxa"/>
              <w:bottom w:w="60" w:type="dxa"/>
              <w:left w:w="90" w:type="dxa"/>
              <w:right w:w="90" w:type="dxa"/>
            </w:tcMar>
          </w:tcPr>
          <w:p>
            <w:r>
              <w:rPr>
                <w:b/>
                <w:sz w:val="16"/>
              </w:rPr>
              <w:t>Phase 4: Historical Migration &amp; Operational Go-Live</w:t>
            </w:r>
          </w:p>
        </w:tc>
        <w:tc>
          <w:tcPr>
            <w:tcW w:type="dxa" w:w="3312"/>
            <w:shd w:fill="FFFFFF"/>
            <w:tcMar>
              <w:top w:w="60" w:type="dxa"/>
              <w:bottom w:w="60" w:type="dxa"/>
              <w:left w:w="90" w:type="dxa"/>
              <w:right w:w="90" w:type="dxa"/>
            </w:tcMar>
          </w:tcPr>
          <w:p>
            <w:r>
              <w:rPr>
                <w:sz w:val="16"/>
              </w:rPr>
              <w:t>Execute controlled historical Excel data import, issue active credentials and 6-digit PINs to trained staff, transition to full live operations.</w:t>
            </w:r>
          </w:p>
        </w:tc>
        <w:tc>
          <w:tcPr>
            <w:tcW w:type="dxa" w:w="3312"/>
            <w:shd w:fill="FFFFFF"/>
            <w:tcMar>
              <w:top w:w="60" w:type="dxa"/>
              <w:bottom w:w="60" w:type="dxa"/>
              <w:left w:w="90" w:type="dxa"/>
              <w:right w:w="90" w:type="dxa"/>
            </w:tcMar>
          </w:tcPr>
          <w:p>
            <w:r>
              <w:rPr>
                <w:sz w:val="16"/>
              </w:rPr>
              <w:t>Weeks 10–12</w:t>
            </w:r>
          </w:p>
        </w:tc>
      </w:tr>
    </w:tbl>
    <w:p>
      <w:pPr>
        <w:spacing w:after="3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FOR CRBCL LEADERSHIP &amp; BOARD OF DIRECTORS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CHIEF RED BEAR CHILDREN'S LODGE — BOARD DEVELOPMENT PROGRESS REPORT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