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6B1D2F"/>
          <w:sz w:val="38"/>
        </w:rPr>
        <w:t>CHIEF RED BEAR CHILDREN'S LODGE</w:t>
        <w:br/>
        <w:t>FEATURE COMPLETION &amp; REMAINING WORK REGISTER</w:t>
      </w:r>
    </w:p>
    <w:p>
      <w:pPr>
        <w:jc w:val="center"/>
      </w:pPr>
      <w:r>
        <w:rPr>
          <w:rFonts w:ascii="Arial" w:hAnsi="Arial"/>
          <w:b/>
          <w:color w:val="C98A2C"/>
          <w:sz w:val="22"/>
        </w:rPr>
        <w:t>Comprehensive Feature-by-Feature Matrix across 36 Platform Capabilities</w:t>
        <w:br/>
        <w:t>Revision 2 — Exhaustive Evidence-Based Implementation Audit</w:t>
      </w:r>
    </w:p>
    <w:p>
      <w:pPr>
        <w:jc w:val="center"/>
      </w:pPr>
      <w:r>
        <w:rPr>
          <w:rFonts w:ascii="Arial" w:hAnsi="Arial"/>
          <w:color w:val="64748B"/>
          <w:sz w:val="18"/>
        </w:rPr>
        <w:t>Client Organization: Chief Red Bear Children's Lodge / Cowessess First Nation, Saskatchewan, Canada</w:t>
        <w:br/>
        <w:t>Technical Baseline: Post-Phase 5 Hardening | Git Commit HEAD: 07465792d87bdbbeaf6b184fd4051f3073dbc890</w:t>
        <w:br/>
        <w:t>Branch: main | Repository: C:\Users\Shilley Pc\crbcl | Remote: https://github.com/innovatorledger-web/crbcl</w:t>
        <w:br/>
        <w:t>Audience: CRBCL Board of Directors, Executive Leadership, Legal Advisors, and Technical Evaluators</w:t>
      </w:r>
    </w:p>
    <w:p>
      <w:pPr>
        <w:spacing w:after="200"/>
      </w:pPr>
    </w:p>
    <w:p>
      <w:pPr>
        <w:spacing w:after="80"/>
      </w:pPr>
      <w:r>
        <w:rPr>
          <w:rFonts w:ascii="Arial" w:hAnsi="Arial"/>
          <w:color w:val="1E293B"/>
          <w:sz w:val="19"/>
        </w:rPr>
        <w:t>FEATURE AUDIT METHODOLOGY &amp; STATUS DEFINITIONS:</w:t>
      </w:r>
    </w:p>
    <w:p>
      <w:pPr>
        <w:spacing w:after="80"/>
      </w:pPr>
      <w:r>
        <w:rPr>
          <w:rFonts w:ascii="Arial" w:hAnsi="Arial"/>
          <w:color w:val="1E293B"/>
          <w:sz w:val="19"/>
        </w:rPr>
        <w:t>To ensure uncompromising transparency, every capability in this register is evaluated against strict physical evidence: (1) Source Code Implementation (presence of models, endpoints, and UI components); (2) Automated Test Execution (unit/integration test passes); (3) Build Verification (successful frontend and backend compilation); and (4) Authenticated Live Verification (operational validation on the live production website https://genserver.online). Every feature is classified strictly under one of eight mandatory status tiers:</w:t>
      </w:r>
    </w:p>
    <w:p>
      <w:pPr>
        <w:spacing w:after="80"/>
      </w:pPr>
      <w:r>
        <w:rPr>
          <w:rFonts w:ascii="Arial" w:hAnsi="Arial"/>
          <w:color w:val="1E293B"/>
          <w:sz w:val="19"/>
        </w:rPr>
        <w:t>1. LIVE VERIFIED: Confirmed operational on production website via authenticated user session.</w:t>
      </w:r>
    </w:p>
    <w:p>
      <w:pPr>
        <w:spacing w:after="80"/>
      </w:pPr>
      <w:r>
        <w:rPr>
          <w:rFonts w:ascii="Arial" w:hAnsi="Arial"/>
          <w:color w:val="1E293B"/>
          <w:sz w:val="19"/>
        </w:rPr>
        <w:t>2. PRODUCTION DEPLOYED — UAT PENDING: Deployed to cloud infrastructure; awaiting formal user acceptance testing.</w:t>
      </w:r>
    </w:p>
    <w:p>
      <w:pPr>
        <w:spacing w:after="80"/>
      </w:pPr>
      <w:r>
        <w:rPr>
          <w:rFonts w:ascii="Arial" w:hAnsi="Arial"/>
          <w:color w:val="1E293B"/>
          <w:sz w:val="19"/>
        </w:rPr>
        <w:t>3. SOURCE IMPLEMENTED — TESTED: Fully implemented in source code with passing automated test suites; deployment pending.</w:t>
      </w:r>
    </w:p>
    <w:p>
      <w:pPr>
        <w:spacing w:after="80"/>
      </w:pPr>
      <w:r>
        <w:rPr>
          <w:rFonts w:ascii="Arial" w:hAnsi="Arial"/>
          <w:color w:val="1E293B"/>
          <w:sz w:val="19"/>
        </w:rPr>
        <w:t>4. SOURCE IMPLEMENTED — BUILD VERIFIED: Implemented in source code; verified via build pipeline; automated tests partial.</w:t>
      </w:r>
    </w:p>
    <w:p>
      <w:pPr>
        <w:spacing w:after="80"/>
      </w:pPr>
      <w:r>
        <w:rPr>
          <w:rFonts w:ascii="Arial" w:hAnsi="Arial"/>
          <w:color w:val="1E293B"/>
          <w:sz w:val="19"/>
        </w:rPr>
        <w:t>5. PARTIALLY IMPLEMENTED: Core architectural foundation built, but specific sub-workflows or integrations remain incomplete.</w:t>
      </w:r>
    </w:p>
    <w:p>
      <w:pPr>
        <w:spacing w:after="80"/>
      </w:pPr>
      <w:r>
        <w:rPr>
          <w:rFonts w:ascii="Arial" w:hAnsi="Arial"/>
          <w:color w:val="1E293B"/>
          <w:sz w:val="19"/>
        </w:rPr>
        <w:t>6. STUBBED / NOT LIVE: Interface exists or mock provider returns static data; live external engine is not operational.</w:t>
      </w:r>
    </w:p>
    <w:p>
      <w:pPr>
        <w:spacing w:after="80"/>
      </w:pPr>
      <w:r>
        <w:rPr>
          <w:rFonts w:ascii="Arial" w:hAnsi="Arial"/>
          <w:color w:val="1E293B"/>
          <w:sz w:val="19"/>
        </w:rPr>
        <w:t>7. PLANNED / NOT IMPLEMENTED: Architectural requirement documented; physical hardware, contract, or code unbuilt.</w:t>
      </w:r>
    </w:p>
    <w:p>
      <w:pPr>
        <w:spacing w:after="80"/>
      </w:pPr>
      <w:r>
        <w:rPr>
          <w:rFonts w:ascii="Arial" w:hAnsi="Arial"/>
          <w:color w:val="1E293B"/>
          <w:sz w:val="19"/>
        </w:rPr>
        <w:t>8. DECISION PENDING: Implementation requires formal policy, cultural, or financial governance approval from CRBCL leadership.</w:t>
      </w:r>
    </w:p>
    <w:p>
      <w:pPr>
        <w:spacing w:before="240" w:after="80"/>
      </w:pPr>
      <w:r>
        <w:rPr>
          <w:rFonts w:ascii="Arial" w:hAnsi="Arial"/>
          <w:b/>
          <w:color w:val="6B1D2F"/>
          <w:sz w:val="26"/>
        </w:rPr>
        <w:t>COMPREHENSIVE FEATURE-BY-FEATURE REGISTER (36 CAPABILITIES)</w:t>
      </w:r>
    </w:p>
    <w:p>
      <w:pPr>
        <w:spacing w:after="80"/>
      </w:pPr>
      <w:r>
        <w:rPr>
          <w:rFonts w:ascii="Arial" w:hAnsi="Arial"/>
          <w:color w:val="1E293B"/>
          <w:sz w:val="19"/>
        </w:rPr>
        <w:t>Below is the complete, audited register of all 36 platform functional capabilities: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6B1D2F"/>
            <w:tcMar>
              <w:top w:w="60" w:type="dxa"/>
              <w:bottom w:w="60" w:type="dxa"/>
              <w:left w:w="60" w:type="dxa"/>
              <w:right w:w="60" w:type="dxa"/>
            </w:tcMar>
          </w:tcPr>
          <w:p>
            <w:r>
              <w:rPr>
                <w:b/>
                <w:color w:val="FFFFFF"/>
                <w:sz w:val="16"/>
              </w:rPr>
              <w:t>Feature &amp; Dept</w:t>
            </w:r>
          </w:p>
        </w:tc>
        <w:tc>
          <w:tcPr>
            <w:tcW w:type="dxa" w:w="1656"/>
            <w:shd w:fill="#6B1D2F"/>
            <w:tcMar>
              <w:top w:w="60" w:type="dxa"/>
              <w:bottom w:w="60" w:type="dxa"/>
              <w:left w:w="60" w:type="dxa"/>
              <w:right w:w="60" w:type="dxa"/>
            </w:tcMar>
          </w:tcPr>
          <w:p>
            <w:r>
              <w:rPr>
                <w:b/>
                <w:color w:val="FFFFFF"/>
                <w:sz w:val="16"/>
              </w:rPr>
              <w:t>Current Status</w:t>
            </w:r>
          </w:p>
        </w:tc>
        <w:tc>
          <w:tcPr>
            <w:tcW w:type="dxa" w:w="1656"/>
            <w:shd w:fill="#6B1D2F"/>
            <w:tcMar>
              <w:top w:w="60" w:type="dxa"/>
              <w:bottom w:w="60" w:type="dxa"/>
              <w:left w:w="60" w:type="dxa"/>
              <w:right w:w="60" w:type="dxa"/>
            </w:tcMar>
          </w:tcPr>
          <w:p>
            <w:r>
              <w:rPr>
                <w:b/>
                <w:color w:val="FFFFFF"/>
                <w:sz w:val="16"/>
              </w:rPr>
              <w:t>Implementation Completed</w:t>
            </w:r>
          </w:p>
        </w:tc>
        <w:tc>
          <w:tcPr>
            <w:tcW w:type="dxa" w:w="1656"/>
            <w:shd w:fill="#6B1D2F"/>
            <w:tcMar>
              <w:top w:w="60" w:type="dxa"/>
              <w:bottom w:w="60" w:type="dxa"/>
              <w:left w:w="60" w:type="dxa"/>
              <w:right w:w="60" w:type="dxa"/>
            </w:tcMar>
          </w:tcPr>
          <w:p>
            <w:r>
              <w:rPr>
                <w:b/>
                <w:color w:val="FFFFFF"/>
                <w:sz w:val="16"/>
              </w:rPr>
              <w:t>Technical &amp; Verification Evidence</w:t>
            </w:r>
          </w:p>
        </w:tc>
        <w:tc>
          <w:tcPr>
            <w:tcW w:type="dxa" w:w="1656"/>
            <w:shd w:fill="#6B1D2F"/>
            <w:tcMar>
              <w:top w:w="60" w:type="dxa"/>
              <w:bottom w:w="60" w:type="dxa"/>
              <w:left w:w="60" w:type="dxa"/>
              <w:right w:w="60" w:type="dxa"/>
            </w:tcMar>
          </w:tcPr>
          <w:p>
            <w:r>
              <w:rPr>
                <w:b/>
                <w:color w:val="FFFFFF"/>
                <w:sz w:val="16"/>
              </w:rPr>
              <w:t>Remaining Work</w:t>
            </w:r>
          </w:p>
        </w:tc>
        <w:tc>
          <w:tcPr>
            <w:tcW w:type="dxa" w:w="1656"/>
            <w:shd w:fill="#6B1D2F"/>
            <w:tcMar>
              <w:top w:w="60" w:type="dxa"/>
              <w:bottom w:w="60" w:type="dxa"/>
              <w:left w:w="60" w:type="dxa"/>
              <w:right w:w="60" w:type="dxa"/>
            </w:tcMar>
          </w:tcPr>
          <w:p>
            <w:r>
              <w:rPr>
                <w:b/>
                <w:color w:val="FFFFFF"/>
                <w:sz w:val="16"/>
              </w:rPr>
              <w:t>Dependencies &amp; CRBCL Approval</w:t>
            </w:r>
          </w:p>
        </w:tc>
      </w:tr>
      <w:tr>
        <w:tc>
          <w:tcPr>
            <w:tcW w:type="dxa" w:w="1656"/>
            <w:shd w:fill="FFFFFF"/>
            <w:tcMar>
              <w:top w:w="40" w:type="dxa"/>
              <w:bottom w:w="40" w:type="dxa"/>
              <w:left w:w="50" w:type="dxa"/>
              <w:right w:w="50" w:type="dxa"/>
            </w:tcMar>
          </w:tcPr>
          <w:p>
            <w:r>
              <w:rPr>
                <w:b/>
                <w:sz w:val="14"/>
              </w:rPr>
              <w:t>Master Person Demographic Index</w:t>
              <w:br/>
              <w:t>Dept: Master Identity</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Decoupled biological Person from administrative Client. Sequential numeric ID generator for frontline lookup.</w:t>
            </w:r>
          </w:p>
        </w:tc>
        <w:tc>
          <w:tcPr>
            <w:tcW w:type="dxa" w:w="1656"/>
            <w:shd w:fill="FFFFFF"/>
            <w:tcMar>
              <w:top w:w="40" w:type="dxa"/>
              <w:bottom w:w="40" w:type="dxa"/>
              <w:left w:w="50" w:type="dxa"/>
              <w:right w:w="50" w:type="dxa"/>
            </w:tcMar>
          </w:tcPr>
          <w:p>
            <w:r>
              <w:rPr>
                <w:sz w:val="14"/>
              </w:rPr>
              <w:t>Tech: Models: Person, PersonIdentification, Alias. Routers: /api/v1/persons. Frontend: PersonDirectory.jsx, PersonDetail.jsx.</w:t>
              <w:br/>
              <w:br/>
              <w:t>Ver: Automated unit tests in backend/tests/test_person_identity.py. Browser UAT verified numeric ID lookup.</w:t>
            </w:r>
          </w:p>
        </w:tc>
        <w:tc>
          <w:tcPr>
            <w:tcW w:type="dxa" w:w="1656"/>
            <w:shd w:fill="FFFFFF"/>
            <w:tcMar>
              <w:top w:w="40" w:type="dxa"/>
              <w:bottom w:w="40" w:type="dxa"/>
              <w:left w:w="50" w:type="dxa"/>
              <w:right w:w="50" w:type="dxa"/>
            </w:tcMar>
          </w:tcPr>
          <w:p>
            <w:r>
              <w:rPr>
                <w:sz w:val="14"/>
              </w:rPr>
              <w:t>Conduct final data deduplication against legacy historical band records.</w:t>
            </w:r>
          </w:p>
        </w:tc>
        <w:tc>
          <w:tcPr>
            <w:tcW w:type="dxa" w:w="1656"/>
            <w:shd w:fill="FFFFFF"/>
            <w:tcMar>
              <w:top w:w="40" w:type="dxa"/>
              <w:bottom w:w="40" w:type="dxa"/>
              <w:left w:w="50" w:type="dxa"/>
              <w:right w:w="50" w:type="dxa"/>
            </w:tcMar>
          </w:tcPr>
          <w:p>
            <w:r>
              <w:rPr>
                <w:sz w:val="14"/>
              </w:rPr>
              <w:t>Deps: PostgreSQL sequence migration 027.</w:t>
              <w:br/>
              <w:br/>
              <w:t>Approval: Approved in initial specification; final band list validation pending.</w:t>
            </w:r>
          </w:p>
        </w:tc>
      </w:tr>
      <w:tr>
        <w:tc>
          <w:tcPr>
            <w:tcW w:type="dxa" w:w="1656"/>
            <w:shd w:fill="#F8FAFC"/>
            <w:tcMar>
              <w:top w:w="40" w:type="dxa"/>
              <w:bottom w:w="40" w:type="dxa"/>
              <w:left w:w="50" w:type="dxa"/>
              <w:right w:w="50" w:type="dxa"/>
            </w:tcMar>
          </w:tcPr>
          <w:p>
            <w:r>
              <w:rPr>
                <w:b/>
                <w:sz w:val="14"/>
              </w:rPr>
              <w:t>Client Identity &amp; Supervisor Approval</w:t>
              <w:br/>
              <w:t>Dept: Client Records</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Formal client approval queue preventing unverified creation of administrative files.</w:t>
            </w:r>
          </w:p>
        </w:tc>
        <w:tc>
          <w:tcPr>
            <w:tcW w:type="dxa" w:w="1656"/>
            <w:shd w:fill="#F8FAFC"/>
            <w:tcMar>
              <w:top w:w="40" w:type="dxa"/>
              <w:bottom w:w="40" w:type="dxa"/>
              <w:left w:w="50" w:type="dxa"/>
              <w:right w:w="50" w:type="dxa"/>
            </w:tcMar>
          </w:tcPr>
          <w:p>
            <w:r>
              <w:rPr>
                <w:sz w:val="14"/>
              </w:rPr>
              <w:t>Tech: Models: Client, ClientApproval. Routers: /api/v1/clients (25 endpoints). Migration 028.</w:t>
              <w:br/>
              <w:br/>
              <w:t>Ver: Automated workflow tests in test_client_approval.py. Verified approval state machine.</w:t>
            </w:r>
          </w:p>
        </w:tc>
        <w:tc>
          <w:tcPr>
            <w:tcW w:type="dxa" w:w="1656"/>
            <w:shd w:fill="#F8FAFC"/>
            <w:tcMar>
              <w:top w:w="40" w:type="dxa"/>
              <w:bottom w:w="40" w:type="dxa"/>
              <w:left w:w="50" w:type="dxa"/>
              <w:right w:w="50" w:type="dxa"/>
            </w:tcMar>
          </w:tcPr>
          <w:p>
            <w:r>
              <w:rPr>
                <w:sz w:val="14"/>
              </w:rPr>
              <w:t>Conduct supervisor role validation during user acceptance testing.</w:t>
            </w:r>
          </w:p>
        </w:tc>
        <w:tc>
          <w:tcPr>
            <w:tcW w:type="dxa" w:w="1656"/>
            <w:shd w:fill="#F8FAFC"/>
            <w:tcMar>
              <w:top w:w="40" w:type="dxa"/>
              <w:bottom w:w="40" w:type="dxa"/>
              <w:left w:w="50" w:type="dxa"/>
              <w:right w:w="50" w:type="dxa"/>
            </w:tcMar>
          </w:tcPr>
          <w:p>
            <w:r>
              <w:rPr>
                <w:sz w:val="14"/>
              </w:rPr>
              <w:t>Deps: Permissions: client.approve, client.status_change.</w:t>
              <w:br/>
              <w:br/>
              <w:t>Approval: Pending supervisor workflow sign-off.</w:t>
            </w:r>
          </w:p>
        </w:tc>
      </w:tr>
      <w:tr>
        <w:tc>
          <w:tcPr>
            <w:tcW w:type="dxa" w:w="1656"/>
            <w:shd w:fill="FFFFFF"/>
            <w:tcMar>
              <w:top w:w="40" w:type="dxa"/>
              <w:bottom w:w="40" w:type="dxa"/>
              <w:left w:w="50" w:type="dxa"/>
              <w:right w:w="50" w:type="dxa"/>
            </w:tcMar>
          </w:tcPr>
          <w:p>
            <w:r>
              <w:rPr>
                <w:b/>
                <w:sz w:val="14"/>
              </w:rPr>
              <w:t>Intake Triage &amp; Response Time Scoring</w:t>
              <w:br/>
              <w:t>Dept: Intake &amp; Investigations</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Intake logging with allegation categorizations, reporter confidentiality blinding, and urgency matrix.</w:t>
            </w:r>
          </w:p>
        </w:tc>
        <w:tc>
          <w:tcPr>
            <w:tcW w:type="dxa" w:w="1656"/>
            <w:shd w:fill="FFFFFF"/>
            <w:tcMar>
              <w:top w:w="40" w:type="dxa"/>
              <w:bottom w:w="40" w:type="dxa"/>
              <w:left w:w="50" w:type="dxa"/>
              <w:right w:w="50" w:type="dxa"/>
            </w:tcMar>
          </w:tcPr>
          <w:p>
            <w:r>
              <w:rPr>
                <w:sz w:val="14"/>
              </w:rPr>
              <w:t>Tech: Models: Intake, IntakeAllegation, ReporterIdentity. Routers: /api/v1/referrals (20 endpoints).</w:t>
              <w:br/>
              <w:br/>
              <w:t>Ver: Unit tests in test_intake_workflow.py. Browser testing of Intake form submission.</w:t>
            </w:r>
          </w:p>
        </w:tc>
        <w:tc>
          <w:tcPr>
            <w:tcW w:type="dxa" w:w="1656"/>
            <w:shd w:fill="FFFFFF"/>
            <w:tcMar>
              <w:top w:w="40" w:type="dxa"/>
              <w:bottom w:w="40" w:type="dxa"/>
              <w:left w:w="50" w:type="dxa"/>
              <w:right w:w="50" w:type="dxa"/>
            </w:tcMar>
          </w:tcPr>
          <w:p>
            <w:r>
              <w:rPr>
                <w:sz w:val="14"/>
              </w:rPr>
              <w:t>Frontend-backend integration verification on production URL.</w:t>
            </w:r>
          </w:p>
        </w:tc>
        <w:tc>
          <w:tcPr>
            <w:tcW w:type="dxa" w:w="1656"/>
            <w:shd w:fill="FFFFFF"/>
            <w:tcMar>
              <w:top w:w="40" w:type="dxa"/>
              <w:bottom w:w="40" w:type="dxa"/>
              <w:left w:w="50" w:type="dxa"/>
              <w:right w:w="50" w:type="dxa"/>
            </w:tcMar>
          </w:tcPr>
          <w:p>
            <w:r>
              <w:rPr>
                <w:sz w:val="14"/>
              </w:rPr>
              <w:t>Deps: Permissions: intake.create, intake.triage, intake.approve.</w:t>
              <w:br/>
              <w:br/>
              <w:t>Approval: Standard operating procedure approved by CRBCL Intake Supervisor.</w:t>
            </w:r>
          </w:p>
        </w:tc>
      </w:tr>
      <w:tr>
        <w:tc>
          <w:tcPr>
            <w:tcW w:type="dxa" w:w="1656"/>
            <w:shd w:fill="#F8FAFC"/>
            <w:tcMar>
              <w:top w:w="40" w:type="dxa"/>
              <w:bottom w:w="40" w:type="dxa"/>
              <w:left w:w="50" w:type="dxa"/>
              <w:right w:w="50" w:type="dxa"/>
            </w:tcMar>
          </w:tcPr>
          <w:p>
            <w:r>
              <w:rPr>
                <w:b/>
                <w:sz w:val="14"/>
              </w:rPr>
              <w:t>Child &amp; Family Case Files</w:t>
              <w:br/>
              <w:t>Dept: Case Management</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Comprehensive case models with case status lifecycle, participant roles, and assignment history.</w:t>
            </w:r>
          </w:p>
        </w:tc>
        <w:tc>
          <w:tcPr>
            <w:tcW w:type="dxa" w:w="1656"/>
            <w:shd w:fill="#F8FAFC"/>
            <w:tcMar>
              <w:top w:w="40" w:type="dxa"/>
              <w:bottom w:w="40" w:type="dxa"/>
              <w:left w:w="50" w:type="dxa"/>
              <w:right w:w="50" w:type="dxa"/>
            </w:tcMar>
          </w:tcPr>
          <w:p>
            <w:r>
              <w:rPr>
                <w:sz w:val="14"/>
              </w:rPr>
              <w:t>Tech: Models: Case, CasePerson, CaseAssignment. Routers: /api/v1/cases (53 endpoints). Frontend: Cases.jsx, CaseDetail.jsx.</w:t>
              <w:br/>
              <w:br/>
              <w:t>Ver: Full test coverage in test_cases.py and test_case_lifecycle.py. Seed cases verified.</w:t>
            </w:r>
          </w:p>
        </w:tc>
        <w:tc>
          <w:tcPr>
            <w:tcW w:type="dxa" w:w="1656"/>
            <w:shd w:fill="#F8FAFC"/>
            <w:tcMar>
              <w:top w:w="40" w:type="dxa"/>
              <w:bottom w:w="40" w:type="dxa"/>
              <w:left w:w="50" w:type="dxa"/>
              <w:right w:w="50" w:type="dxa"/>
            </w:tcMar>
          </w:tcPr>
          <w:p>
            <w:r>
              <w:rPr>
                <w:sz w:val="14"/>
              </w:rPr>
              <w:t>Complete multi-caseworker reassignment edge case testing.</w:t>
            </w:r>
          </w:p>
        </w:tc>
        <w:tc>
          <w:tcPr>
            <w:tcW w:type="dxa" w:w="1656"/>
            <w:shd w:fill="#F8FAFC"/>
            <w:tcMar>
              <w:top w:w="40" w:type="dxa"/>
              <w:bottom w:w="40" w:type="dxa"/>
              <w:left w:w="50" w:type="dxa"/>
              <w:right w:w="50" w:type="dxa"/>
            </w:tcMar>
          </w:tcPr>
          <w:p>
            <w:r>
              <w:rPr>
                <w:sz w:val="14"/>
              </w:rPr>
              <w:t>Deps: Permissions: case.read, case.write, case.assign.</w:t>
              <w:br/>
              <w:br/>
              <w:t>Approval: Core platform architecture approved.</w:t>
            </w:r>
          </w:p>
        </w:tc>
      </w:tr>
      <w:tr>
        <w:tc>
          <w:tcPr>
            <w:tcW w:type="dxa" w:w="1656"/>
            <w:shd w:fill="FFFFFF"/>
            <w:tcMar>
              <w:top w:w="40" w:type="dxa"/>
              <w:bottom w:w="40" w:type="dxa"/>
              <w:left w:w="50" w:type="dxa"/>
              <w:right w:w="50" w:type="dxa"/>
            </w:tcMar>
          </w:tcPr>
          <w:p>
            <w:r>
              <w:rPr>
                <w:b/>
                <w:sz w:val="14"/>
              </w:rPr>
              <w:t>Case Notes &amp; Voice Dictation</w:t>
              <w:br/>
              <w:t>Dept: Clinical &amp; Casework</w:t>
            </w:r>
          </w:p>
        </w:tc>
        <w:tc>
          <w:tcPr>
            <w:tcW w:type="dxa" w:w="1656"/>
            <w:shd w:fill="FFFFFF"/>
            <w:tcMar>
              <w:top w:w="40" w:type="dxa"/>
              <w:bottom w:w="40" w:type="dxa"/>
              <w:left w:w="50" w:type="dxa"/>
              <w:right w:w="50" w:type="dxa"/>
            </w:tcMar>
          </w:tcPr>
          <w:p>
            <w:r>
              <w:rPr>
                <w:b/>
                <w:sz w:val="14"/>
              </w:rPr>
              <w:t>LIVE VERIFIED</w:t>
            </w:r>
          </w:p>
        </w:tc>
        <w:tc>
          <w:tcPr>
            <w:tcW w:type="dxa" w:w="1656"/>
            <w:shd w:fill="FFFFFF"/>
            <w:tcMar>
              <w:top w:w="40" w:type="dxa"/>
              <w:bottom w:w="40" w:type="dxa"/>
              <w:left w:w="50" w:type="dxa"/>
              <w:right w:w="50" w:type="dxa"/>
            </w:tcMar>
          </w:tcPr>
          <w:p>
            <w:r>
              <w:rPr>
                <w:sz w:val="14"/>
              </w:rPr>
              <w:t>Signed notes permanently locked against deletion; versioned addenda only; audio dictation support.</w:t>
            </w:r>
          </w:p>
        </w:tc>
        <w:tc>
          <w:tcPr>
            <w:tcW w:type="dxa" w:w="1656"/>
            <w:shd w:fill="FFFFFF"/>
            <w:tcMar>
              <w:top w:w="40" w:type="dxa"/>
              <w:bottom w:w="40" w:type="dxa"/>
              <w:left w:w="50" w:type="dxa"/>
              <w:right w:w="50" w:type="dxa"/>
            </w:tcMar>
          </w:tcPr>
          <w:p>
            <w:r>
              <w:rPr>
                <w:sz w:val="14"/>
              </w:rPr>
              <w:t>Tech: Models: CaseNote, CaseNoteAddendum, CaseNoteAttachment. Routers: /api/v1/case-notes (6 endpoints).</w:t>
              <w:br/>
              <w:br/>
              <w:t>Ver: Audio transcription LIVE VERIFIED in October 2026 UAT on production website. Signed note locking unit tested.</w:t>
            </w:r>
          </w:p>
        </w:tc>
        <w:tc>
          <w:tcPr>
            <w:tcW w:type="dxa" w:w="1656"/>
            <w:shd w:fill="FFFFFF"/>
            <w:tcMar>
              <w:top w:w="40" w:type="dxa"/>
              <w:bottom w:w="40" w:type="dxa"/>
              <w:left w:w="50" w:type="dxa"/>
              <w:right w:w="50" w:type="dxa"/>
            </w:tcMar>
          </w:tcPr>
          <w:p>
            <w:r>
              <w:rPr>
                <w:sz w:val="14"/>
              </w:rPr>
              <w:t>Expand multi-lingual Cree transcription models.</w:t>
            </w:r>
          </w:p>
        </w:tc>
        <w:tc>
          <w:tcPr>
            <w:tcW w:type="dxa" w:w="1656"/>
            <w:shd w:fill="FFFFFF"/>
            <w:tcMar>
              <w:top w:w="40" w:type="dxa"/>
              <w:bottom w:w="40" w:type="dxa"/>
              <w:left w:w="50" w:type="dxa"/>
              <w:right w:w="50" w:type="dxa"/>
            </w:tcMar>
          </w:tcPr>
          <w:p>
            <w:r>
              <w:rPr>
                <w:sz w:val="14"/>
              </w:rPr>
              <w:t>Deps: Microphone permissions in browser/mobile; Whisper transcription gateway.</w:t>
              <w:br/>
              <w:br/>
              <w:t>Approval: Speech-to-text dictation approved by caseworkers.</w:t>
            </w:r>
          </w:p>
        </w:tc>
      </w:tr>
      <w:tr>
        <w:tc>
          <w:tcPr>
            <w:tcW w:type="dxa" w:w="1656"/>
            <w:shd w:fill="#F8FAFC"/>
            <w:tcMar>
              <w:top w:w="40" w:type="dxa"/>
              <w:bottom w:w="40" w:type="dxa"/>
              <w:left w:w="50" w:type="dxa"/>
              <w:right w:w="50" w:type="dxa"/>
            </w:tcMar>
          </w:tcPr>
          <w:p>
            <w:r>
              <w:rPr>
                <w:b/>
                <w:sz w:val="14"/>
              </w:rPr>
              <w:t>Case Restriction &amp; Conflict Blinding</w:t>
              <w:br/>
              <w:t>Dept: Security &amp; Ethics</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Dynamic CaseRestriction evaluation on all case endpoints; restricted workers receive 404 or redacted response.</w:t>
            </w:r>
          </w:p>
        </w:tc>
        <w:tc>
          <w:tcPr>
            <w:tcW w:type="dxa" w:w="1656"/>
            <w:shd w:fill="#F8FAFC"/>
            <w:tcMar>
              <w:top w:w="40" w:type="dxa"/>
              <w:bottom w:w="40" w:type="dxa"/>
              <w:left w:w="50" w:type="dxa"/>
              <w:right w:w="50" w:type="dxa"/>
            </w:tcMar>
          </w:tcPr>
          <w:p>
            <w:r>
              <w:rPr>
                <w:sz w:val="14"/>
              </w:rPr>
              <w:t>Tech: Models: CaseRestriction. Service: case_restriction_service.py. Migration 006.</w:t>
              <w:br/>
              <w:br/>
              <w:t>Ver: Automated security tests in test_case_restrictions.py proving restricted users cannot query restricted IDs.</w:t>
            </w:r>
          </w:p>
        </w:tc>
        <w:tc>
          <w:tcPr>
            <w:tcW w:type="dxa" w:w="1656"/>
            <w:shd w:fill="#F8FAFC"/>
            <w:tcMar>
              <w:top w:w="40" w:type="dxa"/>
              <w:bottom w:w="40" w:type="dxa"/>
              <w:left w:w="50" w:type="dxa"/>
              <w:right w:w="50" w:type="dxa"/>
            </w:tcMar>
          </w:tcPr>
          <w:p>
            <w:r>
              <w:rPr>
                <w:sz w:val="14"/>
              </w:rPr>
              <w:t>Supervisor override audit logging UI interface.</w:t>
            </w:r>
          </w:p>
        </w:tc>
        <w:tc>
          <w:tcPr>
            <w:tcW w:type="dxa" w:w="1656"/>
            <w:shd w:fill="#F8FAFC"/>
            <w:tcMar>
              <w:top w:w="40" w:type="dxa"/>
              <w:bottom w:w="40" w:type="dxa"/>
              <w:left w:w="50" w:type="dxa"/>
              <w:right w:w="50" w:type="dxa"/>
            </w:tcMar>
          </w:tcPr>
          <w:p>
            <w:r>
              <w:rPr>
                <w:sz w:val="14"/>
              </w:rPr>
              <w:t>Deps: Permissions: case.restriction_override.</w:t>
              <w:br/>
              <w:br/>
              <w:t>Approval: Mandated by Cowessess governance ethics policy.</w:t>
            </w:r>
          </w:p>
        </w:tc>
      </w:tr>
      <w:tr>
        <w:tc>
          <w:tcPr>
            <w:tcW w:type="dxa" w:w="1656"/>
            <w:shd w:fill="FFFFFF"/>
            <w:tcMar>
              <w:top w:w="40" w:type="dxa"/>
              <w:bottom w:w="40" w:type="dxa"/>
              <w:left w:w="50" w:type="dxa"/>
              <w:right w:w="50" w:type="dxa"/>
            </w:tcMar>
          </w:tcPr>
          <w:p>
            <w:r>
              <w:rPr>
                <w:b/>
                <w:sz w:val="14"/>
              </w:rPr>
              <w:t>Multi-Version Assessment Engine</w:t>
              <w:br/>
              <w:t>Dept: Quality &amp; Practice</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Template engine supporting versioned questions, weighted risk scoring, and locked submissions.</w:t>
            </w:r>
          </w:p>
        </w:tc>
        <w:tc>
          <w:tcPr>
            <w:tcW w:type="dxa" w:w="1656"/>
            <w:shd w:fill="FFFFFF"/>
            <w:tcMar>
              <w:top w:w="40" w:type="dxa"/>
              <w:bottom w:w="40" w:type="dxa"/>
              <w:left w:w="50" w:type="dxa"/>
              <w:right w:w="50" w:type="dxa"/>
            </w:tcMar>
          </w:tcPr>
          <w:p>
            <w:r>
              <w:rPr>
                <w:sz w:val="14"/>
              </w:rPr>
              <w:t>Tech: Models: AssessmentTemplate, AssessmentSection, AssessmentQuestion, AssessmentAnswer. Routers: /api/v1/assessments.</w:t>
              <w:br/>
              <w:br/>
              <w:t>Ver: Unit tests in test_assessment_engine.py verifying version immutability upon submission.</w:t>
            </w:r>
          </w:p>
        </w:tc>
        <w:tc>
          <w:tcPr>
            <w:tcW w:type="dxa" w:w="1656"/>
            <w:shd w:fill="FFFFFF"/>
            <w:tcMar>
              <w:top w:w="40" w:type="dxa"/>
              <w:bottom w:w="40" w:type="dxa"/>
              <w:left w:w="50" w:type="dxa"/>
              <w:right w:w="50" w:type="dxa"/>
            </w:tcMar>
          </w:tcPr>
          <w:p>
            <w:r>
              <w:rPr>
                <w:sz w:val="14"/>
              </w:rPr>
              <w:t>Finalize standardized provincial risk assessment template import.</w:t>
            </w:r>
          </w:p>
        </w:tc>
        <w:tc>
          <w:tcPr>
            <w:tcW w:type="dxa" w:w="1656"/>
            <w:shd w:fill="FFFFFF"/>
            <w:tcMar>
              <w:top w:w="40" w:type="dxa"/>
              <w:bottom w:w="40" w:type="dxa"/>
              <w:left w:w="50" w:type="dxa"/>
              <w:right w:w="50" w:type="dxa"/>
            </w:tcMar>
          </w:tcPr>
          <w:p>
            <w:r>
              <w:rPr>
                <w:sz w:val="14"/>
              </w:rPr>
              <w:t>Deps: Permissions: assessment.create, assessment.signoff.</w:t>
              <w:br/>
              <w:br/>
              <w:t>Approval: Assessment templates awaiting clinical director sign-off.</w:t>
            </w:r>
          </w:p>
        </w:tc>
      </w:tr>
      <w:tr>
        <w:tc>
          <w:tcPr>
            <w:tcW w:type="dxa" w:w="1656"/>
            <w:shd w:fill="#F8FAFC"/>
            <w:tcMar>
              <w:top w:w="40" w:type="dxa"/>
              <w:bottom w:w="40" w:type="dxa"/>
              <w:left w:w="50" w:type="dxa"/>
              <w:right w:w="50" w:type="dxa"/>
            </w:tcMar>
          </w:tcPr>
          <w:p>
            <w:r>
              <w:rPr>
                <w:b/>
                <w:sz w:val="14"/>
              </w:rPr>
              <w:t>Prevention &amp; Healing Workspace</w:t>
              <w:br/>
              <w:t>Dept: Prevention &amp; Healing</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Comprehensive UI with 5 tabs, summary KPIs, financial coding, and program expense tracking.</w:t>
            </w:r>
          </w:p>
        </w:tc>
        <w:tc>
          <w:tcPr>
            <w:tcW w:type="dxa" w:w="1656"/>
            <w:shd w:fill="#F8FAFC"/>
            <w:tcMar>
              <w:top w:w="40" w:type="dxa"/>
              <w:bottom w:w="40" w:type="dxa"/>
              <w:left w:w="50" w:type="dxa"/>
              <w:right w:w="50" w:type="dxa"/>
            </w:tcMar>
          </w:tcPr>
          <w:p>
            <w:r>
              <w:rPr>
                <w:sz w:val="14"/>
              </w:rPr>
              <w:t>Tech: Frontend: PreventionHealing.jsx. Backend: /api/v1/ph (36 endpoints). Migration 031.</w:t>
              <w:br/>
              <w:br/>
              <w:t>Ver: Locally verified via synthetic browser UAT; API endpoints verified; PRODUCTION DEPLOYMENT NOT VERIFIED.</w:t>
            </w:r>
          </w:p>
        </w:tc>
        <w:tc>
          <w:tcPr>
            <w:tcW w:type="dxa" w:w="1656"/>
            <w:shd w:fill="#F8FAFC"/>
            <w:tcMar>
              <w:top w:w="40" w:type="dxa"/>
              <w:bottom w:w="40" w:type="dxa"/>
              <w:left w:w="50" w:type="dxa"/>
              <w:right w:w="50" w:type="dxa"/>
            </w:tcMar>
          </w:tcPr>
          <w:p>
            <w:r>
              <w:rPr>
                <w:sz w:val="14"/>
              </w:rPr>
              <w:t>Conduct live cloud deployment verification once Railway backend is redeployed.</w:t>
            </w:r>
          </w:p>
        </w:tc>
        <w:tc>
          <w:tcPr>
            <w:tcW w:type="dxa" w:w="1656"/>
            <w:shd w:fill="#F8FAFC"/>
            <w:tcMar>
              <w:top w:w="40" w:type="dxa"/>
              <w:bottom w:w="40" w:type="dxa"/>
              <w:left w:w="50" w:type="dxa"/>
              <w:right w:w="50" w:type="dxa"/>
            </w:tcMar>
          </w:tcPr>
          <w:p>
            <w:r>
              <w:rPr>
                <w:sz w:val="14"/>
              </w:rPr>
              <w:t>Deps: CRBCL_PH_STAFF_ACTIVATION_ENABLED, CRBCL_PH_REAL_IMPORT_ENABLED.</w:t>
              <w:br/>
              <w:br/>
              <w:t>Approval: Prevention Director reviewed mockups; formal acceptance pending UAT.</w:t>
            </w:r>
          </w:p>
        </w:tc>
      </w:tr>
      <w:tr>
        <w:tc>
          <w:tcPr>
            <w:tcW w:type="dxa" w:w="1656"/>
            <w:shd w:fill="FFFFFF"/>
            <w:tcMar>
              <w:top w:w="40" w:type="dxa"/>
              <w:bottom w:w="40" w:type="dxa"/>
              <w:left w:w="50" w:type="dxa"/>
              <w:right w:w="50" w:type="dxa"/>
            </w:tcMar>
          </w:tcPr>
          <w:p>
            <w:r>
              <w:rPr>
                <w:b/>
                <w:sz w:val="14"/>
              </w:rPr>
              <w:t>Excel Ingestion &amp; Duplicate Safety</w:t>
              <w:br/>
              <w:t>Dept: Data Migration</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3-tier duplicate detection: Bitwise SHA-256 fingerprinting (confirmed dupes) and fuzzy heuristic matching (quarantine queue).</w:t>
            </w:r>
          </w:p>
        </w:tc>
        <w:tc>
          <w:tcPr>
            <w:tcW w:type="dxa" w:w="1656"/>
            <w:shd w:fill="FFFFFF"/>
            <w:tcMar>
              <w:top w:w="40" w:type="dxa"/>
              <w:bottom w:w="40" w:type="dxa"/>
              <w:left w:w="50" w:type="dxa"/>
              <w:right w:w="50" w:type="dxa"/>
            </w:tcMar>
          </w:tcPr>
          <w:p>
            <w:r>
              <w:rPr>
                <w:sz w:val="14"/>
              </w:rPr>
              <w:t>Tech: Service: ph_import_service.py. Models: PhRecordProvenance, PhDuplicateReview. Migration 031.</w:t>
              <w:br/>
              <w:br/>
              <w:t>Ver: Hardened synthetic test suite in test_ph_duplicate_protection.py passing all edge cases.</w:t>
            </w:r>
          </w:p>
        </w:tc>
        <w:tc>
          <w:tcPr>
            <w:tcW w:type="dxa" w:w="1656"/>
            <w:shd w:fill="FFFFFF"/>
            <w:tcMar>
              <w:top w:w="40" w:type="dxa"/>
              <w:bottom w:w="40" w:type="dxa"/>
              <w:left w:w="50" w:type="dxa"/>
              <w:right w:w="50" w:type="dxa"/>
            </w:tcMar>
          </w:tcPr>
          <w:p>
            <w:r>
              <w:rPr>
                <w:sz w:val="14"/>
              </w:rPr>
              <w:t>Execute real workbook ingestion in staging once client provides sanitized files.</w:t>
            </w:r>
          </w:p>
        </w:tc>
        <w:tc>
          <w:tcPr>
            <w:tcW w:type="dxa" w:w="1656"/>
            <w:shd w:fill="FFFFFF"/>
            <w:tcMar>
              <w:top w:w="40" w:type="dxa"/>
              <w:bottom w:w="40" w:type="dxa"/>
              <w:left w:w="50" w:type="dxa"/>
              <w:right w:w="50" w:type="dxa"/>
            </w:tcMar>
          </w:tcPr>
          <w:p>
            <w:r>
              <w:rPr>
                <w:sz w:val="14"/>
              </w:rPr>
              <w:t>Deps: Administrative staging review UI.</w:t>
              <w:br/>
              <w:br/>
              <w:t>Approval: Requires Board sign-off on historical data reconciliation.</w:t>
            </w:r>
          </w:p>
        </w:tc>
      </w:tr>
      <w:tr>
        <w:tc>
          <w:tcPr>
            <w:tcW w:type="dxa" w:w="1656"/>
            <w:shd w:fill="#F8FAFC"/>
            <w:tcMar>
              <w:top w:w="40" w:type="dxa"/>
              <w:bottom w:w="40" w:type="dxa"/>
              <w:left w:w="50" w:type="dxa"/>
              <w:right w:w="50" w:type="dxa"/>
            </w:tcMar>
          </w:tcPr>
          <w:p>
            <w:r>
              <w:rPr>
                <w:b/>
                <w:sz w:val="14"/>
              </w:rPr>
              <w:t>Employee Onboarding &amp; Login Quarantine</w:t>
              <w:br/>
              <w:t>Dept: Human Resources</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Decoupled Employee profiles from User logins; imported staff remain quarantined without active credentials.</w:t>
            </w:r>
          </w:p>
        </w:tc>
        <w:tc>
          <w:tcPr>
            <w:tcW w:type="dxa" w:w="1656"/>
            <w:shd w:fill="#F8FAFC"/>
            <w:tcMar>
              <w:top w:w="40" w:type="dxa"/>
              <w:bottom w:w="40" w:type="dxa"/>
              <w:left w:w="50" w:type="dxa"/>
              <w:right w:w="50" w:type="dxa"/>
            </w:tcMar>
          </w:tcPr>
          <w:p>
            <w:r>
              <w:rPr>
                <w:sz w:val="14"/>
              </w:rPr>
              <w:t>Tech: Models: Employee, User. Endpoint: POST /api/v1/ph/staff/provision. Migration 017.</w:t>
              <w:br/>
              <w:br/>
              <w:t>Ver: Verified in test_employee_quarantine.py; users cannot authenticate without explicit admin activation.</w:t>
            </w:r>
          </w:p>
        </w:tc>
        <w:tc>
          <w:tcPr>
            <w:tcW w:type="dxa" w:w="1656"/>
            <w:shd w:fill="#F8FAFC"/>
            <w:tcMar>
              <w:top w:w="40" w:type="dxa"/>
              <w:bottom w:w="40" w:type="dxa"/>
              <w:left w:w="50" w:type="dxa"/>
              <w:right w:w="50" w:type="dxa"/>
            </w:tcMar>
          </w:tcPr>
          <w:p>
            <w:r>
              <w:rPr>
                <w:sz w:val="14"/>
              </w:rPr>
              <w:t>Deploy administrative UI toggle for batch staff email invitations.</w:t>
            </w:r>
          </w:p>
        </w:tc>
        <w:tc>
          <w:tcPr>
            <w:tcW w:type="dxa" w:w="1656"/>
            <w:shd w:fill="#F8FAFC"/>
            <w:tcMar>
              <w:top w:w="40" w:type="dxa"/>
              <w:bottom w:w="40" w:type="dxa"/>
              <w:left w:w="50" w:type="dxa"/>
              <w:right w:w="50" w:type="dxa"/>
            </w:tcMar>
          </w:tcPr>
          <w:p>
            <w:r>
              <w:rPr>
                <w:sz w:val="14"/>
              </w:rPr>
              <w:t>Deps: CRBCL_PH_STAFF_ACTIVATION_ENABLED set to true.</w:t>
              <w:br/>
              <w:br/>
              <w:t>Approval: HR Director must verify staff roster prior to activation.</w:t>
            </w:r>
          </w:p>
        </w:tc>
      </w:tr>
      <w:tr>
        <w:tc>
          <w:tcPr>
            <w:tcW w:type="dxa" w:w="1656"/>
            <w:shd w:fill="FFFFFF"/>
            <w:tcMar>
              <w:top w:w="40" w:type="dxa"/>
              <w:bottom w:w="40" w:type="dxa"/>
              <w:left w:w="50" w:type="dxa"/>
              <w:right w:w="50" w:type="dxa"/>
            </w:tcMar>
          </w:tcPr>
          <w:p>
            <w:r>
              <w:rPr>
                <w:b/>
                <w:sz w:val="14"/>
              </w:rPr>
              <w:t>Foster Care &amp; Resource Home Registry</w:t>
              <w:br/>
              <w:t>Dept: Resource Team</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Home registry models tracking bed quotas, home safety inspections, licensing dates, and placement matches.</w:t>
            </w:r>
          </w:p>
        </w:tc>
        <w:tc>
          <w:tcPr>
            <w:tcW w:type="dxa" w:w="1656"/>
            <w:shd w:fill="FFFFFF"/>
            <w:tcMar>
              <w:top w:w="40" w:type="dxa"/>
              <w:bottom w:w="40" w:type="dxa"/>
              <w:left w:w="50" w:type="dxa"/>
              <w:right w:w="50" w:type="dxa"/>
            </w:tcMar>
          </w:tcPr>
          <w:p>
            <w:r>
              <w:rPr>
                <w:sz w:val="14"/>
              </w:rPr>
              <w:t>Tech: Models: PlacementHome, HomeSafetyReview. Routers: /api/v1/placement-homes (24 endpoints).</w:t>
              <w:br/>
              <w:br/>
              <w:t>Ver: Tested in test_resource_homes.py; validated bed capacity over-allocation prevention logic.</w:t>
            </w:r>
          </w:p>
        </w:tc>
        <w:tc>
          <w:tcPr>
            <w:tcW w:type="dxa" w:w="1656"/>
            <w:shd w:fill="FFFFFF"/>
            <w:tcMar>
              <w:top w:w="40" w:type="dxa"/>
              <w:bottom w:w="40" w:type="dxa"/>
              <w:left w:w="50" w:type="dxa"/>
              <w:right w:w="50" w:type="dxa"/>
            </w:tcMar>
          </w:tcPr>
          <w:p>
            <w:r>
              <w:rPr>
                <w:sz w:val="14"/>
              </w:rPr>
              <w:t>Frontend visual bed availability map.</w:t>
            </w:r>
          </w:p>
        </w:tc>
        <w:tc>
          <w:tcPr>
            <w:tcW w:type="dxa" w:w="1656"/>
            <w:shd w:fill="FFFFFF"/>
            <w:tcMar>
              <w:top w:w="40" w:type="dxa"/>
              <w:bottom w:w="40" w:type="dxa"/>
              <w:left w:w="50" w:type="dxa"/>
              <w:right w:w="50" w:type="dxa"/>
            </w:tcMar>
          </w:tcPr>
          <w:p>
            <w:r>
              <w:rPr>
                <w:sz w:val="14"/>
              </w:rPr>
              <w:t>Deps: Permissions: placement_home.manage, placement_home.license.</w:t>
              <w:br/>
              <w:br/>
              <w:t>Approval: Resource Team Director approved licensure fields.</w:t>
            </w:r>
          </w:p>
        </w:tc>
      </w:tr>
      <w:tr>
        <w:tc>
          <w:tcPr>
            <w:tcW w:type="dxa" w:w="1656"/>
            <w:shd w:fill="#F8FAFC"/>
            <w:tcMar>
              <w:top w:w="40" w:type="dxa"/>
              <w:bottom w:w="40" w:type="dxa"/>
              <w:left w:w="50" w:type="dxa"/>
              <w:right w:w="50" w:type="dxa"/>
            </w:tcMar>
          </w:tcPr>
          <w:p>
            <w:r>
              <w:rPr>
                <w:b/>
                <w:sz w:val="14"/>
              </w:rPr>
              <w:t>Caregiver Background &amp; Clearances</w:t>
              <w:br/>
              <w:t>Dept: Resource Team</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Tracking models with automated expiry warnings (30/60/90 days prior to clearance expiration).</w:t>
            </w:r>
          </w:p>
        </w:tc>
        <w:tc>
          <w:tcPr>
            <w:tcW w:type="dxa" w:w="1656"/>
            <w:shd w:fill="#F8FAFC"/>
            <w:tcMar>
              <w:top w:w="40" w:type="dxa"/>
              <w:bottom w:w="40" w:type="dxa"/>
              <w:left w:w="50" w:type="dxa"/>
              <w:right w:w="50" w:type="dxa"/>
            </w:tcMar>
          </w:tcPr>
          <w:p>
            <w:r>
              <w:rPr>
                <w:sz w:val="14"/>
              </w:rPr>
              <w:t>Tech: Models: BackgroundCheck, ClearanceRenewal. Routers: /api/v1/background-checks (5 endpoints).</w:t>
              <w:br/>
              <w:br/>
              <w:t>Ver: Automated tests in test_background_checks.py verifying renewal alert triggers.</w:t>
            </w:r>
          </w:p>
        </w:tc>
        <w:tc>
          <w:tcPr>
            <w:tcW w:type="dxa" w:w="1656"/>
            <w:shd w:fill="#F8FAFC"/>
            <w:tcMar>
              <w:top w:w="40" w:type="dxa"/>
              <w:bottom w:w="40" w:type="dxa"/>
              <w:left w:w="50" w:type="dxa"/>
              <w:right w:w="50" w:type="dxa"/>
            </w:tcMar>
          </w:tcPr>
          <w:p>
            <w:r>
              <w:rPr>
                <w:sz w:val="14"/>
              </w:rPr>
              <w:t>Automated email reminders to caregivers for renewal submissions.</w:t>
            </w:r>
          </w:p>
        </w:tc>
        <w:tc>
          <w:tcPr>
            <w:tcW w:type="dxa" w:w="1656"/>
            <w:shd w:fill="#F8FAFC"/>
            <w:tcMar>
              <w:top w:w="40" w:type="dxa"/>
              <w:bottom w:w="40" w:type="dxa"/>
              <w:left w:w="50" w:type="dxa"/>
              <w:right w:w="50" w:type="dxa"/>
            </w:tcMar>
          </w:tcPr>
          <w:p>
            <w:r>
              <w:rPr>
                <w:sz w:val="14"/>
              </w:rPr>
              <w:t>Deps: System notification dispatch service.</w:t>
              <w:br/>
              <w:br/>
              <w:t>Approval: Standard background check policy confirmed.</w:t>
            </w:r>
          </w:p>
        </w:tc>
      </w:tr>
      <w:tr>
        <w:tc>
          <w:tcPr>
            <w:tcW w:type="dxa" w:w="1656"/>
            <w:shd w:fill="FFFFFF"/>
            <w:tcMar>
              <w:top w:w="40" w:type="dxa"/>
              <w:bottom w:w="40" w:type="dxa"/>
              <w:left w:w="50" w:type="dxa"/>
              <w:right w:w="50" w:type="dxa"/>
            </w:tcMar>
          </w:tcPr>
          <w:p>
            <w:r>
              <w:rPr>
                <w:b/>
                <w:sz w:val="14"/>
              </w:rPr>
              <w:t>Customary Care &amp; Family Circles</w:t>
              <w:br/>
              <w:t>Dept: Cultural &amp; Legal</w:t>
            </w:r>
          </w:p>
        </w:tc>
        <w:tc>
          <w:tcPr>
            <w:tcW w:type="dxa" w:w="1656"/>
            <w:shd w:fill="FFFFFF"/>
            <w:tcMar>
              <w:top w:w="40" w:type="dxa"/>
              <w:bottom w:w="40" w:type="dxa"/>
              <w:left w:w="50" w:type="dxa"/>
              <w:right w:w="50" w:type="dxa"/>
            </w:tcMar>
          </w:tcPr>
          <w:p>
            <w:r>
              <w:rPr>
                <w:b/>
                <w:sz w:val="14"/>
              </w:rPr>
              <w:t>SOURCE IMPLEMENTED — BUILD VERIFIED</w:t>
            </w:r>
          </w:p>
        </w:tc>
        <w:tc>
          <w:tcPr>
            <w:tcW w:type="dxa" w:w="1656"/>
            <w:shd w:fill="FFFFFF"/>
            <w:tcMar>
              <w:top w:w="40" w:type="dxa"/>
              <w:bottom w:w="40" w:type="dxa"/>
              <w:left w:w="50" w:type="dxa"/>
              <w:right w:w="50" w:type="dxa"/>
            </w:tcMar>
          </w:tcPr>
          <w:p>
            <w:r>
              <w:rPr>
                <w:sz w:val="14"/>
              </w:rPr>
              <w:t>Customary care agreements, Elder consultation logs, and family circle consensus documentation.</w:t>
            </w:r>
          </w:p>
        </w:tc>
        <w:tc>
          <w:tcPr>
            <w:tcW w:type="dxa" w:w="1656"/>
            <w:shd w:fill="FFFFFF"/>
            <w:tcMar>
              <w:top w:w="40" w:type="dxa"/>
              <w:bottom w:w="40" w:type="dxa"/>
              <w:left w:w="50" w:type="dxa"/>
              <w:right w:w="50" w:type="dxa"/>
            </w:tcMar>
          </w:tcPr>
          <w:p>
            <w:r>
              <w:rPr>
                <w:sz w:val="14"/>
              </w:rPr>
              <w:t>Tech: Models: CustomaryCareAgreement, FamilyCircleConference. Migration 018.</w:t>
              <w:br/>
              <w:br/>
              <w:t>Ver: Schema verified in test_customary_care.py; UI draft forms implemented.</w:t>
            </w:r>
          </w:p>
        </w:tc>
        <w:tc>
          <w:tcPr>
            <w:tcW w:type="dxa" w:w="1656"/>
            <w:shd w:fill="FFFFFF"/>
            <w:tcMar>
              <w:top w:w="40" w:type="dxa"/>
              <w:bottom w:w="40" w:type="dxa"/>
              <w:left w:w="50" w:type="dxa"/>
              <w:right w:w="50" w:type="dxa"/>
            </w:tcMar>
          </w:tcPr>
          <w:p>
            <w:r>
              <w:rPr>
                <w:sz w:val="14"/>
              </w:rPr>
              <w:t>Conduct cultural protocol validation workshop with Cowessess Elders.</w:t>
            </w:r>
          </w:p>
        </w:tc>
        <w:tc>
          <w:tcPr>
            <w:tcW w:type="dxa" w:w="1656"/>
            <w:shd w:fill="FFFFFF"/>
            <w:tcMar>
              <w:top w:w="40" w:type="dxa"/>
              <w:bottom w:w="40" w:type="dxa"/>
              <w:left w:w="50" w:type="dxa"/>
              <w:right w:w="50" w:type="dxa"/>
            </w:tcMar>
          </w:tcPr>
          <w:p>
            <w:r>
              <w:rPr>
                <w:sz w:val="14"/>
              </w:rPr>
              <w:t>Deps: Elders Advisory Council review.</w:t>
              <w:br/>
              <w:br/>
              <w:t>Approval: DECISION PENDING: Formal review by Cowessess Elders Council.</w:t>
            </w:r>
          </w:p>
        </w:tc>
      </w:tr>
      <w:tr>
        <w:tc>
          <w:tcPr>
            <w:tcW w:type="dxa" w:w="1656"/>
            <w:shd w:fill="#F8FAFC"/>
            <w:tcMar>
              <w:top w:w="40" w:type="dxa"/>
              <w:bottom w:w="40" w:type="dxa"/>
              <w:left w:w="50" w:type="dxa"/>
              <w:right w:w="50" w:type="dxa"/>
            </w:tcMar>
          </w:tcPr>
          <w:p>
            <w:r>
              <w:rPr>
                <w:b/>
                <w:sz w:val="14"/>
              </w:rPr>
              <w:t>Cultural Healing &amp; Elder Honoraria</w:t>
              <w:br/>
              <w:t>Dept: Cultural Services</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Ceremony logging models, protocol checklists, and financial disbursement tracking for Elders.</w:t>
            </w:r>
          </w:p>
        </w:tc>
        <w:tc>
          <w:tcPr>
            <w:tcW w:type="dxa" w:w="1656"/>
            <w:shd w:fill="#F8FAFC"/>
            <w:tcMar>
              <w:top w:w="40" w:type="dxa"/>
              <w:bottom w:w="40" w:type="dxa"/>
              <w:left w:w="50" w:type="dxa"/>
              <w:right w:w="50" w:type="dxa"/>
            </w:tcMar>
          </w:tcPr>
          <w:p>
            <w:r>
              <w:rPr>
                <w:sz w:val="14"/>
              </w:rPr>
              <w:t>Tech: Models: Ceremony, ElderHonorarium, CulturalPlan. Routers: /api/v1/operations.</w:t>
              <w:br/>
              <w:br/>
              <w:t>Ver: Unit tests in test_cultural_healing.py verifying voucher amount reconciliation.</w:t>
            </w:r>
          </w:p>
        </w:tc>
        <w:tc>
          <w:tcPr>
            <w:tcW w:type="dxa" w:w="1656"/>
            <w:shd w:fill="#F8FAFC"/>
            <w:tcMar>
              <w:top w:w="40" w:type="dxa"/>
              <w:bottom w:w="40" w:type="dxa"/>
              <w:left w:w="50" w:type="dxa"/>
              <w:right w:w="50" w:type="dxa"/>
            </w:tcMar>
          </w:tcPr>
          <w:p>
            <w:r>
              <w:rPr>
                <w:sz w:val="14"/>
              </w:rPr>
              <w:t>Connect honoraria vouchers directly to Sage finance general ledger export.</w:t>
            </w:r>
          </w:p>
        </w:tc>
        <w:tc>
          <w:tcPr>
            <w:tcW w:type="dxa" w:w="1656"/>
            <w:shd w:fill="#F8FAFC"/>
            <w:tcMar>
              <w:top w:w="40" w:type="dxa"/>
              <w:bottom w:w="40" w:type="dxa"/>
              <w:left w:w="50" w:type="dxa"/>
              <w:right w:w="50" w:type="dxa"/>
            </w:tcMar>
          </w:tcPr>
          <w:p>
            <w:r>
              <w:rPr>
                <w:sz w:val="14"/>
              </w:rPr>
              <w:t>Deps: Finance department approval workflow.</w:t>
              <w:br/>
              <w:br/>
              <w:t>Approval: Approved by Cultural Director.</w:t>
            </w:r>
          </w:p>
        </w:tc>
      </w:tr>
      <w:tr>
        <w:tc>
          <w:tcPr>
            <w:tcW w:type="dxa" w:w="1656"/>
            <w:shd w:fill="FFFFFF"/>
            <w:tcMar>
              <w:top w:w="40" w:type="dxa"/>
              <w:bottom w:w="40" w:type="dxa"/>
              <w:left w:w="50" w:type="dxa"/>
              <w:right w:w="50" w:type="dxa"/>
            </w:tcMar>
          </w:tcPr>
          <w:p>
            <w:r>
              <w:rPr>
                <w:b/>
                <w:sz w:val="14"/>
              </w:rPr>
              <w:t>Youth Transitions &amp; Aftercare</w:t>
              <w:br/>
              <w:t>Dept: Youth Services</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Milestone tracking, living stipend disbursement logs, and mentor connection history.</w:t>
            </w:r>
          </w:p>
        </w:tc>
        <w:tc>
          <w:tcPr>
            <w:tcW w:type="dxa" w:w="1656"/>
            <w:shd w:fill="FFFFFF"/>
            <w:tcMar>
              <w:top w:w="40" w:type="dxa"/>
              <w:bottom w:w="40" w:type="dxa"/>
              <w:left w:w="50" w:type="dxa"/>
              <w:right w:w="50" w:type="dxa"/>
            </w:tcMar>
          </w:tcPr>
          <w:p>
            <w:r>
              <w:rPr>
                <w:sz w:val="14"/>
              </w:rPr>
              <w:t>Tech: Models: YouthTransitionPlan, LivingMilestone, HousingStipend. Migration 018.</w:t>
              <w:br/>
              <w:br/>
              <w:t>Ver: Tested in test_youth_transitions.py; stipend calculation verified.</w:t>
            </w:r>
          </w:p>
        </w:tc>
        <w:tc>
          <w:tcPr>
            <w:tcW w:type="dxa" w:w="1656"/>
            <w:shd w:fill="FFFFFF"/>
            <w:tcMar>
              <w:top w:w="40" w:type="dxa"/>
              <w:bottom w:w="40" w:type="dxa"/>
              <w:left w:w="50" w:type="dxa"/>
              <w:right w:w="50" w:type="dxa"/>
            </w:tcMar>
          </w:tcPr>
          <w:p>
            <w:r>
              <w:rPr>
                <w:sz w:val="14"/>
              </w:rPr>
              <w:t>Youth mobile self-service goal tracking portal.</w:t>
            </w:r>
          </w:p>
        </w:tc>
        <w:tc>
          <w:tcPr>
            <w:tcW w:type="dxa" w:w="1656"/>
            <w:shd w:fill="FFFFFF"/>
            <w:tcMar>
              <w:top w:w="40" w:type="dxa"/>
              <w:bottom w:w="40" w:type="dxa"/>
              <w:left w:w="50" w:type="dxa"/>
              <w:right w:w="50" w:type="dxa"/>
            </w:tcMar>
          </w:tcPr>
          <w:p>
            <w:r>
              <w:rPr>
                <w:sz w:val="14"/>
              </w:rPr>
              <w:t>Deps: Post-majority funding guidelines approval.</w:t>
              <w:br/>
              <w:br/>
              <w:t>Approval: Youth program coordinator approved.</w:t>
            </w:r>
          </w:p>
        </w:tc>
      </w:tr>
      <w:tr>
        <w:tc>
          <w:tcPr>
            <w:tcW w:type="dxa" w:w="1656"/>
            <w:shd w:fill="#F8FAFC"/>
            <w:tcMar>
              <w:top w:w="40" w:type="dxa"/>
              <w:bottom w:w="40" w:type="dxa"/>
              <w:left w:w="50" w:type="dxa"/>
              <w:right w:w="50" w:type="dxa"/>
            </w:tcMar>
          </w:tcPr>
          <w:p>
            <w:r>
              <w:rPr>
                <w:b/>
                <w:sz w:val="14"/>
              </w:rPr>
              <w:t>Jordan's Principle Special Needs</w:t>
              <w:br/>
              <w:t>Dept: Jordan's Principle</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Claim tracking engine mapping federal billing EDI codes, service invoices, and payment statuses.</w:t>
            </w:r>
          </w:p>
        </w:tc>
        <w:tc>
          <w:tcPr>
            <w:tcW w:type="dxa" w:w="1656"/>
            <w:shd w:fill="#F8FAFC"/>
            <w:tcMar>
              <w:top w:w="40" w:type="dxa"/>
              <w:bottom w:w="40" w:type="dxa"/>
              <w:left w:w="50" w:type="dxa"/>
              <w:right w:w="50" w:type="dxa"/>
            </w:tcMar>
          </w:tcPr>
          <w:p>
            <w:r>
              <w:rPr>
                <w:sz w:val="14"/>
              </w:rPr>
              <w:t>Tech: Models: JordansPrincipleClaim, SpecialNeedsService. Routers: /api/v1/plans.</w:t>
              <w:br/>
              <w:br/>
              <w:t>Ver: Verified in test_jordans_principle.py; federal submission package export tested.</w:t>
            </w:r>
          </w:p>
        </w:tc>
        <w:tc>
          <w:tcPr>
            <w:tcW w:type="dxa" w:w="1656"/>
            <w:shd w:fill="#F8FAFC"/>
            <w:tcMar>
              <w:top w:w="40" w:type="dxa"/>
              <w:bottom w:w="40" w:type="dxa"/>
              <w:left w:w="50" w:type="dxa"/>
              <w:right w:w="50" w:type="dxa"/>
            </w:tcMar>
          </w:tcPr>
          <w:p>
            <w:r>
              <w:rPr>
                <w:sz w:val="14"/>
              </w:rPr>
              <w:t>Direct electronic submission gateway to Indigenous Services Canada (ISC).</w:t>
            </w:r>
          </w:p>
        </w:tc>
        <w:tc>
          <w:tcPr>
            <w:tcW w:type="dxa" w:w="1656"/>
            <w:shd w:fill="#F8FAFC"/>
            <w:tcMar>
              <w:top w:w="40" w:type="dxa"/>
              <w:bottom w:w="40" w:type="dxa"/>
              <w:left w:w="50" w:type="dxa"/>
              <w:right w:w="50" w:type="dxa"/>
            </w:tcMar>
          </w:tcPr>
          <w:p>
            <w:r>
              <w:rPr>
                <w:sz w:val="14"/>
              </w:rPr>
              <w:t>Deps: ISC EDI specifications and credentials.</w:t>
              <w:br/>
              <w:br/>
              <w:t>Approval: DECISION PENDING: CRBCL agreement with ISC electronic interchange.</w:t>
            </w:r>
          </w:p>
        </w:tc>
      </w:tr>
      <w:tr>
        <w:tc>
          <w:tcPr>
            <w:tcW w:type="dxa" w:w="1656"/>
            <w:shd w:fill="FFFFFF"/>
            <w:tcMar>
              <w:top w:w="40" w:type="dxa"/>
              <w:bottom w:w="40" w:type="dxa"/>
              <w:left w:w="50" w:type="dxa"/>
              <w:right w:w="50" w:type="dxa"/>
            </w:tcMar>
          </w:tcPr>
          <w:p>
            <w:r>
              <w:rPr>
                <w:b/>
                <w:sz w:val="14"/>
              </w:rPr>
              <w:t>Legal &amp; Family Court Dockets</w:t>
              <w:br/>
              <w:t>Dept: Legal Department</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Court case docket models, hearing calendar integration, and legal disclosure access logs.</w:t>
            </w:r>
          </w:p>
        </w:tc>
        <w:tc>
          <w:tcPr>
            <w:tcW w:type="dxa" w:w="1656"/>
            <w:shd w:fill="FFFFFF"/>
            <w:tcMar>
              <w:top w:w="40" w:type="dxa"/>
              <w:bottom w:w="40" w:type="dxa"/>
              <w:left w:w="50" w:type="dxa"/>
              <w:right w:w="50" w:type="dxa"/>
            </w:tcMar>
          </w:tcPr>
          <w:p>
            <w:r>
              <w:rPr>
                <w:sz w:val="14"/>
              </w:rPr>
              <w:t>Tech: Models: CourtCase, CourtHearing, CourtOrder. Routers: /api/v1/court-events (2 endpoints).</w:t>
              <w:br/>
              <w:br/>
              <w:t>Ver: Tested in test_court_dockets.py; hearing reminder calculation verified.</w:t>
            </w:r>
          </w:p>
        </w:tc>
        <w:tc>
          <w:tcPr>
            <w:tcW w:type="dxa" w:w="1656"/>
            <w:shd w:fill="FFFFFF"/>
            <w:tcMar>
              <w:top w:w="40" w:type="dxa"/>
              <w:bottom w:w="40" w:type="dxa"/>
              <w:left w:w="50" w:type="dxa"/>
              <w:right w:w="50" w:type="dxa"/>
            </w:tcMar>
          </w:tcPr>
          <w:p>
            <w:r>
              <w:rPr>
                <w:sz w:val="14"/>
              </w:rPr>
              <w:t>Automated PDF brief generation for court disclosures.</w:t>
            </w:r>
          </w:p>
        </w:tc>
        <w:tc>
          <w:tcPr>
            <w:tcW w:type="dxa" w:w="1656"/>
            <w:shd w:fill="FFFFFF"/>
            <w:tcMar>
              <w:top w:w="40" w:type="dxa"/>
              <w:bottom w:w="40" w:type="dxa"/>
              <w:left w:w="50" w:type="dxa"/>
              <w:right w:w="50" w:type="dxa"/>
            </w:tcMar>
          </w:tcPr>
          <w:p>
            <w:r>
              <w:rPr>
                <w:sz w:val="14"/>
              </w:rPr>
              <w:t>Deps: Permissions: court.manage, legal.disclosure.</w:t>
              <w:br/>
              <w:br/>
              <w:t>Approval: CRBCL legal counsel reviewed schema.</w:t>
            </w:r>
          </w:p>
        </w:tc>
      </w:tr>
      <w:tr>
        <w:tc>
          <w:tcPr>
            <w:tcW w:type="dxa" w:w="1656"/>
            <w:shd w:fill="#F8FAFC"/>
            <w:tcMar>
              <w:top w:w="40" w:type="dxa"/>
              <w:bottom w:w="40" w:type="dxa"/>
              <w:left w:w="50" w:type="dxa"/>
              <w:right w:w="50" w:type="dxa"/>
            </w:tcMar>
          </w:tcPr>
          <w:p>
            <w:r>
              <w:rPr>
                <w:b/>
                <w:sz w:val="14"/>
              </w:rPr>
              <w:t>Front Desk &amp; Public Intake Triage</w:t>
              <w:br/>
              <w:t>Dept: Front Desk Reception</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Front desk dashboard with visitor log, public intake routing, and duty worker notifications.</w:t>
            </w:r>
          </w:p>
        </w:tc>
        <w:tc>
          <w:tcPr>
            <w:tcW w:type="dxa" w:w="1656"/>
            <w:shd w:fill="#F8FAFC"/>
            <w:tcMar>
              <w:top w:w="40" w:type="dxa"/>
              <w:bottom w:w="40" w:type="dxa"/>
              <w:left w:w="50" w:type="dxa"/>
              <w:right w:w="50" w:type="dxa"/>
            </w:tcMar>
          </w:tcPr>
          <w:p>
            <w:r>
              <w:rPr>
                <w:sz w:val="14"/>
              </w:rPr>
              <w:t>Tech: Models: FrontDeskSubmission, VisitorBadge. Routers: /api/v1/front-desk (12 endpoints). Migration 023.</w:t>
              <w:br/>
              <w:br/>
              <w:t>Ver: Tested in test_front_desk.py; visitor sign-in and walk-in routing verified.</w:t>
            </w:r>
          </w:p>
        </w:tc>
        <w:tc>
          <w:tcPr>
            <w:tcW w:type="dxa" w:w="1656"/>
            <w:shd w:fill="#F8FAFC"/>
            <w:tcMar>
              <w:top w:w="40" w:type="dxa"/>
              <w:bottom w:w="40" w:type="dxa"/>
              <w:left w:w="50" w:type="dxa"/>
              <w:right w:w="50" w:type="dxa"/>
            </w:tcMar>
          </w:tcPr>
          <w:p>
            <w:r>
              <w:rPr>
                <w:sz w:val="14"/>
              </w:rPr>
              <w:t>Physical thermal badge printer integration via WebUSB/network.</w:t>
            </w:r>
          </w:p>
        </w:tc>
        <w:tc>
          <w:tcPr>
            <w:tcW w:type="dxa" w:w="1656"/>
            <w:shd w:fill="#F8FAFC"/>
            <w:tcMar>
              <w:top w:w="40" w:type="dxa"/>
              <w:bottom w:w="40" w:type="dxa"/>
              <w:left w:w="50" w:type="dxa"/>
              <w:right w:w="50" w:type="dxa"/>
            </w:tcMar>
          </w:tcPr>
          <w:p>
            <w:r>
              <w:rPr>
                <w:sz w:val="14"/>
              </w:rPr>
              <w:t>Deps: Badge printer hardware procurement.</w:t>
              <w:br/>
              <w:br/>
              <w:t>Approval: Office Manager approved reception interface.</w:t>
            </w:r>
          </w:p>
        </w:tc>
      </w:tr>
      <w:tr>
        <w:tc>
          <w:tcPr>
            <w:tcW w:type="dxa" w:w="1656"/>
            <w:shd w:fill="FFFFFF"/>
            <w:tcMar>
              <w:top w:w="40" w:type="dxa"/>
              <w:bottom w:w="40" w:type="dxa"/>
              <w:left w:w="50" w:type="dxa"/>
              <w:right w:w="50" w:type="dxa"/>
            </w:tcMar>
          </w:tcPr>
          <w:p>
            <w:r>
              <w:rPr>
                <w:b/>
                <w:sz w:val="14"/>
              </w:rPr>
              <w:t>Office Coordinator &amp; Facility Keys</w:t>
              <w:br/>
              <w:t>Dept: Administration</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Dedicated operations workspace tracking key handoffs, meeting rooms, and supply inventory.</w:t>
            </w:r>
          </w:p>
        </w:tc>
        <w:tc>
          <w:tcPr>
            <w:tcW w:type="dxa" w:w="1656"/>
            <w:shd w:fill="FFFFFF"/>
            <w:tcMar>
              <w:top w:w="40" w:type="dxa"/>
              <w:bottom w:w="40" w:type="dxa"/>
              <w:left w:w="50" w:type="dxa"/>
              <w:right w:w="50" w:type="dxa"/>
            </w:tcMar>
          </w:tcPr>
          <w:p>
            <w:r>
              <w:rPr>
                <w:sz w:val="14"/>
              </w:rPr>
              <w:t>Tech: Models: OperationsRequest, KeyCustodyEvent. Routers: /api/v1/operations (15 endpoints). Migration 029.</w:t>
              <w:br/>
              <w:br/>
              <w:t>Ver: Tested in test_office_coordinator.py; key custody transfer chain verified.</w:t>
            </w:r>
          </w:p>
        </w:tc>
        <w:tc>
          <w:tcPr>
            <w:tcW w:type="dxa" w:w="1656"/>
            <w:shd w:fill="FFFFFF"/>
            <w:tcMar>
              <w:top w:w="40" w:type="dxa"/>
              <w:bottom w:w="40" w:type="dxa"/>
              <w:left w:w="50" w:type="dxa"/>
              <w:right w:w="50" w:type="dxa"/>
            </w:tcMar>
          </w:tcPr>
          <w:p>
            <w:r>
              <w:rPr>
                <w:sz w:val="14"/>
              </w:rPr>
              <w:t>Barcode scanner support for key tags and asset inventory.</w:t>
            </w:r>
          </w:p>
        </w:tc>
        <w:tc>
          <w:tcPr>
            <w:tcW w:type="dxa" w:w="1656"/>
            <w:shd w:fill="FFFFFF"/>
            <w:tcMar>
              <w:top w:w="40" w:type="dxa"/>
              <w:bottom w:w="40" w:type="dxa"/>
              <w:left w:w="50" w:type="dxa"/>
              <w:right w:w="50" w:type="dxa"/>
            </w:tcMar>
          </w:tcPr>
          <w:p>
            <w:r>
              <w:rPr>
                <w:sz w:val="14"/>
              </w:rPr>
              <w:t>Deps: Barcode scanner hardware.</w:t>
              <w:br/>
              <w:br/>
              <w:t>Approval: Office Coordinator approved.</w:t>
            </w:r>
          </w:p>
        </w:tc>
      </w:tr>
      <w:tr>
        <w:tc>
          <w:tcPr>
            <w:tcW w:type="dxa" w:w="1656"/>
            <w:shd w:fill="#F8FAFC"/>
            <w:tcMar>
              <w:top w:w="40" w:type="dxa"/>
              <w:bottom w:w="40" w:type="dxa"/>
              <w:left w:w="50" w:type="dxa"/>
              <w:right w:w="50" w:type="dxa"/>
            </w:tcMar>
          </w:tcPr>
          <w:p>
            <w:r>
              <w:rPr>
                <w:b/>
                <w:sz w:val="14"/>
              </w:rPr>
              <w:t>Fleet Management &amp; Reservations</w:t>
              <w:br/>
              <w:t>Dept: Logistics &amp; Fleet</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Fleet vehicle registry, reservation conflict prevention engine, and inspection checklists.</w:t>
            </w:r>
          </w:p>
        </w:tc>
        <w:tc>
          <w:tcPr>
            <w:tcW w:type="dxa" w:w="1656"/>
            <w:shd w:fill="#F8FAFC"/>
            <w:tcMar>
              <w:top w:w="40" w:type="dxa"/>
              <w:bottom w:w="40" w:type="dxa"/>
              <w:left w:w="50" w:type="dxa"/>
              <w:right w:w="50" w:type="dxa"/>
            </w:tcMar>
          </w:tcPr>
          <w:p>
            <w:r>
              <w:rPr>
                <w:sz w:val="14"/>
              </w:rPr>
              <w:t>Tech: Models: FleetVehicle, FleetReservation. Routers: /api/v1/fleet (12 endpoints). Migration 013.</w:t>
              <w:br/>
              <w:br/>
              <w:t>Ver: Tested in test_fleet.py; reservation collision detection verified.</w:t>
            </w:r>
          </w:p>
        </w:tc>
        <w:tc>
          <w:tcPr>
            <w:tcW w:type="dxa" w:w="1656"/>
            <w:shd w:fill="#F8FAFC"/>
            <w:tcMar>
              <w:top w:w="40" w:type="dxa"/>
              <w:bottom w:w="40" w:type="dxa"/>
              <w:left w:w="50" w:type="dxa"/>
              <w:right w:w="50" w:type="dxa"/>
            </w:tcMar>
          </w:tcPr>
          <w:p>
            <w:r>
              <w:rPr>
                <w:sz w:val="14"/>
              </w:rPr>
              <w:t>Physical GPS telematics hardware pairing.</w:t>
            </w:r>
          </w:p>
        </w:tc>
        <w:tc>
          <w:tcPr>
            <w:tcW w:type="dxa" w:w="1656"/>
            <w:shd w:fill="#F8FAFC"/>
            <w:tcMar>
              <w:top w:w="40" w:type="dxa"/>
              <w:bottom w:w="40" w:type="dxa"/>
              <w:left w:w="50" w:type="dxa"/>
              <w:right w:w="50" w:type="dxa"/>
            </w:tcMar>
          </w:tcPr>
          <w:p>
            <w:r>
              <w:rPr>
                <w:sz w:val="14"/>
              </w:rPr>
              <w:t>Deps: Fleet manager review.</w:t>
              <w:br/>
              <w:br/>
              <w:t>Approval: Approved in initial specification.</w:t>
            </w:r>
          </w:p>
        </w:tc>
      </w:tr>
      <w:tr>
        <w:tc>
          <w:tcPr>
            <w:tcW w:type="dxa" w:w="1656"/>
            <w:shd w:fill="FFFFFF"/>
            <w:tcMar>
              <w:top w:w="40" w:type="dxa"/>
              <w:bottom w:w="40" w:type="dxa"/>
              <w:left w:w="50" w:type="dxa"/>
              <w:right w:w="50" w:type="dxa"/>
            </w:tcMar>
          </w:tcPr>
          <w:p>
            <w:r>
              <w:rPr>
                <w:b/>
                <w:sz w:val="14"/>
              </w:rPr>
              <w:t>Physical Vehicle GPS Tracking</w:t>
              <w:br/>
              <w:t>Dept: Logistics &amp; Fleet</w:t>
            </w:r>
          </w:p>
        </w:tc>
        <w:tc>
          <w:tcPr>
            <w:tcW w:type="dxa" w:w="1656"/>
            <w:shd w:fill="FFFFFF"/>
            <w:tcMar>
              <w:top w:w="40" w:type="dxa"/>
              <w:bottom w:w="40" w:type="dxa"/>
              <w:left w:w="50" w:type="dxa"/>
              <w:right w:w="50" w:type="dxa"/>
            </w:tcMar>
          </w:tcPr>
          <w:p>
            <w:r>
              <w:rPr>
                <w:b/>
                <w:sz w:val="14"/>
              </w:rPr>
              <w:t>PLANNED / NOT IMPLEMENTED</w:t>
            </w:r>
          </w:p>
        </w:tc>
        <w:tc>
          <w:tcPr>
            <w:tcW w:type="dxa" w:w="1656"/>
            <w:shd w:fill="FFFFFF"/>
            <w:tcMar>
              <w:top w:w="40" w:type="dxa"/>
              <w:bottom w:w="40" w:type="dxa"/>
              <w:left w:w="50" w:type="dxa"/>
              <w:right w:w="50" w:type="dxa"/>
            </w:tcMar>
          </w:tcPr>
          <w:p>
            <w:r>
              <w:rPr>
                <w:sz w:val="14"/>
              </w:rPr>
              <w:t>Geofence schema and telemetry data models exist in backend; physical hardware connection NOT IMPLEMENTED.</w:t>
            </w:r>
          </w:p>
        </w:tc>
        <w:tc>
          <w:tcPr>
            <w:tcW w:type="dxa" w:w="1656"/>
            <w:shd w:fill="FFFFFF"/>
            <w:tcMar>
              <w:top w:w="40" w:type="dxa"/>
              <w:bottom w:w="40" w:type="dxa"/>
              <w:left w:w="50" w:type="dxa"/>
              <w:right w:w="50" w:type="dxa"/>
            </w:tcMar>
          </w:tcPr>
          <w:p>
            <w:r>
              <w:rPr>
                <w:sz w:val="14"/>
              </w:rPr>
              <w:t>Tech: Models: FleetGeofence, TelemetryLog in migration 013.</w:t>
              <w:br/>
              <w:br/>
              <w:t>Ver: No live vehicle hardware connected; zero active telematics streams.</w:t>
            </w:r>
          </w:p>
        </w:tc>
        <w:tc>
          <w:tcPr>
            <w:tcW w:type="dxa" w:w="1656"/>
            <w:shd w:fill="FFFFFF"/>
            <w:tcMar>
              <w:top w:w="40" w:type="dxa"/>
              <w:bottom w:w="40" w:type="dxa"/>
              <w:left w:w="50" w:type="dxa"/>
              <w:right w:w="50" w:type="dxa"/>
            </w:tcMar>
          </w:tcPr>
          <w:p>
            <w:r>
              <w:rPr>
                <w:sz w:val="14"/>
              </w:rPr>
              <w:t>Procure cellular OBD-II telematics units, establish cellular IoT contract, implement webhook gateway.</w:t>
            </w:r>
          </w:p>
        </w:tc>
        <w:tc>
          <w:tcPr>
            <w:tcW w:type="dxa" w:w="1656"/>
            <w:shd w:fill="FFFFFF"/>
            <w:tcMar>
              <w:top w:w="40" w:type="dxa"/>
              <w:bottom w:w="40" w:type="dxa"/>
              <w:left w:w="50" w:type="dxa"/>
              <w:right w:w="50" w:type="dxa"/>
            </w:tcMar>
          </w:tcPr>
          <w:p>
            <w:r>
              <w:rPr>
                <w:sz w:val="14"/>
              </w:rPr>
              <w:t>Deps: CRBCL budget allocation for hardware procurement ($150-$250 per vehicle plus cellular SIM fees).</w:t>
              <w:br/>
              <w:br/>
              <w:t>Approval: DECISION PENDING: Board approval for vehicle hardware capital expenditure.</w:t>
            </w:r>
          </w:p>
        </w:tc>
      </w:tr>
      <w:tr>
        <w:tc>
          <w:tcPr>
            <w:tcW w:type="dxa" w:w="1656"/>
            <w:shd w:fill="#F8FAFC"/>
            <w:tcMar>
              <w:top w:w="40" w:type="dxa"/>
              <w:bottom w:w="40" w:type="dxa"/>
              <w:left w:w="50" w:type="dxa"/>
              <w:right w:w="50" w:type="dxa"/>
            </w:tcMar>
          </w:tcPr>
          <w:p>
            <w:r>
              <w:rPr>
                <w:b/>
                <w:sz w:val="14"/>
              </w:rPr>
              <w:t>Finance General Ledger &amp; Per Diem</w:t>
              <w:br/>
              <w:t>Dept: Finance</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General ledger schema with budget lines, per diem calculations based on child acuity, invoice reconciliation.</w:t>
            </w:r>
          </w:p>
        </w:tc>
        <w:tc>
          <w:tcPr>
            <w:tcW w:type="dxa" w:w="1656"/>
            <w:shd w:fill="#F8FAFC"/>
            <w:tcMar>
              <w:top w:w="40" w:type="dxa"/>
              <w:bottom w:w="40" w:type="dxa"/>
              <w:left w:w="50" w:type="dxa"/>
              <w:right w:w="50" w:type="dxa"/>
            </w:tcMar>
          </w:tcPr>
          <w:p>
            <w:r>
              <w:rPr>
                <w:sz w:val="14"/>
              </w:rPr>
              <w:t>Tech: Models: FundingSource, BudgetLine, BillingRate, Invoice. Routers: /api/v1/finance (21 endpoints).</w:t>
              <w:br/>
              <w:br/>
              <w:t>Ver: Tested in test_finance.py; per diem rate calculation matrices verified.</w:t>
            </w:r>
          </w:p>
        </w:tc>
        <w:tc>
          <w:tcPr>
            <w:tcW w:type="dxa" w:w="1656"/>
            <w:shd w:fill="#F8FAFC"/>
            <w:tcMar>
              <w:top w:w="40" w:type="dxa"/>
              <w:bottom w:w="40" w:type="dxa"/>
              <w:left w:w="50" w:type="dxa"/>
              <w:right w:w="50" w:type="dxa"/>
            </w:tcMar>
          </w:tcPr>
          <w:p>
            <w:r>
              <w:rPr>
                <w:sz w:val="14"/>
              </w:rPr>
              <w:t>Automated sync bridge to Sage 300 / Sage 50 accounting software.</w:t>
            </w:r>
          </w:p>
        </w:tc>
        <w:tc>
          <w:tcPr>
            <w:tcW w:type="dxa" w:w="1656"/>
            <w:shd w:fill="#F8FAFC"/>
            <w:tcMar>
              <w:top w:w="40" w:type="dxa"/>
              <w:bottom w:w="40" w:type="dxa"/>
              <w:left w:w="50" w:type="dxa"/>
              <w:right w:w="50" w:type="dxa"/>
            </w:tcMar>
          </w:tcPr>
          <w:p>
            <w:r>
              <w:rPr>
                <w:sz w:val="14"/>
              </w:rPr>
              <w:t>Deps: Finance department chart of accounts mapping.</w:t>
              <w:br/>
              <w:br/>
              <w:t>Approval: Finance Director approved account structure.</w:t>
            </w:r>
          </w:p>
        </w:tc>
      </w:tr>
      <w:tr>
        <w:tc>
          <w:tcPr>
            <w:tcW w:type="dxa" w:w="1656"/>
            <w:shd w:fill="FFFFFF"/>
            <w:tcMar>
              <w:top w:w="40" w:type="dxa"/>
              <w:bottom w:w="40" w:type="dxa"/>
              <w:left w:w="50" w:type="dxa"/>
              <w:right w:w="50" w:type="dxa"/>
            </w:tcMar>
          </w:tcPr>
          <w:p>
            <w:r>
              <w:rPr>
                <w:b/>
                <w:sz w:val="14"/>
              </w:rPr>
              <w:t>CEO Strategic Governance Dashboard</w:t>
              <w:br/>
              <w:t>Dept: Executive Leadership</w:t>
            </w:r>
          </w:p>
        </w:tc>
        <w:tc>
          <w:tcPr>
            <w:tcW w:type="dxa" w:w="1656"/>
            <w:shd w:fill="FFFFFF"/>
            <w:tcMar>
              <w:top w:w="40" w:type="dxa"/>
              <w:bottom w:w="40" w:type="dxa"/>
              <w:left w:w="50" w:type="dxa"/>
              <w:right w:w="50" w:type="dxa"/>
            </w:tcMar>
          </w:tcPr>
          <w:p>
            <w:r>
              <w:rPr>
                <w:b/>
                <w:sz w:val="14"/>
              </w:rPr>
              <w:t>LIVE VERIFIED</w:t>
            </w:r>
          </w:p>
        </w:tc>
        <w:tc>
          <w:tcPr>
            <w:tcW w:type="dxa" w:w="1656"/>
            <w:shd w:fill="FFFFFF"/>
            <w:tcMar>
              <w:top w:w="40" w:type="dxa"/>
              <w:bottom w:w="40" w:type="dxa"/>
              <w:left w:w="50" w:type="dxa"/>
              <w:right w:w="50" w:type="dxa"/>
            </w:tcMar>
          </w:tcPr>
          <w:p>
            <w:r>
              <w:rPr>
                <w:sz w:val="14"/>
              </w:rPr>
              <w:t>Dedicated executive view (/ceo) aggregating child counts, vacancy rates, budget variances, and critical alerts.</w:t>
            </w:r>
          </w:p>
        </w:tc>
        <w:tc>
          <w:tcPr>
            <w:tcW w:type="dxa" w:w="1656"/>
            <w:shd w:fill="FFFFFF"/>
            <w:tcMar>
              <w:top w:w="40" w:type="dxa"/>
              <w:bottom w:w="40" w:type="dxa"/>
              <w:left w:w="50" w:type="dxa"/>
              <w:right w:w="50" w:type="dxa"/>
            </w:tcMar>
          </w:tcPr>
          <w:p>
            <w:r>
              <w:rPr>
                <w:sz w:val="14"/>
              </w:rPr>
              <w:t>Tech: Frontend: ExecutiveDashboard.jsx. Routers: /api/v1/ceo-dashboard (10 endpoints). Migration 024.</w:t>
              <w:br/>
              <w:br/>
              <w:t>Ver: LIVE VERIFIED during authenticated October 2026 UAT on production website.</w:t>
            </w:r>
          </w:p>
        </w:tc>
        <w:tc>
          <w:tcPr>
            <w:tcW w:type="dxa" w:w="1656"/>
            <w:shd w:fill="FFFFFF"/>
            <w:tcMar>
              <w:top w:w="40" w:type="dxa"/>
              <w:bottom w:w="40" w:type="dxa"/>
              <w:left w:w="50" w:type="dxa"/>
              <w:right w:w="50" w:type="dxa"/>
            </w:tcMar>
          </w:tcPr>
          <w:p>
            <w:r>
              <w:rPr>
                <w:sz w:val="14"/>
              </w:rPr>
              <w:t>Automated weekly PDF executive briefing email generation.</w:t>
            </w:r>
          </w:p>
        </w:tc>
        <w:tc>
          <w:tcPr>
            <w:tcW w:type="dxa" w:w="1656"/>
            <w:shd w:fill="FFFFFF"/>
            <w:tcMar>
              <w:top w:w="40" w:type="dxa"/>
              <w:bottom w:w="40" w:type="dxa"/>
              <w:left w:w="50" w:type="dxa"/>
              <w:right w:w="50" w:type="dxa"/>
            </w:tcMar>
          </w:tcPr>
          <w:p>
            <w:r>
              <w:rPr>
                <w:sz w:val="14"/>
              </w:rPr>
              <w:t>Deps: Permissions: executive_dashboard.view.</w:t>
              <w:br/>
              <w:br/>
              <w:t>Approval: CEO reviewed and validated live metrics.</w:t>
            </w:r>
          </w:p>
        </w:tc>
      </w:tr>
      <w:tr>
        <w:tc>
          <w:tcPr>
            <w:tcW w:type="dxa" w:w="1656"/>
            <w:shd w:fill="#F8FAFC"/>
            <w:tcMar>
              <w:top w:w="40" w:type="dxa"/>
              <w:bottom w:w="40" w:type="dxa"/>
              <w:left w:w="50" w:type="dxa"/>
              <w:right w:w="50" w:type="dxa"/>
            </w:tcMar>
          </w:tcPr>
          <w:p>
            <w:r>
              <w:rPr>
                <w:b/>
                <w:sz w:val="14"/>
              </w:rPr>
              <w:t>Board Member Governance Portal</w:t>
              <w:br/>
              <w:t>Dept: Board of Directors</w:t>
            </w:r>
          </w:p>
        </w:tc>
        <w:tc>
          <w:tcPr>
            <w:tcW w:type="dxa" w:w="1656"/>
            <w:shd w:fill="#F8FAFC"/>
            <w:tcMar>
              <w:top w:w="40" w:type="dxa"/>
              <w:bottom w:w="40" w:type="dxa"/>
              <w:left w:w="50" w:type="dxa"/>
              <w:right w:w="50" w:type="dxa"/>
            </w:tcMar>
          </w:tcPr>
          <w:p>
            <w:r>
              <w:rPr>
                <w:b/>
                <w:sz w:val="14"/>
              </w:rPr>
              <w:t>LIVE VERIFIED</w:t>
            </w:r>
          </w:p>
        </w:tc>
        <w:tc>
          <w:tcPr>
            <w:tcW w:type="dxa" w:w="1656"/>
            <w:shd w:fill="#F8FAFC"/>
            <w:tcMar>
              <w:top w:w="40" w:type="dxa"/>
              <w:bottom w:w="40" w:type="dxa"/>
              <w:left w:w="50" w:type="dxa"/>
              <w:right w:w="50" w:type="dxa"/>
            </w:tcMar>
          </w:tcPr>
          <w:p>
            <w:r>
              <w:rPr>
                <w:sz w:val="14"/>
              </w:rPr>
              <w:t>Dedicated portal (/board) with published meeting documents, resolutions voting, and governance metrics.</w:t>
            </w:r>
          </w:p>
        </w:tc>
        <w:tc>
          <w:tcPr>
            <w:tcW w:type="dxa" w:w="1656"/>
            <w:shd w:fill="#F8FAFC"/>
            <w:tcMar>
              <w:top w:w="40" w:type="dxa"/>
              <w:bottom w:w="40" w:type="dxa"/>
              <w:left w:w="50" w:type="dxa"/>
              <w:right w:w="50" w:type="dxa"/>
            </w:tcMar>
          </w:tcPr>
          <w:p>
            <w:r>
              <w:rPr>
                <w:sz w:val="14"/>
              </w:rPr>
              <w:t>Tech: Frontend: BoardPortal.jsx. Routers: /api/v1/board (13 endpoints). Migration 026.</w:t>
              <w:br/>
              <w:br/>
              <w:t>Ver: LIVE VERIFIED during authenticated October 2026 UAT on production website.</w:t>
            </w:r>
          </w:p>
        </w:tc>
        <w:tc>
          <w:tcPr>
            <w:tcW w:type="dxa" w:w="1656"/>
            <w:shd w:fill="#F8FAFC"/>
            <w:tcMar>
              <w:top w:w="40" w:type="dxa"/>
              <w:bottom w:w="40" w:type="dxa"/>
              <w:left w:w="50" w:type="dxa"/>
              <w:right w:w="50" w:type="dxa"/>
            </w:tcMar>
          </w:tcPr>
          <w:p>
            <w:r>
              <w:rPr>
                <w:sz w:val="14"/>
              </w:rPr>
              <w:t>Electronic resolution signing with cryptographic audit trail.</w:t>
            </w:r>
          </w:p>
        </w:tc>
        <w:tc>
          <w:tcPr>
            <w:tcW w:type="dxa" w:w="1656"/>
            <w:shd w:fill="#F8FAFC"/>
            <w:tcMar>
              <w:top w:w="40" w:type="dxa"/>
              <w:bottom w:w="40" w:type="dxa"/>
              <w:left w:w="50" w:type="dxa"/>
              <w:right w:w="50" w:type="dxa"/>
            </w:tcMar>
          </w:tcPr>
          <w:p>
            <w:r>
              <w:rPr>
                <w:sz w:val="14"/>
              </w:rPr>
              <w:t>Deps: Permissions: board_dashboard.view, board_publication.approve.</w:t>
              <w:br/>
              <w:br/>
              <w:t>Approval: Board of Directors validated governance portal.</w:t>
            </w:r>
          </w:p>
        </w:tc>
      </w:tr>
      <w:tr>
        <w:tc>
          <w:tcPr>
            <w:tcW w:type="dxa" w:w="1656"/>
            <w:shd w:fill="FFFFFF"/>
            <w:tcMar>
              <w:top w:w="40" w:type="dxa"/>
              <w:bottom w:w="40" w:type="dxa"/>
              <w:left w:w="50" w:type="dxa"/>
              <w:right w:w="50" w:type="dxa"/>
            </w:tcMar>
          </w:tcPr>
          <w:p>
            <w:r>
              <w:rPr>
                <w:b/>
                <w:sz w:val="14"/>
              </w:rPr>
              <w:t>24 Team Department Dashboards</w:t>
              <w:br/>
              <w:t>Dept: Frontline Operations</w:t>
            </w:r>
          </w:p>
        </w:tc>
        <w:tc>
          <w:tcPr>
            <w:tcW w:type="dxa" w:w="1656"/>
            <w:shd w:fill="FFFFFF"/>
            <w:tcMar>
              <w:top w:w="40" w:type="dxa"/>
              <w:bottom w:w="40" w:type="dxa"/>
              <w:left w:w="50" w:type="dxa"/>
              <w:right w:w="50" w:type="dxa"/>
            </w:tcMar>
          </w:tcPr>
          <w:p>
            <w:r>
              <w:rPr>
                <w:b/>
                <w:sz w:val="14"/>
              </w:rPr>
              <w:t>SOURCE IMPLEMENTED — BUILD VERIFIED</w:t>
            </w:r>
          </w:p>
        </w:tc>
        <w:tc>
          <w:tcPr>
            <w:tcW w:type="dxa" w:w="1656"/>
            <w:shd w:fill="FFFFFF"/>
            <w:tcMar>
              <w:top w:w="40" w:type="dxa"/>
              <w:bottom w:w="40" w:type="dxa"/>
              <w:left w:w="50" w:type="dxa"/>
              <w:right w:w="50" w:type="dxa"/>
            </w:tcMar>
          </w:tcPr>
          <w:p>
            <w:r>
              <w:rPr>
                <w:sz w:val="14"/>
              </w:rPr>
              <w:t>24 team dashboards defined in Teams.jsx and TeamDashboard.jsx with team-specific work queues and KPIs.</w:t>
            </w:r>
          </w:p>
        </w:tc>
        <w:tc>
          <w:tcPr>
            <w:tcW w:type="dxa" w:w="1656"/>
            <w:shd w:fill="FFFFFF"/>
            <w:tcMar>
              <w:top w:w="40" w:type="dxa"/>
              <w:bottom w:w="40" w:type="dxa"/>
              <w:left w:w="50" w:type="dxa"/>
              <w:right w:w="50" w:type="dxa"/>
            </w:tcMar>
          </w:tcPr>
          <w:p>
            <w:r>
              <w:rPr>
                <w:sz w:val="14"/>
              </w:rPr>
              <w:t>Tech: Frontend: Teams.jsx, TeamDashboard.jsx (IDs 1-24). Routers: /api/v1/teams, /api/v1/dashboards.</w:t>
              <w:br/>
              <w:br/>
              <w:t>Ver: Frontend build verified; seed teams populated in backend/app/core/seed.py.</w:t>
            </w:r>
          </w:p>
        </w:tc>
        <w:tc>
          <w:tcPr>
            <w:tcW w:type="dxa" w:w="1656"/>
            <w:shd w:fill="FFFFFF"/>
            <w:tcMar>
              <w:top w:w="40" w:type="dxa"/>
              <w:bottom w:w="40" w:type="dxa"/>
              <w:left w:w="50" w:type="dxa"/>
              <w:right w:w="50" w:type="dxa"/>
            </w:tcMar>
          </w:tcPr>
          <w:p>
            <w:r>
              <w:rPr>
                <w:sz w:val="14"/>
              </w:rPr>
              <w:t>Frontline supervisor UAT for each of the 24 individual teams to tailor workflow cards.</w:t>
            </w:r>
          </w:p>
        </w:tc>
        <w:tc>
          <w:tcPr>
            <w:tcW w:type="dxa" w:w="1656"/>
            <w:shd w:fill="FFFFFF"/>
            <w:tcMar>
              <w:top w:w="40" w:type="dxa"/>
              <w:bottom w:w="40" w:type="dxa"/>
              <w:left w:w="50" w:type="dxa"/>
              <w:right w:w="50" w:type="dxa"/>
            </w:tcMar>
          </w:tcPr>
          <w:p>
            <w:r>
              <w:rPr>
                <w:sz w:val="14"/>
              </w:rPr>
              <w:t>Deps: Department supervisor assignment.</w:t>
              <w:br/>
              <w:br/>
              <w:t>Approval: Departmental taxonomy approved.</w:t>
            </w:r>
          </w:p>
        </w:tc>
      </w:tr>
      <w:tr>
        <w:tc>
          <w:tcPr>
            <w:tcW w:type="dxa" w:w="1656"/>
            <w:shd w:fill="#F8FAFC"/>
            <w:tcMar>
              <w:top w:w="40" w:type="dxa"/>
              <w:bottom w:w="40" w:type="dxa"/>
              <w:left w:w="50" w:type="dxa"/>
              <w:right w:w="50" w:type="dxa"/>
            </w:tcMar>
          </w:tcPr>
          <w:p>
            <w:r>
              <w:rPr>
                <w:b/>
                <w:sz w:val="14"/>
              </w:rPr>
              <w:t>35 Admin Control Centre Workspaces</w:t>
              <w:br/>
              <w:t>Dept: IT Administration</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35 canonical administrative workspaces registered in dashboard_registry_service.py with RBAC protection.</w:t>
            </w:r>
          </w:p>
        </w:tc>
        <w:tc>
          <w:tcPr>
            <w:tcW w:type="dxa" w:w="1656"/>
            <w:shd w:fill="#F8FAFC"/>
            <w:tcMar>
              <w:top w:w="40" w:type="dxa"/>
              <w:bottom w:w="40" w:type="dxa"/>
              <w:left w:w="50" w:type="dxa"/>
              <w:right w:w="50" w:type="dxa"/>
            </w:tcMar>
          </w:tcPr>
          <w:p>
            <w:r>
              <w:rPr>
                <w:sz w:val="14"/>
              </w:rPr>
              <w:t>Tech: Backend: CANONICAL_WORKSPACES (35 entries). Frontend: AdminWorkspaces.jsx, ControlCentre.jsx.</w:t>
              <w:br/>
              <w:br/>
              <w:t>Ver: Registry service unit tested; admin route authorization verified.</w:t>
            </w:r>
          </w:p>
        </w:tc>
        <w:tc>
          <w:tcPr>
            <w:tcW w:type="dxa" w:w="1656"/>
            <w:shd w:fill="#F8FAFC"/>
            <w:tcMar>
              <w:top w:w="40" w:type="dxa"/>
              <w:bottom w:w="40" w:type="dxa"/>
              <w:left w:w="50" w:type="dxa"/>
              <w:right w:w="50" w:type="dxa"/>
            </w:tcMar>
          </w:tcPr>
          <w:p>
            <w:r>
              <w:rPr>
                <w:sz w:val="14"/>
              </w:rPr>
              <w:t>Finalize specialized UI configuration forms for remaining 6 advanced lookup workspaces.</w:t>
            </w:r>
          </w:p>
        </w:tc>
        <w:tc>
          <w:tcPr>
            <w:tcW w:type="dxa" w:w="1656"/>
            <w:shd w:fill="#F8FAFC"/>
            <w:tcMar>
              <w:top w:w="40" w:type="dxa"/>
              <w:bottom w:w="40" w:type="dxa"/>
              <w:left w:w="50" w:type="dxa"/>
              <w:right w:w="50" w:type="dxa"/>
            </w:tcMar>
          </w:tcPr>
          <w:p>
            <w:r>
              <w:rPr>
                <w:sz w:val="14"/>
              </w:rPr>
              <w:t>Deps: Permissions: admin.access, admin.configure.</w:t>
              <w:br/>
              <w:br/>
              <w:t>Approval: IT Lead approved administrative registry.</w:t>
            </w:r>
          </w:p>
        </w:tc>
      </w:tr>
      <w:tr>
        <w:tc>
          <w:tcPr>
            <w:tcW w:type="dxa" w:w="1656"/>
            <w:shd w:fill="FFFFFF"/>
            <w:tcMar>
              <w:top w:w="40" w:type="dxa"/>
              <w:bottom w:w="40" w:type="dxa"/>
              <w:left w:w="50" w:type="dxa"/>
              <w:right w:w="50" w:type="dxa"/>
            </w:tcMar>
          </w:tcPr>
          <w:p>
            <w:r>
              <w:rPr>
                <w:b/>
                <w:sz w:val="14"/>
              </w:rPr>
              <w:t>Ask Red Bear Speech Transcription</w:t>
              <w:br/>
              <w:t>Dept: AI &amp; Innovation</w:t>
            </w:r>
          </w:p>
        </w:tc>
        <w:tc>
          <w:tcPr>
            <w:tcW w:type="dxa" w:w="1656"/>
            <w:shd w:fill="FFFFFF"/>
            <w:tcMar>
              <w:top w:w="40" w:type="dxa"/>
              <w:bottom w:w="40" w:type="dxa"/>
              <w:left w:w="50" w:type="dxa"/>
              <w:right w:w="50" w:type="dxa"/>
            </w:tcMar>
          </w:tcPr>
          <w:p>
            <w:r>
              <w:rPr>
                <w:b/>
                <w:sz w:val="14"/>
              </w:rPr>
              <w:t>LIVE VERIFIED</w:t>
            </w:r>
          </w:p>
        </w:tc>
        <w:tc>
          <w:tcPr>
            <w:tcW w:type="dxa" w:w="1656"/>
            <w:shd w:fill="FFFFFF"/>
            <w:tcMar>
              <w:top w:w="40" w:type="dxa"/>
              <w:bottom w:w="40" w:type="dxa"/>
              <w:left w:w="50" w:type="dxa"/>
              <w:right w:w="50" w:type="dxa"/>
            </w:tcMar>
          </w:tcPr>
          <w:p>
            <w:r>
              <w:rPr>
                <w:sz w:val="14"/>
              </w:rPr>
              <w:t>Web Audio API recording streaming base64 audio to backend transcription endpoint.</w:t>
            </w:r>
          </w:p>
        </w:tc>
        <w:tc>
          <w:tcPr>
            <w:tcW w:type="dxa" w:w="1656"/>
            <w:shd w:fill="FFFFFF"/>
            <w:tcMar>
              <w:top w:w="40" w:type="dxa"/>
              <w:bottom w:w="40" w:type="dxa"/>
              <w:left w:w="50" w:type="dxa"/>
              <w:right w:w="50" w:type="dxa"/>
            </w:tcMar>
          </w:tcPr>
          <w:p>
            <w:r>
              <w:rPr>
                <w:sz w:val="14"/>
              </w:rPr>
              <w:t>Tech: Frontend: SpeechRecorder.jsx. Backend: POST /api/v1/ask-red-bear/transcribe.</w:t>
              <w:br/>
              <w:br/>
              <w:t>Ver: LIVE VERIFIED during authenticated October 2026 UAT on production website.</w:t>
            </w:r>
          </w:p>
        </w:tc>
        <w:tc>
          <w:tcPr>
            <w:tcW w:type="dxa" w:w="1656"/>
            <w:shd w:fill="FFFFFF"/>
            <w:tcMar>
              <w:top w:w="40" w:type="dxa"/>
              <w:bottom w:w="40" w:type="dxa"/>
              <w:left w:w="50" w:type="dxa"/>
              <w:right w:w="50" w:type="dxa"/>
            </w:tcMar>
          </w:tcPr>
          <w:p>
            <w:r>
              <w:rPr>
                <w:sz w:val="14"/>
              </w:rPr>
              <w:t>Add background noise cancellation filtering for field use.</w:t>
            </w:r>
          </w:p>
        </w:tc>
        <w:tc>
          <w:tcPr>
            <w:tcW w:type="dxa" w:w="1656"/>
            <w:shd w:fill="FFFFFF"/>
            <w:tcMar>
              <w:top w:w="40" w:type="dxa"/>
              <w:bottom w:w="40" w:type="dxa"/>
              <w:left w:w="50" w:type="dxa"/>
              <w:right w:w="50" w:type="dxa"/>
            </w:tcMar>
          </w:tcPr>
          <w:p>
            <w:r>
              <w:rPr>
                <w:sz w:val="14"/>
              </w:rPr>
              <w:t>Deps: Microphone hardware in browser/phone.</w:t>
              <w:br/>
              <w:br/>
              <w:t>Approval: Caseworkers approved voice transcription.</w:t>
            </w:r>
          </w:p>
        </w:tc>
      </w:tr>
      <w:tr>
        <w:tc>
          <w:tcPr>
            <w:tcW w:type="dxa" w:w="1656"/>
            <w:shd w:fill="#F8FAFC"/>
            <w:tcMar>
              <w:top w:w="40" w:type="dxa"/>
              <w:bottom w:w="40" w:type="dxa"/>
              <w:left w:w="50" w:type="dxa"/>
              <w:right w:w="50" w:type="dxa"/>
            </w:tcMar>
          </w:tcPr>
          <w:p>
            <w:r>
              <w:rPr>
                <w:b/>
                <w:sz w:val="14"/>
              </w:rPr>
              <w:t>Ask Red Bear AI Answer Engine</w:t>
              <w:br/>
              <w:t>Dept: AI &amp; Innovation</w:t>
            </w:r>
          </w:p>
        </w:tc>
        <w:tc>
          <w:tcPr>
            <w:tcW w:type="dxa" w:w="1656"/>
            <w:shd w:fill="#F8FAFC"/>
            <w:tcMar>
              <w:top w:w="40" w:type="dxa"/>
              <w:bottom w:w="40" w:type="dxa"/>
              <w:left w:w="50" w:type="dxa"/>
              <w:right w:w="50" w:type="dxa"/>
            </w:tcMar>
          </w:tcPr>
          <w:p>
            <w:r>
              <w:rPr>
                <w:b/>
                <w:sz w:val="14"/>
              </w:rPr>
              <w:t>STUBBED / NOT LIVE</w:t>
            </w:r>
          </w:p>
        </w:tc>
        <w:tc>
          <w:tcPr>
            <w:tcW w:type="dxa" w:w="1656"/>
            <w:shd w:fill="#F8FAFC"/>
            <w:tcMar>
              <w:top w:w="40" w:type="dxa"/>
              <w:bottom w:w="40" w:type="dxa"/>
              <w:left w:w="50" w:type="dxa"/>
              <w:right w:w="50" w:type="dxa"/>
            </w:tcMar>
          </w:tcPr>
          <w:p>
            <w:r>
              <w:rPr>
                <w:sz w:val="14"/>
              </w:rPr>
              <w:t>AI Gateway interface exists; currently routes to FakeAiProvider generating simulated responses.</w:t>
            </w:r>
          </w:p>
        </w:tc>
        <w:tc>
          <w:tcPr>
            <w:tcW w:type="dxa" w:w="1656"/>
            <w:shd w:fill="#F8FAFC"/>
            <w:tcMar>
              <w:top w:w="40" w:type="dxa"/>
              <w:bottom w:w="40" w:type="dxa"/>
              <w:left w:w="50" w:type="dxa"/>
              <w:right w:w="50" w:type="dxa"/>
            </w:tcMar>
          </w:tcPr>
          <w:p>
            <w:r>
              <w:rPr>
                <w:sz w:val="14"/>
              </w:rPr>
              <w:t>Tech: Backend: ai_gateway.py, POST /api/v1/ask-red-bear/query. Service: FakeAiProvider.</w:t>
              <w:br/>
              <w:br/>
              <w:t>Ver: Query endpoint returns mock text; LIVE CLOUD LLM IS NOT CONNECTED OR OPERATIONAL.</w:t>
            </w:r>
          </w:p>
        </w:tc>
        <w:tc>
          <w:tcPr>
            <w:tcW w:type="dxa" w:w="1656"/>
            <w:shd w:fill="#F8FAFC"/>
            <w:tcMar>
              <w:top w:w="40" w:type="dxa"/>
              <w:bottom w:w="40" w:type="dxa"/>
              <w:left w:w="50" w:type="dxa"/>
              <w:right w:w="50" w:type="dxa"/>
            </w:tcMar>
          </w:tcPr>
          <w:p>
            <w:r>
              <w:rPr>
                <w:sz w:val="14"/>
              </w:rPr>
              <w:t>Evaluate candidate cloud LLM options (Anthropic Claude, Azure OpenAI, Canadian sovereign model), obtain Board selection and budget approval, provision API credentials, and build pgvector RAG index of Cowessess Acts.</w:t>
            </w:r>
          </w:p>
        </w:tc>
        <w:tc>
          <w:tcPr>
            <w:tcW w:type="dxa" w:w="1656"/>
            <w:shd w:fill="#F8FAFC"/>
            <w:tcMar>
              <w:top w:w="40" w:type="dxa"/>
              <w:bottom w:w="40" w:type="dxa"/>
              <w:left w:w="50" w:type="dxa"/>
              <w:right w:w="50" w:type="dxa"/>
            </w:tcMar>
          </w:tcPr>
          <w:p>
            <w:r>
              <w:rPr>
                <w:sz w:val="14"/>
              </w:rPr>
              <w:t>Deps: Board selection of cloud AI provider; privacy review; token cost governance agreement.</w:t>
              <w:br/>
              <w:br/>
              <w:t>Approval: DECISION PENDING: Board evaluation and approval for cloud AI provider selection and operating budget.</w:t>
            </w:r>
          </w:p>
        </w:tc>
      </w:tr>
      <w:tr>
        <w:tc>
          <w:tcPr>
            <w:tcW w:type="dxa" w:w="1656"/>
            <w:shd w:fill="FFFFFF"/>
            <w:tcMar>
              <w:top w:w="40" w:type="dxa"/>
              <w:bottom w:w="40" w:type="dxa"/>
              <w:left w:w="50" w:type="dxa"/>
              <w:right w:w="50" w:type="dxa"/>
            </w:tcMar>
          </w:tcPr>
          <w:p>
            <w:r>
              <w:rPr>
                <w:b/>
                <w:sz w:val="14"/>
              </w:rPr>
              <w:t>Flutter Mobile Application UI</w:t>
              <w:br/>
              <w:t>Dept: Mobile Operations</w:t>
            </w:r>
          </w:p>
        </w:tc>
        <w:tc>
          <w:tcPr>
            <w:tcW w:type="dxa" w:w="1656"/>
            <w:shd w:fill="FFFFFF"/>
            <w:tcMar>
              <w:top w:w="40" w:type="dxa"/>
              <w:bottom w:w="40" w:type="dxa"/>
              <w:left w:w="50" w:type="dxa"/>
              <w:right w:w="50" w:type="dxa"/>
            </w:tcMar>
          </w:tcPr>
          <w:p>
            <w:r>
              <w:rPr>
                <w:b/>
                <w:sz w:val="14"/>
              </w:rPr>
              <w:t>MOBILE OFFLINE FUNCTIONALITY — USER TESTED AND CONFIRMED WORKING</w:t>
            </w:r>
          </w:p>
        </w:tc>
        <w:tc>
          <w:tcPr>
            <w:tcW w:type="dxa" w:w="1656"/>
            <w:shd w:fill="FFFFFF"/>
            <w:tcMar>
              <w:top w:w="40" w:type="dxa"/>
              <w:bottom w:w="40" w:type="dxa"/>
              <w:left w:w="50" w:type="dxa"/>
              <w:right w:w="50" w:type="dxa"/>
            </w:tcMar>
          </w:tcPr>
          <w:p>
            <w:r>
              <w:rPr>
                <w:sz w:val="14"/>
              </w:rPr>
              <w:t>Flutter 3.x codebase with redesigned home dashboard, bottom navigation, case lookup, and quick note entry.</w:t>
            </w:r>
          </w:p>
        </w:tc>
        <w:tc>
          <w:tcPr>
            <w:tcW w:type="dxa" w:w="1656"/>
            <w:shd w:fill="FFFFFF"/>
            <w:tcMar>
              <w:top w:w="40" w:type="dxa"/>
              <w:bottom w:w="40" w:type="dxa"/>
              <w:left w:w="50" w:type="dxa"/>
              <w:right w:w="50" w:type="dxa"/>
            </w:tcMar>
          </w:tcPr>
          <w:p>
            <w:r>
              <w:rPr>
                <w:sz w:val="14"/>
              </w:rPr>
              <w:t>Tech: Mobile Repository: mobile/lib/ (screens, widgets, providers). Android APK generated.</w:t>
              <w:br/>
              <w:br/>
              <w:t>Ver: The CRBCL mobile application has been installed and personally tested by the developer on a physical Android device. The developer confirms that the application's offline functionality operates successfully during offline use. This constitutes firsthand user testing of mobile offline functionality. Additional structured acceptance testing may still be required for synchronization, conflict resolution, recovery scenarios, and organization-wide operational approval.</w:t>
            </w:r>
          </w:p>
        </w:tc>
        <w:tc>
          <w:tcPr>
            <w:tcW w:type="dxa" w:w="1656"/>
            <w:shd w:fill="FFFFFF"/>
            <w:tcMar>
              <w:top w:w="40" w:type="dxa"/>
              <w:bottom w:w="40" w:type="dxa"/>
              <w:left w:w="50" w:type="dxa"/>
              <w:right w:w="50" w:type="dxa"/>
            </w:tcMar>
          </w:tcPr>
          <w:p>
            <w:r>
              <w:rPr>
                <w:sz w:val="14"/>
              </w:rPr>
              <w:t>Structured organizational UAT including synchronization, conflict resolution, and recovery scenario testing with CRBCL frontline supervisors.</w:t>
            </w:r>
          </w:p>
        </w:tc>
        <w:tc>
          <w:tcPr>
            <w:tcW w:type="dxa" w:w="1656"/>
            <w:shd w:fill="FFFFFF"/>
            <w:tcMar>
              <w:top w:w="40" w:type="dxa"/>
              <w:bottom w:w="40" w:type="dxa"/>
              <w:left w:w="50" w:type="dxa"/>
              <w:right w:w="50" w:type="dxa"/>
            </w:tcMar>
          </w:tcPr>
          <w:p>
            <w:r>
              <w:rPr>
                <w:sz w:val="14"/>
              </w:rPr>
              <w:t>Deps: Android / iOS device build pipeline.</w:t>
              <w:br/>
              <w:br/>
              <w:t>Approval: Developer firsthand test confirmed offline operation. Formal organizational supervisor sign-off pending.</w:t>
            </w:r>
          </w:p>
        </w:tc>
      </w:tr>
      <w:tr>
        <w:tc>
          <w:tcPr>
            <w:tcW w:type="dxa" w:w="1656"/>
            <w:shd w:fill="#F8FAFC"/>
            <w:tcMar>
              <w:top w:w="40" w:type="dxa"/>
              <w:bottom w:w="40" w:type="dxa"/>
              <w:left w:w="50" w:type="dxa"/>
              <w:right w:w="50" w:type="dxa"/>
            </w:tcMar>
          </w:tcPr>
          <w:p>
            <w:r>
              <w:rPr>
                <w:b/>
                <w:sz w:val="14"/>
              </w:rPr>
              <w:t>Mobile Offline SQLite Synchronization</w:t>
              <w:br/>
              <w:t>Dept: Mobile Operations</w:t>
            </w:r>
          </w:p>
        </w:tc>
        <w:tc>
          <w:tcPr>
            <w:tcW w:type="dxa" w:w="1656"/>
            <w:shd w:fill="#F8FAFC"/>
            <w:tcMar>
              <w:top w:w="40" w:type="dxa"/>
              <w:bottom w:w="40" w:type="dxa"/>
              <w:left w:w="50" w:type="dxa"/>
              <w:right w:w="50" w:type="dxa"/>
            </w:tcMar>
          </w:tcPr>
          <w:p>
            <w:r>
              <w:rPr>
                <w:b/>
                <w:sz w:val="14"/>
              </w:rPr>
              <w:t>MOBILE OFFLINE FUNCTIONALITY — USER TESTED AND CONFIRMED WORKING</w:t>
            </w:r>
          </w:p>
        </w:tc>
        <w:tc>
          <w:tcPr>
            <w:tcW w:type="dxa" w:w="1656"/>
            <w:shd w:fill="#F8FAFC"/>
            <w:tcMar>
              <w:top w:w="40" w:type="dxa"/>
              <w:bottom w:w="40" w:type="dxa"/>
              <w:left w:w="50" w:type="dxa"/>
              <w:right w:w="50" w:type="dxa"/>
            </w:tcMar>
          </w:tcPr>
          <w:p>
            <w:r>
              <w:rPr>
                <w:sz w:val="14"/>
              </w:rPr>
              <w:t>Encrypted local SQLite storage (SQLCipher AES-256) with transactional outbox queue and idempotent REST sync dispatch (/api/v1/sync).</w:t>
            </w:r>
          </w:p>
        </w:tc>
        <w:tc>
          <w:tcPr>
            <w:tcW w:type="dxa" w:w="1656"/>
            <w:shd w:fill="#F8FAFC"/>
            <w:tcMar>
              <w:top w:w="40" w:type="dxa"/>
              <w:bottom w:w="40" w:type="dxa"/>
              <w:left w:w="50" w:type="dxa"/>
              <w:right w:w="50" w:type="dxa"/>
            </w:tcMar>
          </w:tcPr>
          <w:p>
            <w:r>
              <w:rPr>
                <w:sz w:val="14"/>
              </w:rPr>
              <w:t>Tech: Mobile: sync_engine.dart, db_helper.dart. Backend: /api/v1/sync (5 endpoints). Migration 016.</w:t>
              <w:br/>
              <w:br/>
              <w:t>Ver: The CRBCL mobile application has been installed and personally tested by the developer on a physical Android device. The developer confirms that the application's offline functionality operates successfully during offline use. This constitutes firsthand user testing of mobile offline functionality. Additional structured acceptance testing may still be required for synchronization, conflict resolution, recovery scenarios, and organization-wide operational approval.</w:t>
            </w:r>
          </w:p>
        </w:tc>
        <w:tc>
          <w:tcPr>
            <w:tcW w:type="dxa" w:w="1656"/>
            <w:shd w:fill="#F8FAFC"/>
            <w:tcMar>
              <w:top w:w="40" w:type="dxa"/>
              <w:bottom w:w="40" w:type="dxa"/>
              <w:left w:w="50" w:type="dxa"/>
              <w:right w:w="50" w:type="dxa"/>
            </w:tcMar>
          </w:tcPr>
          <w:p>
            <w:r>
              <w:rPr>
                <w:sz w:val="14"/>
              </w:rPr>
              <w:t>Execute structured organizational field UAT with CRBCL frontline supervisors covering automated multi-device sync, conflict resolution policies, and unexpected data recovery scenarios.</w:t>
            </w:r>
          </w:p>
        </w:tc>
        <w:tc>
          <w:tcPr>
            <w:tcW w:type="dxa" w:w="1656"/>
            <w:shd w:fill="#F8FAFC"/>
            <w:tcMar>
              <w:top w:w="40" w:type="dxa"/>
              <w:bottom w:w="40" w:type="dxa"/>
              <w:left w:w="50" w:type="dxa"/>
              <w:right w:w="50" w:type="dxa"/>
            </w:tcMar>
          </w:tcPr>
          <w:p>
            <w:r>
              <w:rPr>
                <w:sz w:val="14"/>
              </w:rPr>
              <w:t>Deps: Physical test devices with SIM cards; CRBCL supervisor participation.</w:t>
              <w:br/>
              <w:br/>
              <w:t>Approval: Pending formal frontline supervisor field acceptance sign-off.</w:t>
            </w:r>
          </w:p>
        </w:tc>
      </w:tr>
      <w:tr>
        <w:tc>
          <w:tcPr>
            <w:tcW w:type="dxa" w:w="1656"/>
            <w:shd w:fill="FFFFFF"/>
            <w:tcMar>
              <w:top w:w="40" w:type="dxa"/>
              <w:bottom w:w="40" w:type="dxa"/>
              <w:left w:w="50" w:type="dxa"/>
              <w:right w:w="50" w:type="dxa"/>
            </w:tcMar>
          </w:tcPr>
          <w:p>
            <w:r>
              <w:rPr>
                <w:b/>
                <w:sz w:val="14"/>
              </w:rPr>
              <w:t>Isolated Web Offline Workspace</w:t>
              <w:br/>
              <w:t>Dept: Web Operations</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Isolated route (/offline-workspace) caching static assets via HTML5 Service Worker and IndexedDB.</w:t>
            </w:r>
          </w:p>
        </w:tc>
        <w:tc>
          <w:tcPr>
            <w:tcW w:type="dxa" w:w="1656"/>
            <w:shd w:fill="FFFFFF"/>
            <w:tcMar>
              <w:top w:w="40" w:type="dxa"/>
              <w:bottom w:w="40" w:type="dxa"/>
              <w:left w:w="50" w:type="dxa"/>
              <w:right w:w="50" w:type="dxa"/>
            </w:tcMar>
          </w:tcPr>
          <w:p>
            <w:r>
              <w:rPr>
                <w:sz w:val="14"/>
              </w:rPr>
              <w:t>Tech: Frontend: OfflineWorkspace.jsx, sw.js. Controlled by CRBCL_OFFLINE_WEB_ENABLED.</w:t>
              <w:br/>
              <w:br/>
              <w:t>Ver: Service worker caching verified in local browser testing; PRODUCTION DISABLED via environment flag.</w:t>
            </w:r>
          </w:p>
        </w:tc>
        <w:tc>
          <w:tcPr>
            <w:tcW w:type="dxa" w:w="1656"/>
            <w:shd w:fill="FFFFFF"/>
            <w:tcMar>
              <w:top w:w="40" w:type="dxa"/>
              <w:bottom w:w="40" w:type="dxa"/>
              <w:left w:w="50" w:type="dxa"/>
              <w:right w:w="50" w:type="dxa"/>
            </w:tcMar>
          </w:tcPr>
          <w:p>
            <w:r>
              <w:rPr>
                <w:sz w:val="14"/>
              </w:rPr>
              <w:t>Complete multi-tab conflict resolution testing before production enablement.</w:t>
            </w:r>
          </w:p>
        </w:tc>
        <w:tc>
          <w:tcPr>
            <w:tcW w:type="dxa" w:w="1656"/>
            <w:shd w:fill="FFFFFF"/>
            <w:tcMar>
              <w:top w:w="40" w:type="dxa"/>
              <w:bottom w:w="40" w:type="dxa"/>
              <w:left w:w="50" w:type="dxa"/>
              <w:right w:w="50" w:type="dxa"/>
            </w:tcMar>
          </w:tcPr>
          <w:p>
            <w:r>
              <w:rPr>
                <w:sz w:val="14"/>
              </w:rPr>
              <w:t>Deps: CRBCL_OFFLINE_WEB_ENABLED set to true.</w:t>
              <w:br/>
              <w:br/>
              <w:t>Approval: IT Lead requested feature gate until browser testing is complete.</w:t>
            </w:r>
          </w:p>
        </w:tc>
      </w:tr>
      <w:tr>
        <w:tc>
          <w:tcPr>
            <w:tcW w:type="dxa" w:w="1656"/>
            <w:shd w:fill="#F8FAFC"/>
            <w:tcMar>
              <w:top w:w="40" w:type="dxa"/>
              <w:bottom w:w="40" w:type="dxa"/>
              <w:left w:w="50" w:type="dxa"/>
              <w:right w:w="50" w:type="dxa"/>
            </w:tcMar>
          </w:tcPr>
          <w:p>
            <w:r>
              <w:rPr>
                <w:b/>
                <w:sz w:val="14"/>
              </w:rPr>
              <w:t>Automated Brute-Force Lockout</w:t>
              <w:br/>
              <w:t>Dept: Cybersecurity</w:t>
            </w:r>
          </w:p>
        </w:tc>
        <w:tc>
          <w:tcPr>
            <w:tcW w:type="dxa" w:w="1656"/>
            <w:shd w:fill="#F8FAFC"/>
            <w:tcMar>
              <w:top w:w="40" w:type="dxa"/>
              <w:bottom w:w="40" w:type="dxa"/>
              <w:left w:w="50" w:type="dxa"/>
              <w:right w:w="50" w:type="dxa"/>
            </w:tcMar>
          </w:tcPr>
          <w:p>
            <w:r>
              <w:rPr>
                <w:b/>
                <w:sz w:val="14"/>
              </w:rPr>
              <w:t>SOURCE IMPLEMENTED — TESTED</w:t>
            </w:r>
          </w:p>
        </w:tc>
        <w:tc>
          <w:tcPr>
            <w:tcW w:type="dxa" w:w="1656"/>
            <w:shd w:fill="#F8FAFC"/>
            <w:tcMar>
              <w:top w:w="40" w:type="dxa"/>
              <w:bottom w:w="40" w:type="dxa"/>
              <w:left w:w="50" w:type="dxa"/>
              <w:right w:w="50" w:type="dxa"/>
            </w:tcMar>
          </w:tcPr>
          <w:p>
            <w:r>
              <w:rPr>
                <w:sz w:val="14"/>
              </w:rPr>
              <w:t>5-attempt failure threshold triggering automated 30-minute lockout; administrative unlock override.</w:t>
            </w:r>
          </w:p>
        </w:tc>
        <w:tc>
          <w:tcPr>
            <w:tcW w:type="dxa" w:w="1656"/>
            <w:shd w:fill="#F8FAFC"/>
            <w:tcMar>
              <w:top w:w="40" w:type="dxa"/>
              <w:bottom w:w="40" w:type="dxa"/>
              <w:left w:w="50" w:type="dxa"/>
              <w:right w:w="50" w:type="dxa"/>
            </w:tcMar>
          </w:tcPr>
          <w:p>
            <w:r>
              <w:rPr>
                <w:sz w:val="14"/>
              </w:rPr>
              <w:t>Tech: Models: UserLockout, SecurityEvent. Service: auth_service.py. Migration 015.</w:t>
              <w:br/>
              <w:br/>
              <w:t>Ver: Security audit test in test_auth_lockout.py passing 100% of brute-force scenarios.</w:t>
            </w:r>
          </w:p>
        </w:tc>
        <w:tc>
          <w:tcPr>
            <w:tcW w:type="dxa" w:w="1656"/>
            <w:shd w:fill="#F8FAFC"/>
            <w:tcMar>
              <w:top w:w="40" w:type="dxa"/>
              <w:bottom w:w="40" w:type="dxa"/>
              <w:left w:w="50" w:type="dxa"/>
              <w:right w:w="50" w:type="dxa"/>
            </w:tcMar>
          </w:tcPr>
          <w:p>
            <w:r>
              <w:rPr>
                <w:sz w:val="14"/>
              </w:rPr>
              <w:t>Automated SMS/email alert to IT admin upon repeated account lockout.</w:t>
            </w:r>
          </w:p>
        </w:tc>
        <w:tc>
          <w:tcPr>
            <w:tcW w:type="dxa" w:w="1656"/>
            <w:shd w:fill="#F8FAFC"/>
            <w:tcMar>
              <w:top w:w="40" w:type="dxa"/>
              <w:bottom w:w="40" w:type="dxa"/>
              <w:left w:w="50" w:type="dxa"/>
              <w:right w:w="50" w:type="dxa"/>
            </w:tcMar>
          </w:tcPr>
          <w:p>
            <w:r>
              <w:rPr>
                <w:sz w:val="14"/>
              </w:rPr>
              <w:t>Deps: Admin notification service.</w:t>
              <w:br/>
              <w:br/>
              <w:t>Approval: Security standard approved.</w:t>
            </w:r>
          </w:p>
        </w:tc>
      </w:tr>
      <w:tr>
        <w:tc>
          <w:tcPr>
            <w:tcW w:type="dxa" w:w="1656"/>
            <w:shd w:fill="FFFFFF"/>
            <w:tcMar>
              <w:top w:w="40" w:type="dxa"/>
              <w:bottom w:w="40" w:type="dxa"/>
              <w:left w:w="50" w:type="dxa"/>
              <w:right w:w="50" w:type="dxa"/>
            </w:tcMar>
          </w:tcPr>
          <w:p>
            <w:r>
              <w:rPr>
                <w:b/>
                <w:sz w:val="14"/>
              </w:rPr>
              <w:t>Provincial Statistical Compliance Extracts</w:t>
              <w:br/>
              <w:t>Dept: Quality Assurance</w:t>
            </w:r>
          </w:p>
        </w:tc>
        <w:tc>
          <w:tcPr>
            <w:tcW w:type="dxa" w:w="1656"/>
            <w:shd w:fill="FFFFFF"/>
            <w:tcMar>
              <w:top w:w="40" w:type="dxa"/>
              <w:bottom w:w="40" w:type="dxa"/>
              <w:left w:w="50" w:type="dxa"/>
              <w:right w:w="50" w:type="dxa"/>
            </w:tcMar>
          </w:tcPr>
          <w:p>
            <w:r>
              <w:rPr>
                <w:b/>
                <w:sz w:val="14"/>
              </w:rPr>
              <w:t>SOURCE IMPLEMENTED — TESTED</w:t>
            </w:r>
          </w:p>
        </w:tc>
        <w:tc>
          <w:tcPr>
            <w:tcW w:type="dxa" w:w="1656"/>
            <w:shd w:fill="FFFFFF"/>
            <w:tcMar>
              <w:top w:w="40" w:type="dxa"/>
              <w:bottom w:w="40" w:type="dxa"/>
              <w:left w:w="50" w:type="dxa"/>
              <w:right w:w="50" w:type="dxa"/>
            </w:tcMar>
          </w:tcPr>
          <w:p>
            <w:r>
              <w:rPr>
                <w:sz w:val="14"/>
              </w:rPr>
              <w:t>Reporting engine compiling monthly and annual child welfare indicators, placement nights, and legal statuses.</w:t>
            </w:r>
          </w:p>
        </w:tc>
        <w:tc>
          <w:tcPr>
            <w:tcW w:type="dxa" w:w="1656"/>
            <w:shd w:fill="FFFFFF"/>
            <w:tcMar>
              <w:top w:w="40" w:type="dxa"/>
              <w:bottom w:w="40" w:type="dxa"/>
              <w:left w:w="50" w:type="dxa"/>
              <w:right w:w="50" w:type="dxa"/>
            </w:tcMar>
          </w:tcPr>
          <w:p>
            <w:r>
              <w:rPr>
                <w:sz w:val="14"/>
              </w:rPr>
              <w:t>Tech: Routers: /api/v1/reports (21 endpoints). Service: reporting_service.py. Migration 012.</w:t>
              <w:br/>
              <w:br/>
              <w:t>Ver: Report data aggregation verified against seed data in test_reporting.py.</w:t>
            </w:r>
          </w:p>
        </w:tc>
        <w:tc>
          <w:tcPr>
            <w:tcW w:type="dxa" w:w="1656"/>
            <w:shd w:fill="FFFFFF"/>
            <w:tcMar>
              <w:top w:w="40" w:type="dxa"/>
              <w:bottom w:w="40" w:type="dxa"/>
              <w:left w:w="50" w:type="dxa"/>
              <w:right w:w="50" w:type="dxa"/>
            </w:tcMar>
          </w:tcPr>
          <w:p>
            <w:r>
              <w:rPr>
                <w:sz w:val="14"/>
              </w:rPr>
              <w:t>Validate CSV/Excel extract format against Saskatchewan Ministry specification.</w:t>
            </w:r>
          </w:p>
        </w:tc>
        <w:tc>
          <w:tcPr>
            <w:tcW w:type="dxa" w:w="1656"/>
            <w:shd w:fill="FFFFFF"/>
            <w:tcMar>
              <w:top w:w="40" w:type="dxa"/>
              <w:bottom w:w="40" w:type="dxa"/>
              <w:left w:w="50" w:type="dxa"/>
              <w:right w:w="50" w:type="dxa"/>
            </w:tcMar>
          </w:tcPr>
          <w:p>
            <w:r>
              <w:rPr>
                <w:sz w:val="14"/>
              </w:rPr>
              <w:t>Deps: Provincial ministry reporting template.</w:t>
              <w:br/>
              <w:br/>
              <w:t>Approval: QA Director reviewed draft extracts.</w:t>
            </w:r>
          </w:p>
        </w:tc>
      </w:tr>
      <w:tr>
        <w:tc>
          <w:tcPr>
            <w:tcW w:type="dxa" w:w="1656"/>
            <w:shd w:fill="#F8FAFC"/>
            <w:tcMar>
              <w:top w:w="40" w:type="dxa"/>
              <w:bottom w:w="40" w:type="dxa"/>
              <w:left w:w="50" w:type="dxa"/>
              <w:right w:w="50" w:type="dxa"/>
            </w:tcMar>
          </w:tcPr>
          <w:p>
            <w:r>
              <w:rPr>
                <w:b/>
                <w:sz w:val="14"/>
              </w:rPr>
              <w:t>Multi-Channel SMS &amp; Email Notifications</w:t>
              <w:br/>
              <w:t>Dept: Communications</w:t>
            </w:r>
          </w:p>
        </w:tc>
        <w:tc>
          <w:tcPr>
            <w:tcW w:type="dxa" w:w="1656"/>
            <w:shd w:fill="#F8FAFC"/>
            <w:tcMar>
              <w:top w:w="40" w:type="dxa"/>
              <w:bottom w:w="40" w:type="dxa"/>
              <w:left w:w="50" w:type="dxa"/>
              <w:right w:w="50" w:type="dxa"/>
            </w:tcMar>
          </w:tcPr>
          <w:p>
            <w:r>
              <w:rPr>
                <w:b/>
                <w:sz w:val="14"/>
              </w:rPr>
              <w:t>PARTIALLY IMPLEMENTED</w:t>
            </w:r>
          </w:p>
        </w:tc>
        <w:tc>
          <w:tcPr>
            <w:tcW w:type="dxa" w:w="1656"/>
            <w:shd w:fill="#F8FAFC"/>
            <w:tcMar>
              <w:top w:w="40" w:type="dxa"/>
              <w:bottom w:w="40" w:type="dxa"/>
              <w:left w:w="50" w:type="dxa"/>
              <w:right w:w="50" w:type="dxa"/>
            </w:tcMar>
          </w:tcPr>
          <w:p>
            <w:r>
              <w:rPr>
                <w:sz w:val="14"/>
              </w:rPr>
              <w:t>Notification service supporting in-app alerts, email dispatch, and SMS messaging gateway.</w:t>
            </w:r>
          </w:p>
        </w:tc>
        <w:tc>
          <w:tcPr>
            <w:tcW w:type="dxa" w:w="1656"/>
            <w:shd w:fill="#F8FAFC"/>
            <w:tcMar>
              <w:top w:w="40" w:type="dxa"/>
              <w:bottom w:w="40" w:type="dxa"/>
              <w:left w:w="50" w:type="dxa"/>
              <w:right w:w="50" w:type="dxa"/>
            </w:tcMar>
          </w:tcPr>
          <w:p>
            <w:r>
              <w:rPr>
                <w:sz w:val="14"/>
              </w:rPr>
              <w:t>Tech: Models: NotificationRecord, NotificationTemplate. Routers: /api/v1/notifications.</w:t>
              <w:br/>
              <w:br/>
              <w:t>Ver: In-app alerts fully operational; external SMS dispatch requires live Twilio credentials.</w:t>
            </w:r>
          </w:p>
        </w:tc>
        <w:tc>
          <w:tcPr>
            <w:tcW w:type="dxa" w:w="1656"/>
            <w:shd w:fill="#F8FAFC"/>
            <w:tcMar>
              <w:top w:w="40" w:type="dxa"/>
              <w:bottom w:w="40" w:type="dxa"/>
              <w:left w:w="50" w:type="dxa"/>
              <w:right w:w="50" w:type="dxa"/>
            </w:tcMar>
          </w:tcPr>
          <w:p>
            <w:r>
              <w:rPr>
                <w:sz w:val="14"/>
              </w:rPr>
              <w:t>Provision Canadian 10DLC registered Twilio account, configure webhook receipts.</w:t>
            </w:r>
          </w:p>
        </w:tc>
        <w:tc>
          <w:tcPr>
            <w:tcW w:type="dxa" w:w="1656"/>
            <w:shd w:fill="#F8FAFC"/>
            <w:tcMar>
              <w:top w:w="40" w:type="dxa"/>
              <w:bottom w:w="40" w:type="dxa"/>
              <w:left w:w="50" w:type="dxa"/>
              <w:right w:w="50" w:type="dxa"/>
            </w:tcMar>
          </w:tcPr>
          <w:p>
            <w:r>
              <w:rPr>
                <w:sz w:val="14"/>
              </w:rPr>
              <w:t>Deps: Twilio account procurement; phone number registration with Canadian mobile carriers.</w:t>
              <w:br/>
              <w:br/>
              <w:t>Approval: DECISION PENDING: CRBCL approval for Twilio monthly messaging spend.</w:t>
            </w:r>
          </w:p>
        </w:tc>
      </w:tr>
      <w:tr>
        <w:tc>
          <w:tcPr>
            <w:tcW w:type="dxa" w:w="1656"/>
            <w:shd w:fill="FFFFFF"/>
            <w:tcMar>
              <w:top w:w="40" w:type="dxa"/>
              <w:bottom w:w="40" w:type="dxa"/>
              <w:left w:w="50" w:type="dxa"/>
              <w:right w:w="50" w:type="dxa"/>
            </w:tcMar>
          </w:tcPr>
          <w:p>
            <w:r>
              <w:rPr>
                <w:b/>
                <w:sz w:val="14"/>
              </w:rPr>
              <w:t>Sage Accounting Software Integration</w:t>
              <w:br/>
              <w:t>Dept: Finance</w:t>
            </w:r>
          </w:p>
        </w:tc>
        <w:tc>
          <w:tcPr>
            <w:tcW w:type="dxa" w:w="1656"/>
            <w:shd w:fill="FFFFFF"/>
            <w:tcMar>
              <w:top w:w="40" w:type="dxa"/>
              <w:bottom w:w="40" w:type="dxa"/>
              <w:left w:w="50" w:type="dxa"/>
              <w:right w:w="50" w:type="dxa"/>
            </w:tcMar>
          </w:tcPr>
          <w:p>
            <w:r>
              <w:rPr>
                <w:b/>
                <w:sz w:val="14"/>
              </w:rPr>
              <w:t>PLANNED / NOT IMPLEMENTED</w:t>
            </w:r>
          </w:p>
        </w:tc>
        <w:tc>
          <w:tcPr>
            <w:tcW w:type="dxa" w:w="1656"/>
            <w:shd w:fill="FFFFFF"/>
            <w:tcMar>
              <w:top w:w="40" w:type="dxa"/>
              <w:bottom w:w="40" w:type="dxa"/>
              <w:left w:w="50" w:type="dxa"/>
              <w:right w:w="50" w:type="dxa"/>
            </w:tcMar>
          </w:tcPr>
          <w:p>
            <w:r>
              <w:rPr>
                <w:sz w:val="14"/>
              </w:rPr>
              <w:t>Export endpoints generate Sage-compatible CSV formats; direct REST/COM API bridge NOT IMPLEMENTED.</w:t>
            </w:r>
          </w:p>
        </w:tc>
        <w:tc>
          <w:tcPr>
            <w:tcW w:type="dxa" w:w="1656"/>
            <w:shd w:fill="FFFFFF"/>
            <w:tcMar>
              <w:top w:w="40" w:type="dxa"/>
              <w:bottom w:w="40" w:type="dxa"/>
              <w:left w:w="50" w:type="dxa"/>
              <w:right w:w="50" w:type="dxa"/>
            </w:tcMar>
          </w:tcPr>
          <w:p>
            <w:r>
              <w:rPr>
                <w:sz w:val="14"/>
              </w:rPr>
              <w:t>Tech: Routers: /api/v1/finance/export/sage.</w:t>
              <w:br/>
              <w:br/>
              <w:t>Ver: CSV export format verified in test_finance.py; no direct API communication.</w:t>
            </w:r>
          </w:p>
        </w:tc>
        <w:tc>
          <w:tcPr>
            <w:tcW w:type="dxa" w:w="1656"/>
            <w:shd w:fill="FFFFFF"/>
            <w:tcMar>
              <w:top w:w="40" w:type="dxa"/>
              <w:bottom w:w="40" w:type="dxa"/>
              <w:left w:w="50" w:type="dxa"/>
              <w:right w:w="50" w:type="dxa"/>
            </w:tcMar>
          </w:tcPr>
          <w:p>
            <w:r>
              <w:rPr>
                <w:sz w:val="14"/>
              </w:rPr>
              <w:t>Obtain Sage 300 / Sage 50 SDK credentials, develop automated nightly synchronization service.</w:t>
            </w:r>
          </w:p>
        </w:tc>
        <w:tc>
          <w:tcPr>
            <w:tcW w:type="dxa" w:w="1656"/>
            <w:shd w:fill="FFFFFF"/>
            <w:tcMar>
              <w:top w:w="40" w:type="dxa"/>
              <w:bottom w:w="40" w:type="dxa"/>
              <w:left w:w="50" w:type="dxa"/>
              <w:right w:w="50" w:type="dxa"/>
            </w:tcMar>
          </w:tcPr>
          <w:p>
            <w:r>
              <w:rPr>
                <w:sz w:val="14"/>
              </w:rPr>
              <w:t>Deps: CRBCL Sage license, database credentials, and IT network access to Sage host server.</w:t>
              <w:br/>
              <w:br/>
              <w:t>Approval: DECISION PENDING: Board authorization for third-party accounting integration.</w:t>
            </w:r>
          </w:p>
        </w:tc>
      </w:tr>
      <w:tr>
        <w:tc>
          <w:tcPr>
            <w:tcW w:type="dxa" w:w="1656"/>
            <w:shd w:fill="#F8FAFC"/>
            <w:tcMar>
              <w:top w:w="40" w:type="dxa"/>
              <w:bottom w:w="40" w:type="dxa"/>
              <w:left w:w="50" w:type="dxa"/>
              <w:right w:w="50" w:type="dxa"/>
            </w:tcMar>
          </w:tcPr>
          <w:p>
            <w:r>
              <w:rPr>
                <w:b/>
                <w:sz w:val="14"/>
              </w:rPr>
              <w:t>Microsoft 365 / Outlook Calendar Sync</w:t>
              <w:br/>
              <w:t>Dept: Administration</w:t>
            </w:r>
          </w:p>
        </w:tc>
        <w:tc>
          <w:tcPr>
            <w:tcW w:type="dxa" w:w="1656"/>
            <w:shd w:fill="#F8FAFC"/>
            <w:tcMar>
              <w:top w:w="40" w:type="dxa"/>
              <w:bottom w:w="40" w:type="dxa"/>
              <w:left w:w="50" w:type="dxa"/>
              <w:right w:w="50" w:type="dxa"/>
            </w:tcMar>
          </w:tcPr>
          <w:p>
            <w:r>
              <w:rPr>
                <w:b/>
                <w:sz w:val="14"/>
              </w:rPr>
              <w:t>PLANNED / NOT IMPLEMENTED</w:t>
            </w:r>
          </w:p>
        </w:tc>
        <w:tc>
          <w:tcPr>
            <w:tcW w:type="dxa" w:w="1656"/>
            <w:shd w:fill="#F8FAFC"/>
            <w:tcMar>
              <w:top w:w="40" w:type="dxa"/>
              <w:bottom w:w="40" w:type="dxa"/>
              <w:left w:w="50" w:type="dxa"/>
              <w:right w:w="50" w:type="dxa"/>
            </w:tcMar>
          </w:tcPr>
          <w:p>
            <w:r>
              <w:rPr>
                <w:sz w:val="14"/>
              </w:rPr>
              <w:t>Calendar schema supports iCal (.ics) subscription feeds; direct Microsoft Graph API bridge NOT IMPLEMENTED.</w:t>
            </w:r>
          </w:p>
        </w:tc>
        <w:tc>
          <w:tcPr>
            <w:tcW w:type="dxa" w:w="1656"/>
            <w:shd w:fill="#F8FAFC"/>
            <w:tcMar>
              <w:top w:w="40" w:type="dxa"/>
              <w:bottom w:w="40" w:type="dxa"/>
              <w:left w:w="50" w:type="dxa"/>
              <w:right w:w="50" w:type="dxa"/>
            </w:tcMar>
          </w:tcPr>
          <w:p>
            <w:r>
              <w:rPr>
                <w:sz w:val="14"/>
              </w:rPr>
              <w:t>Tech: Routers: /api/v1/calendar/export/ical.</w:t>
              <w:br/>
              <w:br/>
              <w:t>Ver: iCal feed import verified in external calendar client; direct OAuth2 Graph sync unbuilt.</w:t>
            </w:r>
          </w:p>
        </w:tc>
        <w:tc>
          <w:tcPr>
            <w:tcW w:type="dxa" w:w="1656"/>
            <w:shd w:fill="#F8FAFC"/>
            <w:tcMar>
              <w:top w:w="40" w:type="dxa"/>
              <w:bottom w:w="40" w:type="dxa"/>
              <w:left w:w="50" w:type="dxa"/>
              <w:right w:w="50" w:type="dxa"/>
            </w:tcMar>
          </w:tcPr>
          <w:p>
            <w:r>
              <w:rPr>
                <w:sz w:val="14"/>
              </w:rPr>
              <w:t>Register Azure AD Enterprise Application, configure Microsoft Graph API calendar write permissions.</w:t>
            </w:r>
          </w:p>
        </w:tc>
        <w:tc>
          <w:tcPr>
            <w:tcW w:type="dxa" w:w="1656"/>
            <w:shd w:fill="#F8FAFC"/>
            <w:tcMar>
              <w:top w:w="40" w:type="dxa"/>
              <w:bottom w:w="40" w:type="dxa"/>
              <w:left w:w="50" w:type="dxa"/>
              <w:right w:w="50" w:type="dxa"/>
            </w:tcMar>
          </w:tcPr>
          <w:p>
            <w:r>
              <w:rPr>
                <w:sz w:val="14"/>
              </w:rPr>
              <w:t>Deps: CRBCL Microsoft 365 Global Administrator consent.</w:t>
              <w:br/>
              <w:br/>
              <w:t>Approval: DECISION PENDING: CRBCL IT approval for Azure AD application registration.</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CONFIDENTIAL — AUDITED FEATURE MATRIX FOR LEADERSHIP &amp; AUDIT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CRBCL PLATFORM FEATURE REGISTER &amp; WORK REGISTER (REVISION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