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A2F19" w14:textId="77777777" w:rsidR="007A1404" w:rsidRDefault="007A1404" w:rsidP="007A1404">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sz w:val="24"/>
          <w:szCs w:val="20"/>
        </w:rPr>
      </w:pPr>
      <w:bookmarkStart w:id="0" w:name="_GoBack"/>
      <w:bookmarkEnd w:id="0"/>
      <w:r>
        <w:rPr>
          <w:rFonts w:ascii="Arial" w:hAnsi="Arial" w:cs="Arial"/>
          <w:b/>
          <w:sz w:val="24"/>
          <w:szCs w:val="20"/>
        </w:rPr>
        <w:t>Note de présentation</w:t>
      </w:r>
    </w:p>
    <w:p w14:paraId="76C24E11" w14:textId="29EB6062" w:rsidR="00FA4DB6" w:rsidRPr="00FA4DB6" w:rsidRDefault="00D648BE" w:rsidP="00A35A71">
      <w:pPr>
        <w:pBdr>
          <w:top w:val="single" w:sz="4" w:space="1" w:color="auto"/>
          <w:left w:val="single" w:sz="4" w:space="4" w:color="auto"/>
          <w:bottom w:val="single" w:sz="4" w:space="1" w:color="auto"/>
          <w:right w:val="single" w:sz="4" w:space="4" w:color="auto"/>
        </w:pBdr>
        <w:spacing w:line="240" w:lineRule="auto"/>
        <w:jc w:val="center"/>
        <w:rPr>
          <w:rFonts w:ascii="Arial" w:hAnsi="Arial" w:cs="Arial"/>
          <w:b/>
          <w:sz w:val="24"/>
          <w:szCs w:val="20"/>
        </w:rPr>
      </w:pPr>
      <w:r w:rsidRPr="00D648BE">
        <w:rPr>
          <w:rFonts w:ascii="Arial" w:hAnsi="Arial" w:cs="Arial"/>
          <w:b/>
          <w:sz w:val="24"/>
          <w:szCs w:val="20"/>
        </w:rPr>
        <w:t>Arrêté fixant les modalités de déclarations préalables à l’effacement de clôtures en application de l’article L. 424-3-1 du code de l’environnement</w:t>
      </w:r>
    </w:p>
    <w:p w14:paraId="74BA4C1C" w14:textId="77777777" w:rsidR="007A1404" w:rsidRDefault="007A1404" w:rsidP="007A1404">
      <w:pPr>
        <w:jc w:val="both"/>
        <w:rPr>
          <w:rFonts w:ascii="Arial" w:hAnsi="Arial" w:cs="Arial"/>
          <w:sz w:val="20"/>
          <w:szCs w:val="20"/>
        </w:rPr>
      </w:pPr>
    </w:p>
    <w:p w14:paraId="653488AA" w14:textId="3544C5F1" w:rsidR="00445F36" w:rsidRPr="00445F36" w:rsidRDefault="00445F36" w:rsidP="00FA4DB6">
      <w:pPr>
        <w:spacing w:line="259" w:lineRule="auto"/>
        <w:jc w:val="both"/>
        <w:rPr>
          <w:rFonts w:ascii="Marianne" w:hAnsi="Marianne" w:cs="Calibri"/>
          <w:b/>
          <w:sz w:val="20"/>
          <w:szCs w:val="20"/>
        </w:rPr>
      </w:pPr>
      <w:r w:rsidRPr="00445F36">
        <w:rPr>
          <w:rFonts w:ascii="Marianne" w:hAnsi="Marianne" w:cs="Calibri"/>
          <w:b/>
          <w:sz w:val="20"/>
          <w:szCs w:val="20"/>
        </w:rPr>
        <w:t>Introduction</w:t>
      </w:r>
      <w:r>
        <w:rPr>
          <w:rFonts w:cs="Calibri"/>
          <w:b/>
          <w:sz w:val="20"/>
          <w:szCs w:val="20"/>
        </w:rPr>
        <w:t> </w:t>
      </w:r>
      <w:r>
        <w:rPr>
          <w:rFonts w:ascii="Marianne" w:hAnsi="Marianne" w:cs="Calibri"/>
          <w:b/>
          <w:sz w:val="20"/>
          <w:szCs w:val="20"/>
        </w:rPr>
        <w:t>:</w:t>
      </w:r>
    </w:p>
    <w:p w14:paraId="33804130" w14:textId="15C412AD" w:rsidR="009E110E" w:rsidRDefault="001D022D" w:rsidP="00FA4DB6">
      <w:pPr>
        <w:spacing w:line="259" w:lineRule="auto"/>
        <w:jc w:val="both"/>
        <w:rPr>
          <w:rFonts w:ascii="Marianne" w:hAnsi="Marianne" w:cs="Calibri"/>
          <w:sz w:val="20"/>
          <w:szCs w:val="20"/>
        </w:rPr>
      </w:pPr>
      <w:r w:rsidRPr="001D022D">
        <w:rPr>
          <w:rFonts w:ascii="Marianne" w:hAnsi="Marianne" w:cs="Calibri"/>
          <w:sz w:val="20"/>
          <w:szCs w:val="20"/>
        </w:rPr>
        <w:t>Le projet d’arrêté fixant les modalités de déclarations préalables à l’effacement de clôtures est pris en application du III de l’article L. 424-3-1 du code de l’environnement modifié en dernier lieu par l’article 3 de la loi n° 2023-54 du 2 février 2023 visant à limiter l'engrillagement des espaces naturels et à protéger la propriété privée.</w:t>
      </w:r>
    </w:p>
    <w:p w14:paraId="50590008" w14:textId="1A7CBBA3" w:rsidR="00445F36" w:rsidRPr="00445F36" w:rsidRDefault="00445F36" w:rsidP="00FA4DB6">
      <w:pPr>
        <w:spacing w:line="259" w:lineRule="auto"/>
        <w:jc w:val="both"/>
        <w:rPr>
          <w:rFonts w:ascii="Marianne" w:hAnsi="Marianne" w:cs="Calibri"/>
          <w:b/>
          <w:sz w:val="20"/>
          <w:szCs w:val="20"/>
        </w:rPr>
      </w:pPr>
      <w:r w:rsidRPr="00445F36">
        <w:rPr>
          <w:rFonts w:ascii="Marianne" w:hAnsi="Marianne" w:cs="Calibri"/>
          <w:b/>
          <w:sz w:val="20"/>
          <w:szCs w:val="20"/>
        </w:rPr>
        <w:t>Contexte</w:t>
      </w:r>
      <w:r w:rsidRPr="00445F36">
        <w:rPr>
          <w:rFonts w:cs="Calibri"/>
          <w:b/>
          <w:sz w:val="20"/>
          <w:szCs w:val="20"/>
        </w:rPr>
        <w:t> </w:t>
      </w:r>
      <w:r w:rsidRPr="00445F36">
        <w:rPr>
          <w:rFonts w:ascii="Marianne" w:hAnsi="Marianne" w:cs="Calibri"/>
          <w:b/>
          <w:sz w:val="20"/>
          <w:szCs w:val="20"/>
        </w:rPr>
        <w:t xml:space="preserve">: </w:t>
      </w:r>
    </w:p>
    <w:p w14:paraId="1EEC80E8" w14:textId="1FE73476" w:rsidR="001D022D" w:rsidRPr="001D022D" w:rsidRDefault="001D022D" w:rsidP="001D022D">
      <w:pPr>
        <w:spacing w:line="259" w:lineRule="auto"/>
        <w:jc w:val="both"/>
        <w:rPr>
          <w:rFonts w:ascii="Marianne" w:hAnsi="Marianne" w:cs="Calibri"/>
          <w:sz w:val="20"/>
          <w:szCs w:val="20"/>
        </w:rPr>
      </w:pPr>
      <w:r w:rsidRPr="001D022D">
        <w:rPr>
          <w:rFonts w:ascii="Marianne" w:hAnsi="Marianne" w:cs="Calibri"/>
          <w:sz w:val="20"/>
          <w:szCs w:val="20"/>
        </w:rPr>
        <w:t xml:space="preserve">Le III de l’article L. 424-3-1 du code de l’environnement précise que « </w:t>
      </w:r>
      <w:r w:rsidRPr="001D022D">
        <w:rPr>
          <w:rFonts w:ascii="Marianne" w:hAnsi="Marianne" w:cs="Calibri"/>
          <w:i/>
          <w:sz w:val="20"/>
          <w:szCs w:val="20"/>
        </w:rPr>
        <w:t>les modalités de déclaration préalable prévoient notamment d'informer l'administration des mesures qui sont prises préalablement à l'effacement de la clôture en vue de la régulation des populations de grand gibier contenues dans l'enclos</w:t>
      </w:r>
      <w:r w:rsidRPr="001D022D">
        <w:rPr>
          <w:rFonts w:ascii="Marianne" w:hAnsi="Marianne" w:cs="Calibri"/>
          <w:sz w:val="20"/>
          <w:szCs w:val="20"/>
        </w:rPr>
        <w:t xml:space="preserve"> » et qu’</w:t>
      </w:r>
      <w:r w:rsidR="002F1318">
        <w:rPr>
          <w:rFonts w:ascii="Marianne" w:hAnsi="Marianne" w:cs="Calibri"/>
          <w:sz w:val="20"/>
          <w:szCs w:val="20"/>
        </w:rPr>
        <w:t>un</w:t>
      </w:r>
      <w:r w:rsidRPr="001D022D">
        <w:rPr>
          <w:rFonts w:ascii="Marianne" w:hAnsi="Marianne" w:cs="Calibri"/>
          <w:sz w:val="20"/>
          <w:szCs w:val="20"/>
        </w:rPr>
        <w:t xml:space="preserve"> «</w:t>
      </w:r>
      <w:r w:rsidRPr="001D022D">
        <w:rPr>
          <w:rFonts w:ascii="Marianne" w:hAnsi="Marianne" w:cs="Calibri"/>
          <w:i/>
          <w:sz w:val="20"/>
          <w:szCs w:val="20"/>
        </w:rPr>
        <w:t xml:space="preserve"> arrêté conjoint des ministres chargés de l'environnement et de l'agriculture détermine ces modalités de déclaration préalable</w:t>
      </w:r>
      <w:r w:rsidRPr="001D022D">
        <w:rPr>
          <w:rFonts w:ascii="Marianne" w:hAnsi="Marianne" w:cs="Calibri"/>
          <w:sz w:val="20"/>
          <w:szCs w:val="20"/>
        </w:rPr>
        <w:t xml:space="preserve"> ».</w:t>
      </w:r>
    </w:p>
    <w:p w14:paraId="6310F792" w14:textId="17F50757" w:rsidR="00445F36" w:rsidRDefault="001D022D" w:rsidP="001D022D">
      <w:pPr>
        <w:spacing w:line="259" w:lineRule="auto"/>
        <w:jc w:val="both"/>
        <w:rPr>
          <w:rFonts w:ascii="Marianne" w:hAnsi="Marianne" w:cs="Calibri"/>
          <w:sz w:val="20"/>
          <w:szCs w:val="20"/>
        </w:rPr>
      </w:pPr>
      <w:r w:rsidRPr="001D022D">
        <w:rPr>
          <w:rFonts w:ascii="Marianne" w:hAnsi="Marianne" w:cs="Calibri"/>
          <w:sz w:val="20"/>
          <w:szCs w:val="20"/>
        </w:rPr>
        <w:t>C’est l’objet du pr</w:t>
      </w:r>
      <w:r>
        <w:rPr>
          <w:rFonts w:ascii="Marianne" w:hAnsi="Marianne" w:cs="Calibri"/>
          <w:sz w:val="20"/>
          <w:szCs w:val="20"/>
        </w:rPr>
        <w:t>ojet d’</w:t>
      </w:r>
      <w:r w:rsidRPr="001D022D">
        <w:rPr>
          <w:rFonts w:ascii="Marianne" w:hAnsi="Marianne" w:cs="Calibri"/>
          <w:sz w:val="20"/>
          <w:szCs w:val="20"/>
        </w:rPr>
        <w:t>arrêté fixant les modalités de déclarations préalables à l’effacement de clôtures</w:t>
      </w:r>
      <w:r>
        <w:rPr>
          <w:rFonts w:ascii="Marianne" w:hAnsi="Marianne" w:cs="Calibri"/>
          <w:sz w:val="20"/>
          <w:szCs w:val="20"/>
        </w:rPr>
        <w:t>.</w:t>
      </w:r>
    </w:p>
    <w:p w14:paraId="1396CC53" w14:textId="62EC5C20" w:rsidR="007E7046" w:rsidRPr="00445F36" w:rsidRDefault="00445F36" w:rsidP="009E110E">
      <w:pPr>
        <w:spacing w:line="259" w:lineRule="auto"/>
        <w:jc w:val="both"/>
        <w:rPr>
          <w:rFonts w:ascii="Marianne" w:hAnsi="Marianne" w:cs="Calibri"/>
          <w:b/>
          <w:sz w:val="20"/>
          <w:szCs w:val="20"/>
        </w:rPr>
      </w:pPr>
      <w:r w:rsidRPr="00445F36">
        <w:rPr>
          <w:rFonts w:ascii="Marianne" w:hAnsi="Marianne" w:cs="Calibri"/>
          <w:b/>
          <w:sz w:val="20"/>
          <w:szCs w:val="20"/>
        </w:rPr>
        <w:t>Contenu du texte</w:t>
      </w:r>
      <w:r w:rsidRPr="00445F36">
        <w:rPr>
          <w:rFonts w:cs="Calibri"/>
          <w:b/>
          <w:sz w:val="20"/>
          <w:szCs w:val="20"/>
        </w:rPr>
        <w:t> </w:t>
      </w:r>
      <w:r w:rsidRPr="00445F36">
        <w:rPr>
          <w:rFonts w:ascii="Marianne" w:hAnsi="Marianne" w:cs="Calibri"/>
          <w:b/>
          <w:sz w:val="20"/>
          <w:szCs w:val="20"/>
        </w:rPr>
        <w:t>:</w:t>
      </w:r>
    </w:p>
    <w:p w14:paraId="4D7AE9B3" w14:textId="7CCAC66B" w:rsidR="001D022D" w:rsidRPr="001D022D" w:rsidRDefault="001D022D" w:rsidP="001D022D">
      <w:pPr>
        <w:spacing w:line="259" w:lineRule="auto"/>
        <w:jc w:val="both"/>
        <w:rPr>
          <w:rFonts w:ascii="Marianne" w:hAnsi="Marianne" w:cs="Calibri"/>
          <w:sz w:val="20"/>
          <w:szCs w:val="20"/>
        </w:rPr>
      </w:pPr>
      <w:r>
        <w:rPr>
          <w:rFonts w:ascii="Marianne" w:hAnsi="Marianne" w:cs="Calibri"/>
          <w:sz w:val="20"/>
          <w:szCs w:val="20"/>
        </w:rPr>
        <w:t>L</w:t>
      </w:r>
      <w:r w:rsidRPr="001D022D">
        <w:rPr>
          <w:rFonts w:ascii="Marianne" w:hAnsi="Marianne" w:cs="Calibri"/>
          <w:sz w:val="20"/>
          <w:szCs w:val="20"/>
        </w:rPr>
        <w:t>e dispositif envisagé comporte cinq articles :</w:t>
      </w:r>
    </w:p>
    <w:p w14:paraId="45C20225" w14:textId="5C55FC94" w:rsidR="001D022D" w:rsidRDefault="001D022D" w:rsidP="000F6D6D">
      <w:pPr>
        <w:pStyle w:val="Paragraphedeliste"/>
        <w:numPr>
          <w:ilvl w:val="0"/>
          <w:numId w:val="14"/>
        </w:numPr>
        <w:spacing w:line="259" w:lineRule="auto"/>
        <w:jc w:val="both"/>
        <w:rPr>
          <w:rFonts w:ascii="Marianne" w:hAnsi="Marianne" w:cs="Calibri"/>
          <w:sz w:val="20"/>
          <w:szCs w:val="20"/>
        </w:rPr>
      </w:pPr>
      <w:r w:rsidRPr="001D022D">
        <w:rPr>
          <w:rFonts w:ascii="Marianne" w:hAnsi="Marianne" w:cs="Calibri"/>
          <w:sz w:val="20"/>
          <w:szCs w:val="20"/>
        </w:rPr>
        <w:t>L’article 1er précise les modalités de la déclaration préalable qui doivent être mises en œuvre par tout propriétaire d’un espace clos empêchant complètement le passage des animaux non domestiques avant de procéder à l’effacement ou à la mise en conformité de sa clôture lorsque ceux sont susceptibles de porter atteinte à l’état sanitaire, aux équilibres écologiques ou aux activités agricoles du territoire. Cette déclaration est rendue obligatoire en présence d’ongulés ou de certaines espèces (espèces non indigènes</w:t>
      </w:r>
      <w:r w:rsidRPr="001D022D">
        <w:rPr>
          <w:rFonts w:cs="Calibri"/>
          <w:sz w:val="20"/>
          <w:szCs w:val="20"/>
        </w:rPr>
        <w:t> </w:t>
      </w:r>
      <w:r w:rsidRPr="001D022D">
        <w:rPr>
          <w:rFonts w:ascii="Marianne" w:hAnsi="Marianne" w:cs="Calibri"/>
          <w:sz w:val="20"/>
          <w:szCs w:val="20"/>
        </w:rPr>
        <w:t>;</w:t>
      </w:r>
    </w:p>
    <w:p w14:paraId="3275CD9E" w14:textId="782268F0" w:rsidR="001D022D" w:rsidRDefault="001D022D" w:rsidP="00E071E3">
      <w:pPr>
        <w:pStyle w:val="Paragraphedeliste"/>
        <w:numPr>
          <w:ilvl w:val="0"/>
          <w:numId w:val="14"/>
        </w:numPr>
        <w:spacing w:line="259" w:lineRule="auto"/>
        <w:jc w:val="both"/>
        <w:rPr>
          <w:rFonts w:ascii="Marianne" w:hAnsi="Marianne" w:cs="Calibri"/>
          <w:sz w:val="20"/>
          <w:szCs w:val="20"/>
        </w:rPr>
      </w:pPr>
      <w:r w:rsidRPr="001D022D">
        <w:rPr>
          <w:rFonts w:ascii="Marianne" w:hAnsi="Marianne" w:cs="Calibri"/>
          <w:sz w:val="20"/>
          <w:szCs w:val="20"/>
        </w:rPr>
        <w:t xml:space="preserve">L’article 2 précise les modalités pratiques de cette déclaration en termes, notamment de destinataires et de délais. Le délai de déclaration préalable auprès de la DDT est </w:t>
      </w:r>
      <w:r w:rsidR="002F1318">
        <w:rPr>
          <w:rFonts w:ascii="Marianne" w:hAnsi="Marianne" w:cs="Calibri"/>
          <w:sz w:val="20"/>
          <w:szCs w:val="20"/>
        </w:rPr>
        <w:t xml:space="preserve">ainsi </w:t>
      </w:r>
      <w:r w:rsidRPr="001D022D">
        <w:rPr>
          <w:rFonts w:ascii="Marianne" w:hAnsi="Marianne" w:cs="Calibri"/>
          <w:sz w:val="20"/>
          <w:szCs w:val="20"/>
        </w:rPr>
        <w:t>à minima de 8 mois avant la réalisation des opérations d’effacement ou de mise en conformité des clôtures, afin de permettre l’éventuelle réalisation d’actions correctives dans l’enclos</w:t>
      </w:r>
      <w:r w:rsidRPr="001D022D">
        <w:rPr>
          <w:rFonts w:cs="Calibri"/>
          <w:sz w:val="20"/>
          <w:szCs w:val="20"/>
        </w:rPr>
        <w:t> </w:t>
      </w:r>
      <w:r w:rsidRPr="001D022D">
        <w:rPr>
          <w:rFonts w:ascii="Marianne" w:hAnsi="Marianne" w:cs="Calibri"/>
          <w:sz w:val="20"/>
          <w:szCs w:val="20"/>
        </w:rPr>
        <w:t>;</w:t>
      </w:r>
    </w:p>
    <w:p w14:paraId="58B065BA" w14:textId="1D99B18D" w:rsidR="001D022D" w:rsidRDefault="001D022D" w:rsidP="00591C17">
      <w:pPr>
        <w:pStyle w:val="Paragraphedeliste"/>
        <w:numPr>
          <w:ilvl w:val="0"/>
          <w:numId w:val="14"/>
        </w:numPr>
        <w:spacing w:line="259" w:lineRule="auto"/>
        <w:jc w:val="both"/>
        <w:rPr>
          <w:rFonts w:ascii="Marianne" w:hAnsi="Marianne" w:cs="Calibri"/>
          <w:sz w:val="20"/>
          <w:szCs w:val="20"/>
        </w:rPr>
      </w:pPr>
      <w:r w:rsidRPr="001D022D">
        <w:rPr>
          <w:rFonts w:ascii="Marianne" w:hAnsi="Marianne" w:cs="Calibri"/>
          <w:sz w:val="20"/>
          <w:szCs w:val="20"/>
        </w:rPr>
        <w:t>L’article 3 fixe les éléments, les informations et les documents que doit contenir la déclaration préalable</w:t>
      </w:r>
      <w:r w:rsidRPr="001D022D">
        <w:rPr>
          <w:rFonts w:cs="Calibri"/>
          <w:sz w:val="20"/>
          <w:szCs w:val="20"/>
        </w:rPr>
        <w:t> </w:t>
      </w:r>
      <w:r w:rsidRPr="001D022D">
        <w:rPr>
          <w:rFonts w:ascii="Marianne" w:hAnsi="Marianne" w:cs="Calibri"/>
          <w:sz w:val="20"/>
          <w:szCs w:val="20"/>
        </w:rPr>
        <w:t>;</w:t>
      </w:r>
    </w:p>
    <w:p w14:paraId="1A176EA5" w14:textId="66F2B5F8" w:rsidR="001D022D" w:rsidRDefault="001D022D" w:rsidP="00414FE3">
      <w:pPr>
        <w:pStyle w:val="Paragraphedeliste"/>
        <w:numPr>
          <w:ilvl w:val="0"/>
          <w:numId w:val="14"/>
        </w:numPr>
        <w:spacing w:line="259" w:lineRule="auto"/>
        <w:jc w:val="both"/>
        <w:rPr>
          <w:rFonts w:ascii="Marianne" w:hAnsi="Marianne" w:cs="Calibri"/>
          <w:sz w:val="20"/>
          <w:szCs w:val="20"/>
        </w:rPr>
      </w:pPr>
      <w:r w:rsidRPr="001D022D">
        <w:rPr>
          <w:rFonts w:ascii="Marianne" w:hAnsi="Marianne" w:cs="Calibri"/>
          <w:sz w:val="20"/>
          <w:szCs w:val="20"/>
        </w:rPr>
        <w:t>L’article 4 fixe des seuils de densité maximal pour certaines espèces et précise les actions que doit engager le propriétaire de l’enclos en amont de l’effacement de la clôture ou de sa mise en conformité</w:t>
      </w:r>
      <w:r w:rsidRPr="001D022D">
        <w:rPr>
          <w:rFonts w:cs="Calibri"/>
          <w:sz w:val="20"/>
          <w:szCs w:val="20"/>
        </w:rPr>
        <w:t> </w:t>
      </w:r>
      <w:r w:rsidRPr="001D022D">
        <w:rPr>
          <w:rFonts w:ascii="Marianne" w:hAnsi="Marianne" w:cs="Calibri"/>
          <w:sz w:val="20"/>
          <w:szCs w:val="20"/>
        </w:rPr>
        <w:t>;</w:t>
      </w:r>
    </w:p>
    <w:p w14:paraId="14F5A5B6" w14:textId="62C93729" w:rsidR="002A67F2" w:rsidRPr="001D022D" w:rsidRDefault="001D022D" w:rsidP="00414FE3">
      <w:pPr>
        <w:pStyle w:val="Paragraphedeliste"/>
        <w:numPr>
          <w:ilvl w:val="0"/>
          <w:numId w:val="14"/>
        </w:numPr>
        <w:spacing w:line="259" w:lineRule="auto"/>
        <w:jc w:val="both"/>
        <w:rPr>
          <w:rFonts w:ascii="Marianne" w:hAnsi="Marianne" w:cs="Calibri"/>
          <w:sz w:val="20"/>
          <w:szCs w:val="20"/>
        </w:rPr>
      </w:pPr>
      <w:r w:rsidRPr="001D022D">
        <w:rPr>
          <w:rFonts w:ascii="Marianne" w:hAnsi="Marianne" w:cs="Calibri"/>
          <w:sz w:val="20"/>
          <w:szCs w:val="20"/>
        </w:rPr>
        <w:t>L’article 5 précise que la direction départementale des territoires compétente doit informer l’Office français de la biodiversité et la fédération départementale des chasseurs dès réception de cette déclaration.</w:t>
      </w:r>
    </w:p>
    <w:p w14:paraId="4C603A69" w14:textId="78564ACA" w:rsidR="002A680B" w:rsidRPr="002A680B" w:rsidRDefault="002A680B" w:rsidP="002A67F2">
      <w:pPr>
        <w:spacing w:line="259" w:lineRule="auto"/>
        <w:jc w:val="both"/>
        <w:rPr>
          <w:rFonts w:ascii="Marianne" w:hAnsi="Marianne" w:cs="Calibri"/>
          <w:b/>
          <w:sz w:val="20"/>
          <w:szCs w:val="20"/>
        </w:rPr>
      </w:pPr>
      <w:r w:rsidRPr="002A680B">
        <w:rPr>
          <w:rFonts w:ascii="Marianne" w:hAnsi="Marianne" w:cs="Calibri"/>
          <w:b/>
          <w:sz w:val="20"/>
          <w:szCs w:val="20"/>
        </w:rPr>
        <w:t>Consultations obligatoires</w:t>
      </w:r>
      <w:r w:rsidRPr="002A680B">
        <w:rPr>
          <w:rFonts w:cs="Calibri"/>
          <w:b/>
          <w:sz w:val="20"/>
          <w:szCs w:val="20"/>
        </w:rPr>
        <w:t> </w:t>
      </w:r>
      <w:r w:rsidRPr="002A680B">
        <w:rPr>
          <w:rFonts w:ascii="Marianne" w:hAnsi="Marianne" w:cs="Calibri"/>
          <w:b/>
          <w:sz w:val="20"/>
          <w:szCs w:val="20"/>
        </w:rPr>
        <w:t xml:space="preserve">: </w:t>
      </w:r>
    </w:p>
    <w:p w14:paraId="155DF619" w14:textId="53CAD5D3" w:rsidR="00870039" w:rsidRPr="00870039" w:rsidRDefault="00870039" w:rsidP="002A67F2">
      <w:pPr>
        <w:spacing w:line="259" w:lineRule="auto"/>
        <w:jc w:val="both"/>
        <w:rPr>
          <w:rFonts w:ascii="Marianne" w:hAnsi="Marianne" w:cs="Calibri"/>
          <w:sz w:val="20"/>
          <w:szCs w:val="20"/>
        </w:rPr>
      </w:pPr>
      <w:r w:rsidRPr="00870039">
        <w:rPr>
          <w:rFonts w:ascii="Marianne" w:hAnsi="Marianne" w:cs="Calibri"/>
          <w:sz w:val="20"/>
          <w:szCs w:val="20"/>
        </w:rPr>
        <w:t xml:space="preserve">Le Conseil national de la chasse et de la faune sauvage a été consulté le </w:t>
      </w:r>
      <w:r>
        <w:rPr>
          <w:rFonts w:ascii="Marianne" w:hAnsi="Marianne" w:cs="Calibri"/>
          <w:sz w:val="20"/>
          <w:szCs w:val="20"/>
        </w:rPr>
        <w:t xml:space="preserve">28 novembre </w:t>
      </w:r>
      <w:r w:rsidRPr="00870039">
        <w:rPr>
          <w:rFonts w:ascii="Marianne" w:hAnsi="Marianne" w:cs="Calibri"/>
          <w:sz w:val="20"/>
          <w:szCs w:val="20"/>
        </w:rPr>
        <w:t>2023</w:t>
      </w:r>
      <w:r w:rsidR="002F1318">
        <w:rPr>
          <w:rFonts w:ascii="Marianne" w:hAnsi="Marianne" w:cs="Calibri"/>
          <w:sz w:val="20"/>
          <w:szCs w:val="20"/>
        </w:rPr>
        <w:t xml:space="preserve"> et s’est prononcé</w:t>
      </w:r>
      <w:r w:rsidR="00416361">
        <w:rPr>
          <w:rFonts w:ascii="Marianne" w:hAnsi="Marianne" w:cs="Calibri"/>
          <w:sz w:val="20"/>
          <w:szCs w:val="20"/>
        </w:rPr>
        <w:t xml:space="preserve"> en faveur du texte, à l’unanimité.</w:t>
      </w:r>
    </w:p>
    <w:p w14:paraId="0A5DF5B5" w14:textId="17747917" w:rsidR="009E110E" w:rsidRDefault="002A67F2" w:rsidP="00FA4DB6">
      <w:pPr>
        <w:spacing w:line="259" w:lineRule="auto"/>
        <w:jc w:val="both"/>
        <w:rPr>
          <w:rFonts w:ascii="Marianne" w:hAnsi="Marianne" w:cs="Calibri"/>
          <w:sz w:val="20"/>
          <w:szCs w:val="20"/>
        </w:rPr>
      </w:pPr>
      <w:r w:rsidRPr="002A67F2">
        <w:rPr>
          <w:rFonts w:ascii="Marianne" w:hAnsi="Marianne" w:cs="Calibri"/>
          <w:sz w:val="20"/>
          <w:szCs w:val="20"/>
        </w:rPr>
        <w:lastRenderedPageBreak/>
        <w:t>Le projet d</w:t>
      </w:r>
      <w:r w:rsidR="00EA4659">
        <w:rPr>
          <w:rFonts w:ascii="Marianne" w:hAnsi="Marianne" w:cs="Calibri"/>
          <w:sz w:val="20"/>
          <w:szCs w:val="20"/>
        </w:rPr>
        <w:t>’arrêté</w:t>
      </w:r>
      <w:r w:rsidRPr="002A67F2">
        <w:rPr>
          <w:rFonts w:ascii="Marianne" w:hAnsi="Marianne" w:cs="Calibri"/>
          <w:sz w:val="20"/>
          <w:szCs w:val="20"/>
        </w:rPr>
        <w:t xml:space="preserve"> présente </w:t>
      </w:r>
      <w:r>
        <w:rPr>
          <w:rFonts w:ascii="Marianne" w:hAnsi="Marianne" w:cs="Calibri"/>
          <w:sz w:val="20"/>
          <w:szCs w:val="20"/>
        </w:rPr>
        <w:t xml:space="preserve">un </w:t>
      </w:r>
      <w:r w:rsidRPr="002A67F2">
        <w:rPr>
          <w:rFonts w:ascii="Marianne" w:hAnsi="Marianne" w:cs="Calibri"/>
          <w:sz w:val="20"/>
          <w:szCs w:val="20"/>
        </w:rPr>
        <w:t xml:space="preserve">impact sur l’environnement et nécessite à ce titre une consultation </w:t>
      </w:r>
      <w:r>
        <w:rPr>
          <w:rFonts w:ascii="Marianne" w:hAnsi="Marianne" w:cs="Calibri"/>
          <w:sz w:val="20"/>
          <w:szCs w:val="20"/>
        </w:rPr>
        <w:t xml:space="preserve">du public </w:t>
      </w:r>
      <w:r w:rsidRPr="002A67F2">
        <w:rPr>
          <w:rFonts w:ascii="Marianne" w:hAnsi="Marianne" w:cs="Calibri"/>
          <w:sz w:val="20"/>
          <w:szCs w:val="20"/>
        </w:rPr>
        <w:t>conformément aux dispositions de l’article L.</w:t>
      </w:r>
      <w:r>
        <w:rPr>
          <w:rFonts w:ascii="Marianne" w:hAnsi="Marianne" w:cs="Calibri"/>
          <w:sz w:val="20"/>
          <w:szCs w:val="20"/>
        </w:rPr>
        <w:t xml:space="preserve"> </w:t>
      </w:r>
      <w:r w:rsidRPr="002A67F2">
        <w:rPr>
          <w:rFonts w:ascii="Marianne" w:hAnsi="Marianne" w:cs="Calibri"/>
          <w:sz w:val="20"/>
          <w:szCs w:val="20"/>
        </w:rPr>
        <w:t>123-19-1 du code de l’environnement.</w:t>
      </w:r>
      <w:r w:rsidR="00870039">
        <w:rPr>
          <w:rFonts w:ascii="Marianne" w:hAnsi="Marianne" w:cs="Calibri"/>
          <w:sz w:val="20"/>
          <w:szCs w:val="20"/>
        </w:rPr>
        <w:t xml:space="preserve"> </w:t>
      </w:r>
      <w:r w:rsidR="00057BF6">
        <w:rPr>
          <w:rFonts w:ascii="Marianne" w:hAnsi="Marianne" w:cs="Calibri"/>
          <w:sz w:val="20"/>
          <w:szCs w:val="20"/>
        </w:rPr>
        <w:t xml:space="preserve">Cette consultation est ouverte du </w:t>
      </w:r>
      <w:r w:rsidR="006D5A38" w:rsidRPr="006D5A38">
        <w:rPr>
          <w:rFonts w:ascii="Marianne" w:hAnsi="Marianne" w:cs="Calibri"/>
          <w:sz w:val="20"/>
          <w:szCs w:val="20"/>
        </w:rPr>
        <w:t>5 février 2024 au 25 février 2024</w:t>
      </w:r>
      <w:r w:rsidR="006D5A38">
        <w:rPr>
          <w:rFonts w:ascii="Marianne" w:hAnsi="Marianne" w:cs="Calibri"/>
          <w:sz w:val="20"/>
          <w:szCs w:val="20"/>
        </w:rPr>
        <w:t xml:space="preserve"> (inclus)</w:t>
      </w:r>
      <w:r w:rsidR="00057BF6">
        <w:rPr>
          <w:rFonts w:ascii="Marianne" w:hAnsi="Marianne" w:cs="Calibri"/>
          <w:sz w:val="20"/>
          <w:szCs w:val="20"/>
        </w:rPr>
        <w:t>.</w:t>
      </w:r>
    </w:p>
    <w:sectPr w:rsidR="009E11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52CEA" w14:textId="77777777" w:rsidR="009A4AE0" w:rsidRDefault="009A4AE0" w:rsidP="00E741E6">
      <w:pPr>
        <w:spacing w:after="0" w:line="240" w:lineRule="auto"/>
      </w:pPr>
      <w:r>
        <w:separator/>
      </w:r>
    </w:p>
  </w:endnote>
  <w:endnote w:type="continuationSeparator" w:id="0">
    <w:p w14:paraId="60DE3A6E" w14:textId="77777777" w:rsidR="009A4AE0" w:rsidRDefault="009A4AE0" w:rsidP="00E7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96EBD" w14:textId="77777777" w:rsidR="009A4AE0" w:rsidRDefault="009A4AE0" w:rsidP="00E741E6">
      <w:pPr>
        <w:spacing w:after="0" w:line="240" w:lineRule="auto"/>
      </w:pPr>
      <w:r>
        <w:separator/>
      </w:r>
    </w:p>
  </w:footnote>
  <w:footnote w:type="continuationSeparator" w:id="0">
    <w:p w14:paraId="5A5615B8" w14:textId="77777777" w:rsidR="009A4AE0" w:rsidRDefault="009A4AE0" w:rsidP="00E74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1CDF"/>
    <w:multiLevelType w:val="hybridMultilevel"/>
    <w:tmpl w:val="AD94B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C63CB3"/>
    <w:multiLevelType w:val="hybridMultilevel"/>
    <w:tmpl w:val="9F4E1A14"/>
    <w:lvl w:ilvl="0" w:tplc="6092145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3644FB"/>
    <w:multiLevelType w:val="hybridMultilevel"/>
    <w:tmpl w:val="0BD435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410493"/>
    <w:multiLevelType w:val="hybridMultilevel"/>
    <w:tmpl w:val="6B38B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411971"/>
    <w:multiLevelType w:val="hybridMultilevel"/>
    <w:tmpl w:val="96F0F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E81565"/>
    <w:multiLevelType w:val="hybridMultilevel"/>
    <w:tmpl w:val="D41820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C67D5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57453E82"/>
    <w:multiLevelType w:val="hybridMultilevel"/>
    <w:tmpl w:val="285471E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436895"/>
    <w:multiLevelType w:val="hybridMultilevel"/>
    <w:tmpl w:val="B4ACA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4C072D"/>
    <w:multiLevelType w:val="hybridMultilevel"/>
    <w:tmpl w:val="126C4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E56916"/>
    <w:multiLevelType w:val="hybridMultilevel"/>
    <w:tmpl w:val="6D387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1A02E6"/>
    <w:multiLevelType w:val="hybridMultilevel"/>
    <w:tmpl w:val="BC30E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10"/>
  </w:num>
  <w:num w:numId="5">
    <w:abstractNumId w:val="4"/>
  </w:num>
  <w:num w:numId="6">
    <w:abstractNumId w:val="5"/>
  </w:num>
  <w:num w:numId="7">
    <w:abstractNumId w:val="2"/>
  </w:num>
  <w:num w:numId="8">
    <w:abstractNumId w:val="6"/>
  </w:num>
  <w:num w:numId="9">
    <w:abstractNumId w:val="1"/>
  </w:num>
  <w:num w:numId="10">
    <w:abstractNumId w:val="6"/>
  </w:num>
  <w:num w:numId="11">
    <w:abstractNumId w:val="6"/>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04"/>
    <w:rsid w:val="000414AD"/>
    <w:rsid w:val="00057BF6"/>
    <w:rsid w:val="00075CE0"/>
    <w:rsid w:val="00170FC5"/>
    <w:rsid w:val="001A3D14"/>
    <w:rsid w:val="001A461D"/>
    <w:rsid w:val="001D022D"/>
    <w:rsid w:val="002A67F2"/>
    <w:rsid w:val="002A680B"/>
    <w:rsid w:val="002C5335"/>
    <w:rsid w:val="002D54F6"/>
    <w:rsid w:val="002F1318"/>
    <w:rsid w:val="00350454"/>
    <w:rsid w:val="00371A05"/>
    <w:rsid w:val="00392A16"/>
    <w:rsid w:val="003C6BF4"/>
    <w:rsid w:val="0040139F"/>
    <w:rsid w:val="00416361"/>
    <w:rsid w:val="00445F36"/>
    <w:rsid w:val="004B5D04"/>
    <w:rsid w:val="004E657A"/>
    <w:rsid w:val="0052348D"/>
    <w:rsid w:val="005728A8"/>
    <w:rsid w:val="00675EA3"/>
    <w:rsid w:val="006B1F5A"/>
    <w:rsid w:val="006D5A38"/>
    <w:rsid w:val="006F7FCE"/>
    <w:rsid w:val="0074067F"/>
    <w:rsid w:val="007A1404"/>
    <w:rsid w:val="007E7046"/>
    <w:rsid w:val="00870039"/>
    <w:rsid w:val="008E125C"/>
    <w:rsid w:val="00931569"/>
    <w:rsid w:val="00944D16"/>
    <w:rsid w:val="00981186"/>
    <w:rsid w:val="009843DC"/>
    <w:rsid w:val="009A4AE0"/>
    <w:rsid w:val="009E110E"/>
    <w:rsid w:val="00A323B3"/>
    <w:rsid w:val="00A35A71"/>
    <w:rsid w:val="00A402FC"/>
    <w:rsid w:val="00A52272"/>
    <w:rsid w:val="00AF757D"/>
    <w:rsid w:val="00B17FF8"/>
    <w:rsid w:val="00B333A5"/>
    <w:rsid w:val="00B505E7"/>
    <w:rsid w:val="00B5479E"/>
    <w:rsid w:val="00B76B33"/>
    <w:rsid w:val="00BD17C0"/>
    <w:rsid w:val="00BE2901"/>
    <w:rsid w:val="00C0359D"/>
    <w:rsid w:val="00CA5E67"/>
    <w:rsid w:val="00D0074E"/>
    <w:rsid w:val="00D009CB"/>
    <w:rsid w:val="00D15933"/>
    <w:rsid w:val="00D44935"/>
    <w:rsid w:val="00D648BE"/>
    <w:rsid w:val="00D65796"/>
    <w:rsid w:val="00D739BF"/>
    <w:rsid w:val="00D77ECF"/>
    <w:rsid w:val="00D77F4F"/>
    <w:rsid w:val="00DB62C2"/>
    <w:rsid w:val="00DD21D6"/>
    <w:rsid w:val="00DE2D46"/>
    <w:rsid w:val="00DF5404"/>
    <w:rsid w:val="00E20F58"/>
    <w:rsid w:val="00E51E2F"/>
    <w:rsid w:val="00E66054"/>
    <w:rsid w:val="00E741E6"/>
    <w:rsid w:val="00E810EC"/>
    <w:rsid w:val="00EA4659"/>
    <w:rsid w:val="00EB6251"/>
    <w:rsid w:val="00EC63F2"/>
    <w:rsid w:val="00F10DD9"/>
    <w:rsid w:val="00F250BE"/>
    <w:rsid w:val="00F647BD"/>
    <w:rsid w:val="00FA0B49"/>
    <w:rsid w:val="00FA4DB6"/>
    <w:rsid w:val="00FB3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717E"/>
  <w15:chartTrackingRefBased/>
  <w15:docId w15:val="{CEB4FB51-0A01-4C68-8DAF-10DF8C41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404"/>
    <w:pPr>
      <w:spacing w:line="256" w:lineRule="auto"/>
    </w:pPr>
    <w:rPr>
      <w:rFonts w:ascii="Calibri" w:eastAsia="Calibri" w:hAnsi="Calibri" w:cs="Times New Roman"/>
    </w:rPr>
  </w:style>
  <w:style w:type="paragraph" w:styleId="Titre1">
    <w:name w:val="heading 1"/>
    <w:basedOn w:val="Normal"/>
    <w:next w:val="Normal"/>
    <w:link w:val="Titre1Car"/>
    <w:uiPriority w:val="9"/>
    <w:qFormat/>
    <w:rsid w:val="00931569"/>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31569"/>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31569"/>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31569"/>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3156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3156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3156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3156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3156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41E6"/>
    <w:pPr>
      <w:tabs>
        <w:tab w:val="center" w:pos="4536"/>
        <w:tab w:val="right" w:pos="9072"/>
      </w:tabs>
      <w:spacing w:after="0" w:line="240" w:lineRule="auto"/>
    </w:pPr>
  </w:style>
  <w:style w:type="character" w:customStyle="1" w:styleId="En-tteCar">
    <w:name w:val="En-tête Car"/>
    <w:basedOn w:val="Policepardfaut"/>
    <w:link w:val="En-tte"/>
    <w:uiPriority w:val="99"/>
    <w:rsid w:val="00E741E6"/>
    <w:rPr>
      <w:rFonts w:ascii="Calibri" w:eastAsia="Calibri" w:hAnsi="Calibri" w:cs="Times New Roman"/>
    </w:rPr>
  </w:style>
  <w:style w:type="paragraph" w:styleId="Pieddepage">
    <w:name w:val="footer"/>
    <w:basedOn w:val="Normal"/>
    <w:link w:val="PieddepageCar"/>
    <w:uiPriority w:val="99"/>
    <w:unhideWhenUsed/>
    <w:rsid w:val="00E741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41E6"/>
    <w:rPr>
      <w:rFonts w:ascii="Calibri" w:eastAsia="Calibri" w:hAnsi="Calibri" w:cs="Times New Roman"/>
    </w:rPr>
  </w:style>
  <w:style w:type="paragraph" w:styleId="Paragraphedeliste">
    <w:name w:val="List Paragraph"/>
    <w:basedOn w:val="Normal"/>
    <w:uiPriority w:val="34"/>
    <w:qFormat/>
    <w:rsid w:val="00C0359D"/>
    <w:pPr>
      <w:ind w:left="720"/>
      <w:contextualSpacing/>
    </w:pPr>
  </w:style>
  <w:style w:type="table" w:styleId="Grilledutableau">
    <w:name w:val="Table Grid"/>
    <w:basedOn w:val="TableauNormal"/>
    <w:uiPriority w:val="39"/>
    <w:rsid w:val="00170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315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3156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93156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93156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3156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3156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3156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3156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3156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A5E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5E67"/>
    <w:rPr>
      <w:rFonts w:ascii="Segoe UI" w:eastAsia="Calibri" w:hAnsi="Segoe UI" w:cs="Segoe UI"/>
      <w:sz w:val="18"/>
      <w:szCs w:val="18"/>
    </w:rPr>
  </w:style>
  <w:style w:type="character" w:styleId="lev">
    <w:name w:val="Strong"/>
    <w:basedOn w:val="Policepardfaut"/>
    <w:uiPriority w:val="22"/>
    <w:qFormat/>
    <w:rsid w:val="002A6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1316">
      <w:bodyDiv w:val="1"/>
      <w:marLeft w:val="0"/>
      <w:marRight w:val="0"/>
      <w:marTop w:val="0"/>
      <w:marBottom w:val="0"/>
      <w:divBdr>
        <w:top w:val="none" w:sz="0" w:space="0" w:color="auto"/>
        <w:left w:val="none" w:sz="0" w:space="0" w:color="auto"/>
        <w:bottom w:val="none" w:sz="0" w:space="0" w:color="auto"/>
        <w:right w:val="none" w:sz="0" w:space="0" w:color="auto"/>
      </w:divBdr>
    </w:div>
    <w:div w:id="53380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2565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MTES\MCTRCT - AC</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METTER-ROTHAN Héloïse</dc:creator>
  <cp:keywords/>
  <dc:description/>
  <cp:lastModifiedBy>BRAHITI Karim</cp:lastModifiedBy>
  <cp:revision>2</cp:revision>
  <dcterms:created xsi:type="dcterms:W3CDTF">2024-04-22T10:31:00Z</dcterms:created>
  <dcterms:modified xsi:type="dcterms:W3CDTF">2024-04-22T10:31:00Z</dcterms:modified>
</cp:coreProperties>
</file>