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pPr>
      <w:r>
        <w:rPr/>
        <w:t>SFS LoRa Sensor Node Firmware — Open Source Software Documentation</w:t>
      </w:r>
    </w:p>
    <w:p>
      <w:pPr>
        <w:pStyle w:val="Heading2"/>
        <w:rPr/>
      </w:pPr>
      <w:r>
        <w:rPr/>
        <w:t>1. Software Identification</w:t>
      </w:r>
    </w:p>
    <w:p>
      <w:pPr>
        <w:pStyle w:val="normal1"/>
        <w:rPr/>
      </w:pPr>
      <w:r>
        <w:rPr/>
        <w:t>Software Title: SFS LoRa Sensor Node Firmware</w:t>
        <w:br/>
        <w:t>Short Description: Open-source firmware for the SFS LoRa sensor node. Reads distance (ToF), temperature, and humidity sensors, applies filtering, and transmits encoded readings to the concentrator node over LoRa at 10-second intervals.</w:t>
        <w:br/>
        <w:t>Keywords/Tags: LoRa, sensor node, IoT, livestock, feed monitoring, STM32, embedded C, ultrasonic, ToF, OpenAgri</w:t>
        <w:br/>
        <w:t>Author(s)/Maintainer(s): Inokron FWSW Team</w:t>
        <w:br/>
        <w:t>Organization: Inokron d.o.o.</w:t>
        <w:br/>
        <w:t>Contact Email: info@inokron.com</w:t>
        <w:br/>
        <w:t>Repository URL:</w:t>
      </w:r>
      <w:r>
        <w:rPr>
          <w:shd w:fill="auto" w:val="clear"/>
        </w:rPr>
        <w:t xml:space="preserve"> </w:t>
      </w:r>
      <w:r>
        <w:rPr>
          <w:shd w:fill="auto" w:val="clear"/>
        </w:rPr>
        <w:t>https://github.com/inokron-doo/OA-Sensor</w:t>
      </w:r>
      <w:r>
        <w:rPr/>
        <w:br/>
        <w:t>Version: v1.0.0</w:t>
        <w:br/>
        <w:t>Programming Language(s): C (STM32 HAL, C99)</w:t>
        <w:br/>
        <w:t>Operating System(s): Bare metal (no OS) — STM32F051K8T7 Cortex-M0</w:t>
      </w:r>
    </w:p>
    <w:p>
      <w:pPr>
        <w:pStyle w:val="Heading2"/>
        <w:rPr/>
      </w:pPr>
      <w:r>
        <w:rPr/>
        <w:t>2. Purpose and Scope</w:t>
      </w:r>
    </w:p>
    <w:p>
      <w:pPr>
        <w:pStyle w:val="BodyText"/>
        <w:spacing w:before="0" w:after="200"/>
        <w:rPr/>
      </w:pPr>
      <w:r>
        <w:rPr/>
        <w:t>The sensor node firmware acquires feed-level distance measurements and in-barn climate data (temperature, humidity) and transmits them at regular intervals to the concentrator node over LoRa. Up to four DFRobot SEN0648 ToF distance sensors can be connected per node via an onboard 4-port UART multiplexer. One Sensirion SHT85 climate sensor is supported per node via I²C.</w:t>
      </w:r>
    </w:p>
    <w:p>
      <w:pPr>
        <w:pStyle w:val="BodyText"/>
        <w:spacing w:before="0" w:after="200"/>
        <w:rPr/>
      </w:pPr>
      <w:r>
        <w:rPr/>
        <w:t xml:space="preserve">This firmware is the field-deployed counterpart to the SFS LoRa Concentrator Node Firmware. </w:t>
      </w:r>
    </w:p>
    <w:p>
      <w:pPr>
        <w:pStyle w:val="Heading2"/>
        <w:rPr/>
      </w:pPr>
      <w:r>
        <w:rPr/>
        <w:t>3. Features and Functionality</w:t>
      </w:r>
    </w:p>
    <w:p>
      <w:pPr>
        <w:pStyle w:val="BodyText"/>
        <w:spacing w:before="0" w:after="0"/>
        <w:rPr/>
      </w:pPr>
      <w:r>
        <w:rPr/>
        <w:t>Up to 4 DFRobot SEN0648 ToF distance sensors via 4-port UART multiplexer;</w:t>
      </w:r>
    </w:p>
    <w:p>
      <w:pPr>
        <w:pStyle w:val="BodyText"/>
        <w:spacing w:before="0" w:after="0"/>
        <w:rPr/>
      </w:pPr>
      <w:r>
        <w:rPr/>
        <w:t xml:space="preserve">Automatic sensor port detection on startup; periodic re-probe every 3 minutes; </w:t>
      </w:r>
    </w:p>
    <w:p>
      <w:pPr>
        <w:pStyle w:val="BodyText"/>
        <w:spacing w:before="0" w:after="0"/>
        <w:rPr/>
      </w:pPr>
      <w:r>
        <w:rPr/>
        <w:t>95th-percentile filter on distance samples (~100 samples per 10 s window) to reject animal-head interference;</w:t>
      </w:r>
    </w:p>
    <w:p>
      <w:pPr>
        <w:pStyle w:val="BodyText"/>
        <w:spacing w:before="0" w:after="0"/>
        <w:rPr/>
      </w:pPr>
      <w:r>
        <w:rPr/>
        <w:t xml:space="preserve">Sensirion SHT85 temperature and humidity sensing via I²C; </w:t>
      </w:r>
    </w:p>
    <w:p>
      <w:pPr>
        <w:pStyle w:val="BodyText"/>
        <w:spacing w:before="0" w:after="0"/>
        <w:rPr/>
      </w:pPr>
      <w:r>
        <w:rPr/>
        <w:t>Round-robin LoRa transmission: temperature → humidity → distance sensors, one slot per 10 s;</w:t>
      </w:r>
    </w:p>
    <w:p>
      <w:pPr>
        <w:pStyle w:val="BodyText"/>
        <w:spacing w:before="0" w:after="0"/>
        <w:rPr/>
      </w:pPr>
      <w:r>
        <w:rPr/>
        <w:t>LED status: WRK heartbeat (1 Hz), COMM activity, R_ERROR fault indicator;</w:t>
      </w:r>
    </w:p>
    <w:p>
      <w:pPr>
        <w:pStyle w:val="BodyText"/>
        <w:spacing w:before="0" w:after="200"/>
        <w:rPr/>
      </w:pPr>
      <w:r>
        <w:rPr/>
        <w:t>Ultrasonic sensor decode pipeline (AJ-SR04M / A01NYUB) implemented but not active;</w:t>
      </w:r>
    </w:p>
    <w:p>
      <w:pPr>
        <w:pStyle w:val="Heading2"/>
        <w:rPr/>
      </w:pPr>
      <w:r>
        <w:rPr/>
        <w:t>4. System Architecture</w:t>
      </w:r>
    </w:p>
    <w:p>
      <w:pPr>
        <w:pStyle w:val="normal1"/>
        <w:rPr/>
      </w:pPr>
      <w:r>
        <w:rPr/>
        <w:t>Interrupt-driven UART reception from up to four multiplexed ToF sensors feeds per-sensor sample buffers; a 10-second timer tick drives slot-based LoRa transmission via a second UART. Climate data is acquired over I²C on each transmission cycle. No RTOS — all logic runs in a single main loop with a hardware IWDG for fault recovery.</w:t>
      </w:r>
    </w:p>
    <w:p>
      <w:pPr>
        <w:pStyle w:val="Heading2"/>
        <w:rPr/>
      </w:pPr>
      <w:r>
        <w:rPr/>
        <w:t>5. Installation and Setup</w:t>
      </w:r>
    </w:p>
    <w:p>
      <w:pPr>
        <w:pStyle w:val="normal1"/>
        <w:rPr/>
      </w:pPr>
      <w:r>
        <w:rPr>
          <w:rStyle w:val="Strong"/>
        </w:rPr>
        <w:t>System requirements:</w:t>
      </w:r>
      <w:r>
        <w:rPr/>
        <w:t xml:space="preserve"> STM32CubeIDE, ST-Link V2 programmer;</w:t>
      </w:r>
    </w:p>
    <w:p>
      <w:pPr>
        <w:pStyle w:val="normal1"/>
        <w:rPr/>
      </w:pPr>
      <w:r>
        <w:rPr>
          <w:rStyle w:val="Strong"/>
        </w:rPr>
        <w:t>Sensors:</w:t>
      </w:r>
      <w:r>
        <w:rPr/>
        <w:t xml:space="preserve"> One or more DFRobot SEN0648 connected to SENSOR ports 1–4; </w:t>
      </w:r>
    </w:p>
    <w:p>
      <w:pPr>
        <w:pStyle w:val="normal1"/>
        <w:rPr/>
      </w:pPr>
      <w:r>
        <w:rPr>
          <w:rStyle w:val="Strong"/>
        </w:rPr>
        <w:t>Build:</w:t>
      </w:r>
      <w:r>
        <w:rPr/>
        <w:t xml:space="preserve"> Import project into STM32CubeIDE, set </w:t>
      </w:r>
      <w:r>
        <w:rPr>
          <w:rStyle w:val="SourceText"/>
        </w:rPr>
        <w:t>#define SENSOR_DEVICE_ID &lt;1–31&gt;</w:t>
      </w:r>
      <w:r>
        <w:rPr/>
        <w:t xml:space="preserve"> in </w:t>
      </w:r>
      <w:r>
        <w:rPr>
          <w:rStyle w:val="SourceText"/>
        </w:rPr>
        <w:t>main.c</w:t>
      </w:r>
      <w:r>
        <w:rPr/>
        <w:t xml:space="preserve">, build Release configuration, flash via ST-Link </w:t>
      </w:r>
    </w:p>
    <w:p>
      <w:pPr>
        <w:pStyle w:val="Heading2"/>
        <w:rPr/>
      </w:pPr>
      <w:r>
        <w:rPr/>
        <w:t>6. Usage Instructions</w:t>
      </w:r>
    </w:p>
    <w:p>
      <w:pPr>
        <w:pStyle w:val="normal1"/>
        <w:rPr/>
      </w:pPr>
      <w:r>
        <w:rPr/>
        <w:t>Power node via PCB terminal block. On startup, sensor ports are probed and the active set logged over USART2 (115200 baud). Node then transmits autonomously; no user interaction required. Monitor USART2 for debug output or connect USART1 output to the concentrator node. WRK LED heartbeat (1 Hz) confirms normal operation; R_ERROR indicates sensor fault.</w:t>
      </w:r>
    </w:p>
    <w:p>
      <w:pPr>
        <w:pStyle w:val="Heading2"/>
        <w:rPr/>
      </w:pPr>
      <w:r>
        <w:rPr/>
        <w:t>7. Input/Output Specifications</w:t>
      </w:r>
    </w:p>
    <w:p>
      <w:pPr>
        <w:pStyle w:val="normal1"/>
        <w:rPr/>
      </w:pPr>
      <w:r>
        <w:rPr>
          <w:rStyle w:val="Strong"/>
        </w:rPr>
        <w:t>Input:</w:t>
      </w:r>
      <w:r>
        <w:rPr/>
        <w:t xml:space="preserve"> SEN0648 ToF frames (16-byte, USART2, 115200 baud); SHT85 6-byte I²C response (address 0x44, command 0x2400) </w:t>
      </w:r>
    </w:p>
    <w:p>
      <w:pPr>
        <w:pStyle w:val="normal1"/>
        <w:rPr/>
      </w:pPr>
      <w:r>
        <w:rPr>
          <w:rStyle w:val="Strong"/>
        </w:rPr>
        <w:t>Output:</w:t>
      </w:r>
      <w:r>
        <w:rPr/>
        <w:t xml:space="preserve"> 6-byte LoRa broadcast packet (USART1, 9600 baud)</w:t>
      </w:r>
    </w:p>
    <w:p>
      <w:pPr>
        <w:pStyle w:val="Heading2"/>
        <w:rPr/>
      </w:pPr>
      <w:r>
        <w:rPr/>
        <w:t>8. API Documentation (If Applicable)</w:t>
      </w:r>
    </w:p>
    <w:p>
      <w:pPr>
        <w:pStyle w:val="normal1"/>
        <w:rPr/>
      </w:pPr>
      <w:r>
        <w:rPr/>
        <w:t>Not applicable</w:t>
      </w:r>
    </w:p>
    <w:p>
      <w:pPr>
        <w:pStyle w:val="Heading2"/>
        <w:rPr/>
      </w:pPr>
      <w:r>
        <w:rPr/>
        <w:t>9. Software Dependencies</w:t>
      </w:r>
    </w:p>
    <w:p>
      <w:pPr>
        <w:pStyle w:val="normal1"/>
        <w:rPr/>
      </w:pPr>
      <w:r>
        <w:rPr/>
        <w:t>STM32F0xx HAL, CMSIS (ARM Cortex-M0) — both bundled with STM32CubeIDE. No external libraries.</w:t>
      </w:r>
    </w:p>
    <w:p>
      <w:pPr>
        <w:pStyle w:val="Heading2"/>
        <w:rPr/>
      </w:pPr>
      <w:r>
        <w:rPr/>
        <w:t>10. Testing and Validation (optional)</w:t>
      </w:r>
    </w:p>
    <w:p>
      <w:pPr>
        <w:pStyle w:val="normal1"/>
        <w:rPr/>
      </w:pPr>
      <w:r>
        <w:rPr/>
        <w:t>No automated test harness. Validated through field deployment at Novak farm (Gorenjska, Slovenia)</w:t>
      </w:r>
    </w:p>
    <w:p>
      <w:pPr>
        <w:pStyle w:val="Heading2"/>
        <w:rPr/>
      </w:pPr>
      <w:r>
        <w:rPr/>
        <w:t>11. Performance and Scalability (optional)</w:t>
      </w:r>
    </w:p>
    <w:p>
      <w:pPr>
        <w:pStyle w:val="normal1"/>
        <w:rPr/>
      </w:pPr>
      <w:r>
        <w:rPr/>
        <w:t>~100 distance samples per sensor per 10 s window. Up to 4 sensors per node; up to 32 nodes per concentrator (5-bit device ID).</w:t>
      </w:r>
    </w:p>
    <w:p>
      <w:pPr>
        <w:pStyle w:val="Heading2"/>
        <w:rPr/>
      </w:pPr>
      <w:r>
        <w:rPr/>
        <w:t>12. Security Considerations</w:t>
      </w:r>
    </w:p>
    <w:p>
      <w:pPr>
        <w:pStyle w:val="normal1"/>
        <w:rPr/>
      </w:pPr>
      <w:r>
        <w:rPr/>
        <w:t>LoRa channel is unencrypted broadcast — intentional for farm environment. Physical USART2 debug access should not be exposed in production enclosures.</w:t>
      </w:r>
    </w:p>
    <w:p>
      <w:pPr>
        <w:pStyle w:val="Heading2"/>
        <w:rPr/>
      </w:pPr>
      <w:r>
        <w:rPr/>
        <w:t>13. Licensing and Usage Rights</w:t>
      </w:r>
    </w:p>
    <w:p>
      <w:pPr>
        <w:pStyle w:val="normal1"/>
        <w:rPr/>
      </w:pPr>
      <w:r>
        <w:rPr>
          <w:rStyle w:val="Strong"/>
          <w:b w:val="false"/>
          <w:bCs w:val="false"/>
        </w:rPr>
        <w:t>Licence</w:t>
      </w:r>
      <w:r>
        <w:rPr>
          <w:rStyle w:val="Strong"/>
        </w:rPr>
        <w:t>:</w:t>
      </w:r>
      <w:r>
        <w:rPr/>
        <w:t xml:space="preserve"> GNU General Public License v3.0 (GPL-3.0). Derivative works must be released under the same licence with source code made available. </w:t>
      </w:r>
    </w:p>
    <w:p>
      <w:pPr>
        <w:pStyle w:val="normal1"/>
        <w:rPr/>
      </w:pPr>
      <w:r>
        <w:rPr>
          <w:rStyle w:val="Strong"/>
          <w:b w:val="false"/>
          <w:bCs w:val="false"/>
        </w:rPr>
        <w:t>Attribution</w:t>
      </w:r>
      <w:r>
        <w:rPr>
          <w:rStyle w:val="Strong"/>
        </w:rPr>
        <w:t>:</w:t>
      </w:r>
      <w:r>
        <w:rPr/>
        <w:t xml:space="preserve"> Retain copyright notice and repository reference in all copies or derivative works. </w:t>
      </w:r>
    </w:p>
    <w:p>
      <w:pPr>
        <w:pStyle w:val="normal1"/>
        <w:rPr/>
      </w:pPr>
      <w:r>
        <w:rPr>
          <w:rStyle w:val="Strong"/>
          <w:b w:val="false"/>
          <w:bCs w:val="false"/>
        </w:rPr>
        <w:t>Commercial</w:t>
      </w:r>
      <w:r>
        <w:rPr>
          <w:rStyle w:val="Strong"/>
        </w:rPr>
        <w:t xml:space="preserve"> </w:t>
      </w:r>
      <w:r>
        <w:rPr>
          <w:rStyle w:val="Strong"/>
          <w:b w:val="false"/>
          <w:bCs w:val="false"/>
        </w:rPr>
        <w:t>use</w:t>
      </w:r>
      <w:r>
        <w:rPr>
          <w:rStyle w:val="Strong"/>
        </w:rPr>
        <w:t>:</w:t>
      </w:r>
      <w:r>
        <w:rPr/>
        <w:t xml:space="preserve"> Permitted subject to GPL-3.0 terms.</w:t>
      </w:r>
    </w:p>
    <w:p>
      <w:pPr>
        <w:pStyle w:val="Heading2"/>
        <w:rPr/>
      </w:pPr>
      <w:r>
        <w:rPr/>
        <w:t>14. Contribution Guidelines</w:t>
      </w:r>
    </w:p>
    <w:p>
      <w:pPr>
        <w:pStyle w:val="Normal"/>
        <w:rPr/>
      </w:pPr>
      <w:r>
        <w:rPr/>
        <w:t>Fork repository, create feature branch, submit merge request. Keep user code within USER CODE blocks to maintain STM32CubeIDE compatibility. Test on hardware before submitting. Report issues via repository issue tracker.</w:t>
      </w:r>
    </w:p>
    <w:p>
      <w:pPr>
        <w:pStyle w:val="Heading2"/>
        <w:rPr/>
      </w:pPr>
      <w:r>
        <w:rPr/>
        <w:t>15. Versioning and Changelog (optional)</w:t>
      </w:r>
    </w:p>
    <w:p>
      <w:pPr>
        <w:pStyle w:val="normal1"/>
        <w:rPr/>
      </w:pPr>
      <w:r>
        <w:rPr/>
        <w:t>Versioning scheme: Semantic versioning (MAJOR.MINOR.PATCH)</w:t>
        <w:br/>
        <w:t>Changelog:</w:t>
      </w:r>
    </w:p>
    <w:p>
      <w:pPr>
        <w:pStyle w:val="normal1"/>
        <w:numPr>
          <w:ilvl w:val="0"/>
          <w:numId w:val="1"/>
        </w:numPr>
        <w:rPr/>
      </w:pPr>
      <w:r>
        <w:rPr/>
        <w:t>v1.0.0 – 2026-06-17 – Initial release</w:t>
      </w:r>
    </w:p>
    <w:p>
      <w:pPr>
        <w:pStyle w:val="Heading2"/>
        <w:rPr/>
      </w:pPr>
      <w:r>
        <w:rPr/>
        <w:t>16. Roadmap and Future Work</w:t>
      </w:r>
    </w:p>
    <w:p>
      <w:pPr>
        <w:pStyle w:val="BodyText"/>
        <w:numPr>
          <w:ilvl w:val="0"/>
          <w:numId w:val="2"/>
        </w:numPr>
        <w:tabs>
          <w:tab w:val="clear" w:pos="720"/>
          <w:tab w:val="left" w:pos="0" w:leader="none"/>
        </w:tabs>
        <w:spacing w:before="0" w:after="0"/>
        <w:ind w:hanging="283" w:start="720"/>
        <w:rPr/>
      </w:pPr>
      <w:r>
        <w:rPr/>
        <w:t xml:space="preserve">Runtime node ID and configuration (transmission interval, sensor parameters) delivered via LoRa downlink, eliminating the need for per-node firmware builds. </w:t>
      </w:r>
    </w:p>
    <w:p>
      <w:pPr>
        <w:pStyle w:val="BodyText"/>
        <w:numPr>
          <w:ilvl w:val="0"/>
          <w:numId w:val="3"/>
        </w:numPr>
        <w:tabs>
          <w:tab w:val="clear" w:pos="720"/>
          <w:tab w:val="left" w:pos="0" w:leader="none"/>
        </w:tabs>
        <w:spacing w:before="0" w:after="0"/>
        <w:ind w:hanging="283" w:start="720"/>
        <w:rPr/>
      </w:pPr>
      <w:r>
        <w:rPr/>
        <w:t>Extended sensor support and field evaluation of alternative distance measurement technologies, including structured-light grid sensors that could provide area-based trough coverage rather than single-point depth measurement.</w:t>
      </w:r>
    </w:p>
    <w:p>
      <w:pPr>
        <w:pStyle w:val="Heading2"/>
        <w:rPr/>
      </w:pPr>
      <w:r>
        <w:rPr/>
        <w:t>17. Known Limitations</w:t>
      </w:r>
    </w:p>
    <w:p>
      <w:pPr>
        <w:pStyle w:val="BodyText"/>
        <w:rPr/>
      </w:pPr>
      <w:r>
        <w:rPr/>
        <w:t>Node ID is compile-time only, each node requires a separate firmware build.</w:t>
      </w:r>
    </w:p>
    <w:p>
      <w:pPr>
        <w:pStyle w:val="BodyText"/>
        <w:rPr/>
      </w:pPr>
      <w:r>
        <w:rPr/>
        <w:t>Single-point distance measurement can be noisy at low feed levels. Animal feeding behaviour displaces feed into mounds and depressions; a single sensor reading captures one point on that surface, increasing variance even after 4 sensor aggregation and filtering.</w:t>
      </w:r>
    </w:p>
    <w:p>
      <w:pPr>
        <w:pStyle w:val="Heading2"/>
        <w:rPr/>
      </w:pPr>
      <w:r>
        <w:rPr/>
        <w:t>18. Citation and Acknowledgements (optional)</w:t>
      </w:r>
    </w:p>
    <w:p>
      <w:pPr>
        <w:pStyle w:val="normal1"/>
        <w:rPr/>
      </w:pPr>
      <w:r>
        <w:rPr>
          <w:rStyle w:val="Strong"/>
          <w:b w:val="false"/>
          <w:bCs w:val="false"/>
        </w:rPr>
        <w:t>Citation</w:t>
      </w:r>
      <w:r>
        <w:rPr>
          <w:rStyle w:val="Strong"/>
        </w:rPr>
        <w:t>:</w:t>
      </w:r>
      <w:r>
        <w:rPr/>
        <w:t xml:space="preserve"> Inokron d.o.o. (2026). </w:t>
      </w:r>
      <w:r>
        <w:rPr>
          <w:rStyle w:val="Emphasis"/>
        </w:rPr>
        <w:t>SFS LoRa Sensor Node Firmware</w:t>
      </w:r>
      <w:r>
        <w:rPr/>
        <w:t xml:space="preserve"> </w:t>
      </w:r>
    </w:p>
    <w:p>
      <w:pPr>
        <w:pStyle w:val="normal1"/>
        <w:rPr/>
      </w:pPr>
      <w:r>
        <w:rPr>
          <w:rStyle w:val="Strong"/>
          <w:b w:val="false"/>
          <w:bCs w:val="false"/>
        </w:rPr>
        <w:t>Funding</w:t>
      </w:r>
      <w:r>
        <w:rPr>
          <w:rStyle w:val="Strong"/>
        </w:rPr>
        <w:t>:</w:t>
      </w:r>
      <w:r>
        <w:rPr/>
        <w:t xml:space="preserve"> Developed under the OpenAgri project, Horizon Europe programme, SIP 13</w:t>
      </w:r>
    </w:p>
    <w:p>
      <w:pPr>
        <w:pStyle w:val="Heading2"/>
        <w:rPr/>
      </w:pPr>
      <w:r>
        <w:rPr/>
        <w:t>19. Contact and Support</w:t>
      </w:r>
    </w:p>
    <w:p>
      <w:pPr>
        <w:pStyle w:val="normal1"/>
        <w:rPr/>
      </w:pPr>
      <w:r>
        <w:rPr/>
        <w:t>Maintainer name: Inokron FWSW Team</w:t>
        <w:br/>
        <w:t>Institution: Inokron d.o.o.</w:t>
        <w:br/>
        <w:t>Support email/Raising issues: info@inokron.com</w:t>
      </w:r>
    </w:p>
    <w:p>
      <w:pPr>
        <w:pStyle w:val="normal1"/>
        <w:rPr/>
      </w:pPr>
      <w:r>
        <w:rPr/>
      </w:r>
    </w:p>
    <w:sectPr>
      <w:type w:val="nextPage"/>
      <w:pgSz w:w="12240" w:h="15840"/>
      <w:pgMar w:left="1800" w:right="180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1" w:characterSet="utf-8"/>
    <w:family w:val="roman"/>
    <w:pitch w:val="variable"/>
    <w:embedRegular r:id="rId5" w:fontKey="{05014A78-CABC-4EF0-12AC-5CD89AEFDE05}"/>
    <w:embedBold r:id="rId6" w:fontKey="{06014A78-CABC-4EF0-12AC-5CD89AEFDE06}"/>
  </w:font>
  <w:font w:name="Liberation Mono">
    <w:altName w:val="Courier New"/>
    <w:charset w:val="01" w:characterSet="utf-8"/>
    <w:family w:val="roman"/>
    <w:pitch w:val="variable"/>
    <w:embedRegular r:id="rId7" w:fontKey="{07014A78-CABC-4EF0-12AC-5CD89AEFDE07}"/>
  </w:font>
  <w:font w:name="Liberation Sans">
    <w:altName w:val="Arial"/>
    <w:charset w:val="01" w:characterSet="utf-8"/>
    <w:family w:val="swiss"/>
    <w:pitch w:val="variable"/>
    <w:embedRegular r:id="rId8" w:fontKey="{08014A78-CABC-4EF0-12AC-5CD89AEFDE08}"/>
    <w:embedBold r:id="rId9" w:fontKey="{09014A78-CABC-4EF0-12AC-5CD89AEFDE09}"/>
    <w:embedItalic r:id="rId10" w:fontKey="{0A014A78-CABC-4EF0-12AC-5CD89AEFDE0A}"/>
    <w:embedBoldItalic r:id="rId11" w:fontKey="{0B014A78-CABC-4EF0-12AC-5CD89AEFDE0B}"/>
  </w:font>
  <w:font w:name="Symbol">
    <w:charset w:val="02"/>
    <w:family w:val="auto"/>
    <w:pitch w:val="default"/>
  </w:font>
  <w:font w:name="OpenSymbol">
    <w:altName w:val="Arial Unicode MS"/>
    <w:charset w:val="01"/>
    <w:family w:val="auto"/>
    <w:pitch w:val="variable"/>
    <w:embedRegular r:id="rId6" w:fontKey="{06014A78-CABC-4EF0-12AC-5CD89AEFDE06}"/>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start"/>
    </w:pPr>
    <w:rPr>
      <w:rFonts w:ascii="Cambria" w:hAnsi="Cambria" w:eastAsia="Cambria" w:cs="Cambria"/>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80" w:after="0"/>
    </w:pPr>
    <w:rPr>
      <w:rFonts w:ascii="Calibri" w:hAnsi="Calibri" w:eastAsia="Calibri" w:cs="Calibri"/>
      <w:b/>
      <w:bCs/>
      <w:color w:val="366091"/>
      <w:sz w:val="28"/>
      <w:szCs w:val="28"/>
    </w:rPr>
  </w:style>
  <w:style w:type="paragraph" w:styleId="Heading2">
    <w:name w:val="heading 2"/>
    <w:basedOn w:val="normal1"/>
    <w:next w:val="normal1"/>
    <w:qFormat/>
    <w:pPr>
      <w:keepNext w:val="true"/>
      <w:keepLines/>
      <w:spacing w:lineRule="auto" w:line="240" w:before="200" w:after="0"/>
    </w:pPr>
    <w:rPr>
      <w:rFonts w:ascii="Calibri" w:hAnsi="Calibri" w:eastAsia="Calibri" w:cs="Calibri"/>
      <w:b/>
      <w:bCs/>
      <w:color w:val="4F81BD"/>
      <w:sz w:val="26"/>
      <w:szCs w:val="26"/>
    </w:rPr>
  </w:style>
  <w:style w:type="paragraph" w:styleId="Heading3">
    <w:name w:val="heading 3"/>
    <w:basedOn w:val="normal1"/>
    <w:next w:val="normal1"/>
    <w:qFormat/>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paragraph" w:styleId="Heading7">
    <w:name w:val="heading 7"/>
    <w:basedOn w:val="normal1"/>
    <w:next w:val="normal1"/>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1"/>
    <w:next w:val="normal1"/>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1"/>
    <w:next w:val="normal1"/>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link w:val="BodyTextChar"/>
    <w:uiPriority w:val="99"/>
    <w:unhideWhenUsed/>
    <w:rsid w:val="00aa1d8d"/>
    <w:pPr>
      <w:spacing w:before="0" w:after="120"/>
    </w:pPr>
    <w:rPr/>
  </w:style>
  <w:style w:type="paragraph" w:styleId="List">
    <w:name w:val="List"/>
    <w:basedOn w:val="normal1"/>
    <w:uiPriority w:val="99"/>
    <w:unhideWhenUsed/>
    <w:rsid w:val="00aa1d8d"/>
    <w:pPr>
      <w:spacing w:before="0" w:after="200"/>
      <w:ind w:hanging="360" w:start="360"/>
      <w:contextualSpacing/>
    </w:pPr>
    <w:rPr/>
  </w:style>
  <w:style w:type="paragraph" w:styleId="Caption">
    <w:name w:val="caption"/>
    <w:basedOn w:val="normal1"/>
    <w:next w:val="normal1"/>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start"/>
    </w:pPr>
    <w:rPr>
      <w:rFonts w:ascii="Cambria" w:hAnsi="Cambria" w:eastAsia="Cambria" w:cs="Cambria"/>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HeaderandFooter">
    <w:name w:val="Header and Footer"/>
    <w:basedOn w:val="Normal"/>
    <w:qFormat/>
    <w:pPr/>
    <w:rPr/>
  </w:style>
  <w:style w:type="paragraph" w:styleId="Header">
    <w:name w:val="header"/>
    <w:basedOn w:val="normal1"/>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1"/>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Cambria" w:cs="Cambria"/>
      <w:color w:val="auto"/>
      <w:kern w:val="0"/>
      <w:sz w:val="22"/>
      <w:szCs w:val="22"/>
      <w:lang w:val="en-US" w:eastAsia="zh-CN" w:bidi="hi-IN"/>
    </w:rPr>
  </w:style>
  <w:style w:type="paragraph" w:styleId="ListParagraph">
    <w:name w:val="List Paragraph"/>
    <w:basedOn w:val="normal1"/>
    <w:uiPriority w:val="34"/>
    <w:qFormat/>
    <w:rsid w:val="00fc693f"/>
    <w:pPr>
      <w:spacing w:before="0" w:after="200"/>
      <w:ind w:start="720"/>
      <w:contextualSpacing/>
    </w:pPr>
    <w:rPr/>
  </w:style>
  <w:style w:type="paragraph" w:styleId="BodyText2">
    <w:name w:val="Body Text 2"/>
    <w:basedOn w:val="normal1"/>
    <w:link w:val="BodyText2Char"/>
    <w:uiPriority w:val="99"/>
    <w:unhideWhenUsed/>
    <w:qFormat/>
    <w:rsid w:val="00aa1d8d"/>
    <w:pPr>
      <w:spacing w:lineRule="auto" w:line="480" w:before="0" w:after="120"/>
    </w:pPr>
    <w:rPr/>
  </w:style>
  <w:style w:type="paragraph" w:styleId="BodyText3">
    <w:name w:val="Body Text 3"/>
    <w:basedOn w:val="normal1"/>
    <w:link w:val="BodyText3Char"/>
    <w:uiPriority w:val="99"/>
    <w:unhideWhenUsed/>
    <w:qFormat/>
    <w:rsid w:val="00aa1d8d"/>
    <w:pPr>
      <w:spacing w:before="0" w:after="120"/>
    </w:pPr>
    <w:rPr>
      <w:sz w:val="16"/>
      <w:szCs w:val="16"/>
    </w:rPr>
  </w:style>
  <w:style w:type="paragraph" w:styleId="List2">
    <w:name w:val="List 2"/>
    <w:basedOn w:val="normal1"/>
    <w:uiPriority w:val="99"/>
    <w:unhideWhenUsed/>
    <w:qFormat/>
    <w:rsid w:val="00326f90"/>
    <w:pPr>
      <w:spacing w:before="0" w:after="200"/>
      <w:ind w:hanging="360" w:start="720"/>
      <w:contextualSpacing/>
    </w:pPr>
    <w:rPr/>
  </w:style>
  <w:style w:type="paragraph" w:styleId="List3">
    <w:name w:val="List 3"/>
    <w:basedOn w:val="normal1"/>
    <w:uiPriority w:val="99"/>
    <w:unhideWhenUsed/>
    <w:qFormat/>
    <w:rsid w:val="00326f90"/>
    <w:pPr>
      <w:spacing w:before="0" w:after="200"/>
      <w:ind w:hanging="360" w:start="1080"/>
      <w:contextualSpacing/>
    </w:pPr>
    <w:rPr/>
  </w:style>
  <w:style w:type="paragraph" w:styleId="ListBullet">
    <w:name w:val="List Bullet"/>
    <w:basedOn w:val="normal1"/>
    <w:uiPriority w:val="99"/>
    <w:unhideWhenUsed/>
    <w:rsid w:val="00326f90"/>
    <w:pPr>
      <w:spacing w:before="0" w:after="200"/>
      <w:contextualSpacing/>
    </w:pPr>
    <w:rPr/>
  </w:style>
  <w:style w:type="paragraph" w:styleId="ListBullet2">
    <w:name w:val="List Bullet 2"/>
    <w:basedOn w:val="normal1"/>
    <w:uiPriority w:val="99"/>
    <w:unhideWhenUsed/>
    <w:rsid w:val="00326f90"/>
    <w:pPr>
      <w:spacing w:before="0" w:after="200"/>
      <w:contextualSpacing/>
    </w:pPr>
    <w:rPr/>
  </w:style>
  <w:style w:type="paragraph" w:styleId="ListBullet3">
    <w:name w:val="List Bullet 3"/>
    <w:basedOn w:val="normal1"/>
    <w:uiPriority w:val="99"/>
    <w:unhideWhenUsed/>
    <w:rsid w:val="00326f90"/>
    <w:pPr>
      <w:spacing w:before="0" w:after="200"/>
      <w:contextualSpacing/>
    </w:pPr>
    <w:rPr/>
  </w:style>
  <w:style w:type="paragraph" w:styleId="ListNumber">
    <w:name w:val="List Number"/>
    <w:basedOn w:val="normal1"/>
    <w:uiPriority w:val="99"/>
    <w:unhideWhenUsed/>
    <w:rsid w:val="00326f90"/>
    <w:pPr>
      <w:spacing w:before="0" w:after="200"/>
      <w:contextualSpacing/>
    </w:pPr>
    <w:rPr/>
  </w:style>
  <w:style w:type="paragraph" w:styleId="ListNumber2">
    <w:name w:val="List Number 2"/>
    <w:basedOn w:val="normal1"/>
    <w:uiPriority w:val="99"/>
    <w:unhideWhenUsed/>
    <w:rsid w:val="0029639d"/>
    <w:pPr>
      <w:spacing w:before="0" w:after="200"/>
      <w:contextualSpacing/>
    </w:pPr>
    <w:rPr/>
  </w:style>
  <w:style w:type="paragraph" w:styleId="ListNumber3">
    <w:name w:val="List Number 3"/>
    <w:basedOn w:val="normal1"/>
    <w:uiPriority w:val="99"/>
    <w:unhideWhenUsed/>
    <w:rsid w:val="0029639d"/>
    <w:pPr>
      <w:spacing w:before="0" w:after="200"/>
      <w:contextualSpacing/>
    </w:pPr>
    <w:rPr/>
  </w:style>
  <w:style w:type="paragraph" w:styleId="ListContinue">
    <w:name w:val="List Continue"/>
    <w:basedOn w:val="normal1"/>
    <w:uiPriority w:val="99"/>
    <w:unhideWhenUsed/>
    <w:rsid w:val="0029639d"/>
    <w:pPr>
      <w:spacing w:before="0" w:after="120"/>
      <w:ind w:start="360"/>
      <w:contextualSpacing/>
    </w:pPr>
    <w:rPr/>
  </w:style>
  <w:style w:type="paragraph" w:styleId="ListContinue2">
    <w:name w:val="List Continue 2"/>
    <w:basedOn w:val="normal1"/>
    <w:uiPriority w:val="99"/>
    <w:unhideWhenUsed/>
    <w:rsid w:val="0029639d"/>
    <w:pPr>
      <w:spacing w:before="0" w:after="120"/>
      <w:ind w:start="720"/>
      <w:contextualSpacing/>
    </w:pPr>
    <w:rPr/>
  </w:style>
  <w:style w:type="paragraph" w:styleId="ListContinue3">
    <w:name w:val="List Continue 3"/>
    <w:basedOn w:val="normal1"/>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Cambria" w:cs="Cambria"/>
      <w:color w:val="auto"/>
      <w:kern w:val="0"/>
      <w:sz w:val="20"/>
      <w:szCs w:val="20"/>
      <w:lang w:val="en-US" w:eastAsia="zh-CN" w:bidi="hi-IN"/>
    </w:rPr>
  </w:style>
  <w:style w:type="paragraph" w:styleId="Quote">
    <w:name w:val="Quote"/>
    <w:basedOn w:val="normal1"/>
    <w:next w:val="normal1"/>
    <w:link w:val="QuoteChar"/>
    <w:uiPriority w:val="29"/>
    <w:qFormat/>
    <w:rsid w:val="00fc693f"/>
    <w:pPr/>
    <w:rPr>
      <w:i/>
      <w:iCs/>
      <w:color w:themeColor="text1" w:val="000000"/>
    </w:rPr>
  </w:style>
  <w:style w:type="paragraph" w:styleId="IntenseQuote">
    <w:name w:val="Intense Quote"/>
    <w:basedOn w:val="normal1"/>
    <w:next w:val="normal1"/>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1"/>
    <w:uiPriority w:val="39"/>
    <w:semiHidden/>
    <w:unhideWhenUsed/>
    <w:qFormat/>
    <w:rsid w:val="00fc693f"/>
    <w:pPr/>
    <w:rPr/>
  </w:style>
  <w:style w:type="paragraph" w:styleId="Subtitle">
    <w:name w:val="Subtitle"/>
    <w:basedOn w:val="normal1"/>
    <w:next w:val="normal1"/>
    <w:qFormat/>
    <w:pPr/>
    <w:rPr>
      <w:rFonts w:ascii="Calibri" w:hAnsi="Calibri" w:eastAsia="Calibri" w:cs="Calibri"/>
      <w:i/>
      <w:iCs/>
      <w:color w:val="4F81BD"/>
      <w:sz w:val="24"/>
      <w:szCs w:val="24"/>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la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C0C0C0" w:themeFill="text1" w:themeFillTint="3f"/>
      </w:tcPr>
    </w:tblStylePr>
    <w:tblStylePr w:type="band1Horz">
      <w:tblPr/>
      <w:tcPr>
        <w:tcBorders>
          <w:left w:val="nil" w:sz="0" w:space="0"/>
          <w:right w:val="nil" w:sz="0" w:space="0"/>
          <w:insideH w:val="nil" w:sz="0" w:space="0"/>
          <w:insideV w:val="nil" w:sz="0" w:space="0"/>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sz="0" w:space="0"/>
          <w:bottom w:val="single" w:color="4F81BD" w:themeColor="accent1" w:sz="8" w:space="0"/>
          <w:right w:val="nil" w:sz="0" w:space="0"/>
          <w:insideH w:val="nil" w:sz="0" w:space="0"/>
          <w:insideV w:val="nil" w:sz="0" w:space="0"/>
        </w:tcBorders>
      </w:tcPr>
    </w:tblStylePr>
    <w:tblStylePr w:type="lastRow">
      <w:pPr>
        <w:spacing w:before="0" w:after="0" w:line="240" w:lineRule="auto"/>
      </w:pPr>
      <w:rPr>
        <w:b/>
        <w:bCs/>
      </w:rPr>
      <w:tblPr/>
      <w:tcPr>
        <w:tcBorders>
          <w:top w:val="single" w:color="4F81BD" w:themeColor="accent1" w:sz="8" w:space="0"/>
          <w:left w:val="nil" w:sz="0" w:space="0"/>
          <w:bottom w:val="single" w:color="4F81BD" w:themeColor="accent1"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3DFEE" w:themeFill="accent1" w:themeFillTint="3f"/>
      </w:tcPr>
    </w:tblStylePr>
    <w:tblStylePr w:type="band1Horz">
      <w:tblPr/>
      <w:tcPr>
        <w:tcBorders>
          <w:left w:val="nil" w:sz="0" w:space="0"/>
          <w:right w:val="nil" w:sz="0" w:space="0"/>
          <w:insideH w:val="nil" w:sz="0" w:space="0"/>
          <w:insideV w:val="nil" w:sz="0" w:space="0"/>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sz="0" w:space="0"/>
          <w:bottom w:val="single" w:color="C0504D" w:themeColor="accent2" w:sz="8" w:space="0"/>
          <w:right w:val="nil" w:sz="0" w:space="0"/>
          <w:insideH w:val="nil" w:sz="0" w:space="0"/>
          <w:insideV w:val="nil" w:sz="0" w:space="0"/>
        </w:tcBorders>
      </w:tcPr>
    </w:tblStylePr>
    <w:tblStylePr w:type="lastRow">
      <w:pPr>
        <w:spacing w:before="0" w:after="0" w:line="240" w:lineRule="auto"/>
      </w:pPr>
      <w:rPr>
        <w:b/>
        <w:bCs/>
      </w:rPr>
      <w:tblPr/>
      <w:tcPr>
        <w:tcBorders>
          <w:top w:val="single" w:color="C0504D" w:themeColor="accent2" w:sz="8" w:space="0"/>
          <w:left w:val="nil" w:sz="0" w:space="0"/>
          <w:bottom w:val="single" w:color="C0504D" w:themeColor="accent2"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EFD3D2" w:themeFill="accent2" w:themeFillTint="3f"/>
      </w:tcPr>
    </w:tblStylePr>
    <w:tblStylePr w:type="band1Horz">
      <w:tblPr/>
      <w:tcPr>
        <w:tcBorders>
          <w:left w:val="nil" w:sz="0" w:space="0"/>
          <w:right w:val="nil" w:sz="0" w:space="0"/>
          <w:insideH w:val="nil" w:sz="0" w:space="0"/>
          <w:insideV w:val="nil" w:sz="0" w:space="0"/>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sz="0" w:space="0"/>
          <w:bottom w:val="single" w:color="9BBB59" w:themeColor="accent3" w:sz="8" w:space="0"/>
          <w:right w:val="nil" w:sz="0" w:space="0"/>
          <w:insideH w:val="nil" w:sz="0" w:space="0"/>
          <w:insideV w:val="nil" w:sz="0" w:space="0"/>
        </w:tcBorders>
      </w:tcPr>
    </w:tblStylePr>
    <w:tblStylePr w:type="lastRow">
      <w:pPr>
        <w:spacing w:before="0" w:after="0" w:line="240" w:lineRule="auto"/>
      </w:pPr>
      <w:rPr>
        <w:b/>
        <w:bCs/>
      </w:rPr>
      <w:tblPr/>
      <w:tcPr>
        <w:tcBorders>
          <w:top w:val="single" w:color="9BBB59" w:themeColor="accent3" w:sz="8" w:space="0"/>
          <w:left w:val="nil" w:sz="0" w:space="0"/>
          <w:bottom w:val="single" w:color="9BBB59" w:themeColor="accent3"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E6EED5" w:themeFill="accent3" w:themeFillTint="3f"/>
      </w:tcPr>
    </w:tblStylePr>
    <w:tblStylePr w:type="band1Horz">
      <w:tblPr/>
      <w:tcPr>
        <w:tcBorders>
          <w:left w:val="nil" w:sz="0" w:space="0"/>
          <w:right w:val="nil" w:sz="0" w:space="0"/>
          <w:insideH w:val="nil" w:sz="0" w:space="0"/>
          <w:insideV w:val="nil" w:sz="0" w:space="0"/>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sz="0" w:space="0"/>
          <w:bottom w:val="single" w:color="8064A2" w:themeColor="accent4" w:sz="8" w:space="0"/>
          <w:right w:val="nil" w:sz="0" w:space="0"/>
          <w:insideH w:val="nil" w:sz="0" w:space="0"/>
          <w:insideV w:val="nil" w:sz="0" w:space="0"/>
        </w:tcBorders>
      </w:tcPr>
    </w:tblStylePr>
    <w:tblStylePr w:type="lastRow">
      <w:pPr>
        <w:spacing w:before="0" w:after="0" w:line="240" w:lineRule="auto"/>
      </w:pPr>
      <w:rPr>
        <w:b/>
        <w:bCs/>
      </w:rPr>
      <w:tblPr/>
      <w:tcPr>
        <w:tcBorders>
          <w:top w:val="single" w:color="8064A2" w:themeColor="accent4" w:sz="8" w:space="0"/>
          <w:left w:val="nil" w:sz="0" w:space="0"/>
          <w:bottom w:val="single" w:color="8064A2" w:themeColor="accent4"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FD8E8" w:themeFill="accent4" w:themeFillTint="3f"/>
      </w:tcPr>
    </w:tblStylePr>
    <w:tblStylePr w:type="band1Horz">
      <w:tblPr/>
      <w:tcPr>
        <w:tcBorders>
          <w:left w:val="nil" w:sz="0" w:space="0"/>
          <w:right w:val="nil" w:sz="0" w:space="0"/>
          <w:insideH w:val="nil" w:sz="0" w:space="0"/>
          <w:insideV w:val="nil" w:sz="0" w:space="0"/>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sz="0" w:space="0"/>
          <w:bottom w:val="single" w:color="4BACC6" w:themeColor="accent5" w:sz="8" w:space="0"/>
          <w:right w:val="nil" w:sz="0" w:space="0"/>
          <w:insideH w:val="nil" w:sz="0" w:space="0"/>
          <w:insideV w:val="nil" w:sz="0" w:space="0"/>
        </w:tcBorders>
      </w:tcPr>
    </w:tblStylePr>
    <w:tblStylePr w:type="lastRow">
      <w:pPr>
        <w:spacing w:before="0" w:after="0" w:line="240" w:lineRule="auto"/>
      </w:pPr>
      <w:rPr>
        <w:b/>
        <w:bCs/>
      </w:rPr>
      <w:tblPr/>
      <w:tcPr>
        <w:tcBorders>
          <w:top w:val="single" w:color="4BACC6" w:themeColor="accent5" w:sz="8" w:space="0"/>
          <w:left w:val="nil" w:sz="0" w:space="0"/>
          <w:bottom w:val="single" w:color="4BACC6" w:themeColor="accent5"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2EAF1" w:themeFill="accent5" w:themeFillTint="3f"/>
      </w:tcPr>
    </w:tblStylePr>
    <w:tblStylePr w:type="band1Horz">
      <w:tblPr/>
      <w:tcPr>
        <w:tcBorders>
          <w:left w:val="nil" w:sz="0" w:space="0"/>
          <w:right w:val="nil" w:sz="0" w:space="0"/>
          <w:insideH w:val="nil" w:sz="0" w:space="0"/>
          <w:insideV w:val="nil" w:sz="0" w:space="0"/>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sz="0" w:space="0"/>
          <w:bottom w:val="single" w:color="F79646" w:themeColor="accent6" w:sz="8" w:space="0"/>
          <w:right w:val="nil" w:sz="0" w:space="0"/>
          <w:insideH w:val="nil" w:sz="0" w:space="0"/>
          <w:insideV w:val="nil" w:sz="0" w:space="0"/>
        </w:tcBorders>
      </w:tcPr>
    </w:tblStylePr>
    <w:tblStylePr w:type="lastRow">
      <w:pPr>
        <w:spacing w:before="0" w:after="0" w:line="240" w:lineRule="auto"/>
      </w:pPr>
      <w:rPr>
        <w:b/>
        <w:bCs/>
      </w:rPr>
      <w:tblPr/>
      <w:tcPr>
        <w:tcBorders>
          <w:top w:val="single" w:color="F79646" w:themeColor="accent6" w:sz="8" w:space="0"/>
          <w:left w:val="nil" w:sz="0" w:space="0"/>
          <w:bottom w:val="single" w:color="F79646" w:themeColor="accent6"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FDE4D0" w:themeFill="accent6" w:themeFillTint="3f"/>
      </w:tcPr>
    </w:tblStylePr>
    <w:tblStylePr w:type="band1Horz">
      <w:tblPr/>
      <w:tcPr>
        <w:tcBorders>
          <w:left w:val="nil" w:sz="0" w:space="0"/>
          <w:right w:val="nil" w:sz="0" w:space="0"/>
          <w:insideH w:val="nil" w:sz="0" w:space="0"/>
          <w:insideV w:val="nil" w:sz="0" w:space="0"/>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0" w:space="0"/>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0" w:space="0"/>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0" w:space="0"/>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0" w:space="0"/>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0" w:space="0"/>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0" w:space="0"/>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0"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0" w:space="0"/>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0" w:space="0"/>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0" w:space="0"/>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0"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0" w:space="0"/>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0" w:space="0"/>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0" w:space="0"/>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sz="0" w:space="0"/>
          <w:insideV w:val="nil" w:sz="0" w:space="0"/>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sz="0" w:space="0"/>
          <w:insideV w:val="nil" w:sz="0" w:space="0"/>
        </w:tcBorders>
        <w:shd w:val="clear" w:color="auto" w:fill="C0C0C0" w:themeFill="text1" w:themeFillTint="3f"/>
      </w:tcPr>
    </w:tblStylePr>
    <w:tblStylePr w:type="band2Horz">
      <w:tblPr/>
      <w:tcPr>
        <w:tcBorders>
          <w:insideH w:val="nil" w:sz="0" w:space="0"/>
          <w:insideV w:val="nil" w:sz="0" w:space="0"/>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sz="0" w:space="0"/>
          <w:insideV w:val="nil" w:sz="0" w:space="0"/>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sz="0" w:space="0"/>
          <w:insideV w:val="nil" w:sz="0" w:space="0"/>
        </w:tcBorders>
        <w:shd w:val="clear" w:color="auto" w:fill="D3DFEE" w:themeFill="accent1" w:themeFillTint="3f"/>
      </w:tcPr>
    </w:tblStylePr>
    <w:tblStylePr w:type="band2Horz">
      <w:tblPr/>
      <w:tcPr>
        <w:tcBorders>
          <w:insideH w:val="nil" w:sz="0" w:space="0"/>
          <w:insideV w:val="nil" w:sz="0" w:space="0"/>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sz="0" w:space="0"/>
          <w:insideV w:val="nil" w:sz="0" w:space="0"/>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sz="0" w:space="0"/>
          <w:insideV w:val="nil" w:sz="0" w:space="0"/>
        </w:tcBorders>
        <w:shd w:val="clear" w:color="auto" w:fill="EFD3D2" w:themeFill="accent2" w:themeFillTint="3f"/>
      </w:tcPr>
    </w:tblStylePr>
    <w:tblStylePr w:type="band2Horz">
      <w:tblPr/>
      <w:tcPr>
        <w:tcBorders>
          <w:insideH w:val="nil" w:sz="0" w:space="0"/>
          <w:insideV w:val="nil" w:sz="0" w:space="0"/>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sz="0" w:space="0"/>
          <w:insideV w:val="nil" w:sz="0" w:space="0"/>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sz="0" w:space="0"/>
          <w:insideV w:val="nil" w:sz="0" w:space="0"/>
        </w:tcBorders>
        <w:shd w:val="clear" w:color="auto" w:fill="E6EED5" w:themeFill="accent3" w:themeFillTint="3f"/>
      </w:tcPr>
    </w:tblStylePr>
    <w:tblStylePr w:type="band2Horz">
      <w:tblPr/>
      <w:tcPr>
        <w:tcBorders>
          <w:insideH w:val="nil" w:sz="0" w:space="0"/>
          <w:insideV w:val="nil" w:sz="0" w:space="0"/>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sz="0" w:space="0"/>
          <w:insideV w:val="nil" w:sz="0" w:space="0"/>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sz="0" w:space="0"/>
          <w:insideV w:val="nil" w:sz="0" w:space="0"/>
        </w:tcBorders>
        <w:shd w:val="clear" w:color="auto" w:fill="DFD8E8" w:themeFill="accent4" w:themeFillTint="3f"/>
      </w:tcPr>
    </w:tblStylePr>
    <w:tblStylePr w:type="band2Horz">
      <w:tblPr/>
      <w:tcPr>
        <w:tcBorders>
          <w:insideH w:val="nil" w:sz="0" w:space="0"/>
          <w:insideV w:val="nil" w:sz="0" w:space="0"/>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sz="0" w:space="0"/>
          <w:insideV w:val="nil" w:sz="0" w:space="0"/>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sz="0" w:space="0"/>
          <w:insideV w:val="nil" w:sz="0" w:space="0"/>
        </w:tcBorders>
        <w:shd w:val="clear" w:color="auto" w:fill="D2EAF1" w:themeFill="accent5" w:themeFillTint="3f"/>
      </w:tcPr>
    </w:tblStylePr>
    <w:tblStylePr w:type="band2Horz">
      <w:tblPr/>
      <w:tcPr>
        <w:tcBorders>
          <w:insideH w:val="nil" w:sz="0" w:space="0"/>
          <w:insideV w:val="nil" w:sz="0" w:space="0"/>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sz="0" w:space="0"/>
          <w:insideV w:val="nil" w:sz="0" w:space="0"/>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sz="0" w:space="0"/>
          <w:insideV w:val="nil" w:sz="0" w:space="0"/>
        </w:tcBorders>
        <w:shd w:val="clear" w:color="auto" w:fill="FDE4D0" w:themeFill="accent6" w:themeFillTint="3f"/>
      </w:tcPr>
    </w:tblStylePr>
    <w:tblStylePr w:type="band2Horz">
      <w:tblPr/>
      <w:tcPr>
        <w:tcBorders>
          <w:insideH w:val="nil" w:sz="0" w:space="0"/>
          <w:insideV w:val="nil" w:sz="0" w:space="0"/>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000000" w:themeFill="text1"/>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000000" w:themeFill="text1"/>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000000" w:themeFill="text1"/>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4F81BD" w:themeFill="accent1"/>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4F81BD" w:themeFill="accent1"/>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4F81BD" w:themeFill="accent1"/>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C0504D" w:themeFill="accent2"/>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C0504D" w:themeFill="accent2"/>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C0504D" w:themeFill="accent2"/>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9BBB59" w:themeFill="accent3"/>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9BBB59" w:themeFill="accent3"/>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9BBB59" w:themeFill="accent3"/>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8064A2" w:themeFill="accent4"/>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8064A2" w:themeFill="accent4"/>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8064A2" w:themeFill="accent4"/>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4BACC6" w:themeFill="accent5"/>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4BACC6" w:themeFill="accent5"/>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4BACC6" w:themeFill="accent5"/>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F79646" w:themeFill="accent6"/>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F79646" w:themeFill="accent6"/>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F79646" w:themeFill="accent6"/>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000000" w:themeColor="text1" w:sz="24" w:space="0"/>
          <w:right w:val="nil" w:sz="0" w:space="0"/>
          <w:insideH w:val="nil" w:sz="0" w:space="0"/>
          <w:insideV w:val="nil" w:sz="0" w:space="0"/>
        </w:tcBorders>
        <w:shd w:val="clear" w:color="auto" w:fill="FFFFFF" w:themeFill="background1"/>
      </w:tcPr>
    </w:tblStylePr>
    <w:tblStylePr w:type="lastRow">
      <w:tblPr/>
      <w:tcPr>
        <w:tcBorders>
          <w:top w:val="single" w:color="000000" w:themeColor="text1"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000000" w:themeColor="text1" w:sz="8" w:space="0"/>
          <w:insideH w:val="nil" w:sz="0" w:space="0"/>
          <w:insideV w:val="nil" w:sz="0" w:space="0"/>
        </w:tcBorders>
        <w:shd w:val="clear" w:color="auto" w:fill="FFFFFF" w:themeFill="background1"/>
      </w:tcPr>
    </w:tblStylePr>
    <w:tblStylePr w:type="lastCol">
      <w:tblPr/>
      <w:tcPr>
        <w:tcBorders>
          <w:top w:val="nil" w:sz="0" w:space="0"/>
          <w:left w:val="single" w:color="000000" w:themeColor="tex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C0C0C0" w:themeFill="text1" w:themeFillTint="3f"/>
      </w:tcPr>
    </w:tblStylePr>
    <w:tblStylePr w:type="band1Horz">
      <w:tblPr/>
      <w:tcPr>
        <w:tcBorders>
          <w:top w:val="nil" w:sz="0" w:space="0"/>
          <w:bottom w:val="nil" w:sz="0" w:space="0"/>
          <w:insideH w:val="nil" w:sz="0" w:space="0"/>
          <w:insideV w:val="nil" w:sz="0" w:space="0"/>
        </w:tcBorders>
        <w:shd w:val="clear" w:color="auto" w:fill="C0C0C0" w:themeFill="text1"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4F81BD" w:themeColor="accent1" w:sz="24" w:space="0"/>
          <w:right w:val="nil" w:sz="0" w:space="0"/>
          <w:insideH w:val="nil" w:sz="0" w:space="0"/>
          <w:insideV w:val="nil" w:sz="0" w:space="0"/>
        </w:tcBorders>
        <w:shd w:val="clear" w:color="auto" w:fill="FFFFFF" w:themeFill="background1"/>
      </w:tcPr>
    </w:tblStylePr>
    <w:tblStylePr w:type="lastRow">
      <w:tblPr/>
      <w:tcPr>
        <w:tcBorders>
          <w:top w:val="single" w:color="4F81BD" w:themeColor="accent1"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4F81BD" w:themeColor="accent1" w:sz="8" w:space="0"/>
          <w:insideH w:val="nil" w:sz="0" w:space="0"/>
          <w:insideV w:val="nil" w:sz="0" w:space="0"/>
        </w:tcBorders>
        <w:shd w:val="clear" w:color="auto" w:fill="FFFFFF" w:themeFill="background1"/>
      </w:tcPr>
    </w:tblStylePr>
    <w:tblStylePr w:type="lastCol">
      <w:tblPr/>
      <w:tcPr>
        <w:tcBorders>
          <w:top w:val="nil" w:sz="0" w:space="0"/>
          <w:left w:val="single" w:color="4F81BD" w:themeColor="accen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3DFEE" w:themeFill="accent1" w:themeFillTint="3f"/>
      </w:tcPr>
    </w:tblStylePr>
    <w:tblStylePr w:type="band1Horz">
      <w:tblPr/>
      <w:tcPr>
        <w:tcBorders>
          <w:top w:val="nil" w:sz="0" w:space="0"/>
          <w:bottom w:val="nil" w:sz="0" w:space="0"/>
          <w:insideH w:val="nil" w:sz="0" w:space="0"/>
          <w:insideV w:val="nil" w:sz="0" w:space="0"/>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tblPr/>
      <w:tcPr>
        <w:tcBorders>
          <w:top w:val="single" w:color="C0504D" w:themeColor="accent2"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C0504D" w:themeColor="accent2" w:sz="8" w:space="0"/>
          <w:insideH w:val="nil" w:sz="0" w:space="0"/>
          <w:insideV w:val="nil" w:sz="0" w:space="0"/>
        </w:tcBorders>
        <w:shd w:val="clear" w:color="auto" w:fill="FFFFFF" w:themeFill="background1"/>
      </w:tcPr>
    </w:tblStylePr>
    <w:tblStylePr w:type="lastCol">
      <w:tblPr/>
      <w:tcPr>
        <w:tcBorders>
          <w:top w:val="nil" w:sz="0" w:space="0"/>
          <w:left w:val="single" w:color="C0504D" w:themeColor="accent2"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FD3D2" w:themeFill="accent2" w:themeFillTint="3f"/>
      </w:tcPr>
    </w:tblStylePr>
    <w:tblStylePr w:type="band1Horz">
      <w:tblPr/>
      <w:tcPr>
        <w:tcBorders>
          <w:top w:val="nil" w:sz="0" w:space="0"/>
          <w:bottom w:val="nil" w:sz="0" w:space="0"/>
          <w:insideH w:val="nil" w:sz="0" w:space="0"/>
          <w:insideV w:val="nil" w:sz="0" w:space="0"/>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9BBB59" w:themeColor="accent3" w:sz="24" w:space="0"/>
          <w:right w:val="nil" w:sz="0" w:space="0"/>
          <w:insideH w:val="nil" w:sz="0" w:space="0"/>
          <w:insideV w:val="nil" w:sz="0" w:space="0"/>
        </w:tcBorders>
        <w:shd w:val="clear" w:color="auto" w:fill="FFFFFF" w:themeFill="background1"/>
      </w:tcPr>
    </w:tblStylePr>
    <w:tblStylePr w:type="lastRow">
      <w:tblPr/>
      <w:tcPr>
        <w:tcBorders>
          <w:top w:val="single" w:color="9BBB59" w:themeColor="accent3"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9BBB59" w:themeColor="accent3" w:sz="8" w:space="0"/>
          <w:insideH w:val="nil" w:sz="0" w:space="0"/>
          <w:insideV w:val="nil" w:sz="0" w:space="0"/>
        </w:tcBorders>
        <w:shd w:val="clear" w:color="auto" w:fill="FFFFFF" w:themeFill="background1"/>
      </w:tcPr>
    </w:tblStylePr>
    <w:tblStylePr w:type="lastCol">
      <w:tblPr/>
      <w:tcPr>
        <w:tcBorders>
          <w:top w:val="nil" w:sz="0" w:space="0"/>
          <w:left w:val="single" w:color="9BBB59" w:themeColor="accent3"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6EED5" w:themeFill="accent3" w:themeFillTint="3f"/>
      </w:tcPr>
    </w:tblStylePr>
    <w:tblStylePr w:type="band1Horz">
      <w:tblPr/>
      <w:tcPr>
        <w:tcBorders>
          <w:top w:val="nil" w:sz="0" w:space="0"/>
          <w:bottom w:val="nil" w:sz="0" w:space="0"/>
          <w:insideH w:val="nil" w:sz="0" w:space="0"/>
          <w:insideV w:val="nil" w:sz="0" w:space="0"/>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8064A2" w:themeColor="accent4" w:sz="24" w:space="0"/>
          <w:right w:val="nil" w:sz="0" w:space="0"/>
          <w:insideH w:val="nil" w:sz="0" w:space="0"/>
          <w:insideV w:val="nil" w:sz="0" w:space="0"/>
        </w:tcBorders>
        <w:shd w:val="clear" w:color="auto" w:fill="FFFFFF" w:themeFill="background1"/>
      </w:tcPr>
    </w:tblStylePr>
    <w:tblStylePr w:type="lastRow">
      <w:tblPr/>
      <w:tcPr>
        <w:tcBorders>
          <w:top w:val="single" w:color="8064A2" w:themeColor="accent4"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8064A2" w:themeColor="accent4" w:sz="8" w:space="0"/>
          <w:insideH w:val="nil" w:sz="0" w:space="0"/>
          <w:insideV w:val="nil" w:sz="0" w:space="0"/>
        </w:tcBorders>
        <w:shd w:val="clear" w:color="auto" w:fill="FFFFFF" w:themeFill="background1"/>
      </w:tcPr>
    </w:tblStylePr>
    <w:tblStylePr w:type="lastCol">
      <w:tblPr/>
      <w:tcPr>
        <w:tcBorders>
          <w:top w:val="nil" w:sz="0" w:space="0"/>
          <w:left w:val="single" w:color="8064A2" w:themeColor="accent4"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FD8E8" w:themeFill="accent4" w:themeFillTint="3f"/>
      </w:tcPr>
    </w:tblStylePr>
    <w:tblStylePr w:type="band1Horz">
      <w:tblPr/>
      <w:tcPr>
        <w:tcBorders>
          <w:top w:val="nil" w:sz="0" w:space="0"/>
          <w:bottom w:val="nil" w:sz="0" w:space="0"/>
          <w:insideH w:val="nil" w:sz="0" w:space="0"/>
          <w:insideV w:val="nil" w:sz="0" w:space="0"/>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4BACC6" w:themeColor="accent5" w:sz="24" w:space="0"/>
          <w:right w:val="nil" w:sz="0" w:space="0"/>
          <w:insideH w:val="nil" w:sz="0" w:space="0"/>
          <w:insideV w:val="nil" w:sz="0" w:space="0"/>
        </w:tcBorders>
        <w:shd w:val="clear" w:color="auto" w:fill="FFFFFF" w:themeFill="background1"/>
      </w:tcPr>
    </w:tblStylePr>
    <w:tblStylePr w:type="lastRow">
      <w:tblPr/>
      <w:tcPr>
        <w:tcBorders>
          <w:top w:val="single" w:color="4BACC6" w:themeColor="accent5"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4BACC6" w:themeColor="accent5" w:sz="8" w:space="0"/>
          <w:insideH w:val="nil" w:sz="0" w:space="0"/>
          <w:insideV w:val="nil" w:sz="0" w:space="0"/>
        </w:tcBorders>
        <w:shd w:val="clear" w:color="auto" w:fill="FFFFFF" w:themeFill="background1"/>
      </w:tcPr>
    </w:tblStylePr>
    <w:tblStylePr w:type="lastCol">
      <w:tblPr/>
      <w:tcPr>
        <w:tcBorders>
          <w:top w:val="nil" w:sz="0" w:space="0"/>
          <w:left w:val="single" w:color="4BACC6" w:themeColor="accent5"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2EAF1" w:themeFill="accent5" w:themeFillTint="3f"/>
      </w:tcPr>
    </w:tblStylePr>
    <w:tblStylePr w:type="band1Horz">
      <w:tblPr/>
      <w:tcPr>
        <w:tcBorders>
          <w:top w:val="nil" w:sz="0" w:space="0"/>
          <w:bottom w:val="nil" w:sz="0" w:space="0"/>
          <w:insideH w:val="nil" w:sz="0" w:space="0"/>
          <w:insideV w:val="nil" w:sz="0" w:space="0"/>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F79646" w:themeColor="accent6" w:sz="24" w:space="0"/>
          <w:right w:val="nil" w:sz="0" w:space="0"/>
          <w:insideH w:val="nil" w:sz="0" w:space="0"/>
          <w:insideV w:val="nil" w:sz="0" w:space="0"/>
        </w:tcBorders>
        <w:shd w:val="clear" w:color="auto" w:fill="FFFFFF" w:themeFill="background1"/>
      </w:tcPr>
    </w:tblStylePr>
    <w:tblStylePr w:type="lastRow">
      <w:tblPr/>
      <w:tcPr>
        <w:tcBorders>
          <w:top w:val="single" w:color="F79646" w:themeColor="accent6"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F79646" w:themeColor="accent6" w:sz="8" w:space="0"/>
          <w:insideH w:val="nil" w:sz="0" w:space="0"/>
          <w:insideV w:val="nil" w:sz="0" w:space="0"/>
        </w:tcBorders>
        <w:shd w:val="clear" w:color="auto" w:fill="FFFFFF" w:themeFill="background1"/>
      </w:tcPr>
    </w:tblStylePr>
    <w:tblStylePr w:type="lastCol">
      <w:tblPr/>
      <w:tcPr>
        <w:tcBorders>
          <w:top w:val="nil" w:sz="0" w:space="0"/>
          <w:left w:val="single" w:color="F79646" w:themeColor="accent6"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FDE4D0" w:themeFill="accent6" w:themeFillTint="3f"/>
      </w:tcPr>
    </w:tblStylePr>
    <w:tblStylePr w:type="band1Horz">
      <w:tblPr/>
      <w:tcPr>
        <w:tcBorders>
          <w:top w:val="nil" w:sz="0" w:space="0"/>
          <w:bottom w:val="nil" w:sz="0" w:space="0"/>
          <w:insideH w:val="nil" w:sz="0" w:space="0"/>
          <w:insideV w:val="nil" w:sz="0" w:space="0"/>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000000" w:themeFill="text1"/>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4F81BD" w:themeFill="accent1"/>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C0504D" w:themeFill="accent2"/>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9BBB59" w:themeFill="accent3"/>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8064A2" w:themeFill="accent4"/>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4BACC6" w:themeFill="accent5"/>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F79646" w:themeFill="accent6"/>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000000" w:themeFill="text1"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000000" w:themeFill="text1"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000000" w:themeFill="text1"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243F60" w:themeFill="accent1"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365F91" w:themeFill="accent1"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365F91" w:themeFill="accent1"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365F91" w:themeFill="accent1"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622423" w:themeFill="accent2"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943634" w:themeFill="accent2"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943634" w:themeFill="accent2"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943634" w:themeFill="accent2"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4E6128" w:themeFill="accent3"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76923C" w:themeFill="accent3"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76923C" w:themeFill="accent3"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76923C" w:themeFill="accent3"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3F3151" w:themeFill="accent4"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5F497A" w:themeFill="accent4"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5F497A" w:themeFill="accent4"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5F497A" w:themeFill="accent4"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205867" w:themeFill="accent5"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31849B" w:themeFill="accent5"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31849B" w:themeFill="accent5"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31849B" w:themeFill="accent5"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974706" w:themeFill="accent6"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E36C0A" w:themeFill="accent6"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E36C0A" w:themeFill="accent6"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E36C0A" w:themeFill="accent6"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sz="0" w:space="0"/>
          <w:left w:val="nil" w:sz="0" w:space="0"/>
          <w:bottom w:val="nil" w:sz="0" w:space="0"/>
          <w:right w:val="nil" w:sz="0" w:space="0"/>
          <w:insideH w:val="single" w:color="000000" w:themeColor="text1" w:sz="4" w:space="0"/>
          <w:insideV w:val="nil" w:sz="0" w:space="0"/>
        </w:tcBorders>
        <w:shd w:val="clear" w:color="auto" w:fill="000000" w:themeFill="text1"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sz="0" w:space="0"/>
          <w:left w:val="nil" w:sz="0" w:space="0"/>
          <w:bottom w:val="nil" w:sz="0" w:space="0"/>
          <w:right w:val="nil" w:sz="0" w:space="0"/>
          <w:insideH w:val="single" w:color="2C4C74" w:themeColor="accent1" w:sz="4" w:space="0"/>
          <w:insideV w:val="nil" w:sz="0" w:space="0"/>
        </w:tcBorders>
        <w:shd w:val="clear" w:color="auto" w:fill="2C4C74" w:themeFill="accent1"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sz="0" w:space="0"/>
          <w:left w:val="nil" w:sz="0" w:space="0"/>
          <w:bottom w:val="nil" w:sz="0" w:space="0"/>
          <w:right w:val="nil" w:sz="0" w:space="0"/>
          <w:insideH w:val="single" w:color="772C2A" w:themeColor="accent2" w:sz="4" w:space="0"/>
          <w:insideV w:val="nil" w:sz="0" w:space="0"/>
        </w:tcBorders>
        <w:shd w:val="clear" w:color="auto" w:fill="772C2A" w:themeFill="accent2"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sz="0" w:space="0"/>
          <w:left w:val="nil" w:sz="0" w:space="0"/>
          <w:bottom w:val="single" w:color="8064A2" w:themeColor="accent4"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sz="0" w:space="0"/>
          <w:left w:val="nil" w:sz="0" w:space="0"/>
          <w:bottom w:val="nil" w:sz="0" w:space="0"/>
          <w:right w:val="nil" w:sz="0" w:space="0"/>
          <w:insideH w:val="single" w:color="5E7530" w:themeColor="accent3" w:sz="4" w:space="0"/>
          <w:insideV w:val="nil" w:sz="0" w:space="0"/>
        </w:tcBorders>
        <w:shd w:val="clear" w:color="auto" w:fill="5E7530" w:themeFill="accent3"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sz="0" w:space="0"/>
          <w:left w:val="nil" w:sz="0" w:space="0"/>
          <w:bottom w:val="single" w:color="9BBB59" w:themeColor="accent3"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sz="0" w:space="0"/>
          <w:left w:val="nil" w:sz="0" w:space="0"/>
          <w:bottom w:val="nil" w:sz="0" w:space="0"/>
          <w:right w:val="nil" w:sz="0" w:space="0"/>
          <w:insideH w:val="single" w:color="4C3B62" w:themeColor="accent4" w:sz="4" w:space="0"/>
          <w:insideV w:val="nil" w:sz="0" w:space="0"/>
        </w:tcBorders>
        <w:shd w:val="clear" w:color="auto" w:fill="4C3B62" w:themeFill="accent4"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sz="0" w:space="0"/>
          <w:left w:val="nil" w:sz="0" w:space="0"/>
          <w:bottom w:val="single" w:color="F79646" w:themeColor="accent6"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sz="0" w:space="0"/>
          <w:left w:val="nil" w:sz="0" w:space="0"/>
          <w:bottom w:val="nil" w:sz="0" w:space="0"/>
          <w:right w:val="nil" w:sz="0" w:space="0"/>
          <w:insideH w:val="single" w:color="276A7C" w:themeColor="accent5" w:sz="4" w:space="0"/>
          <w:insideV w:val="nil" w:sz="0" w:space="0"/>
        </w:tcBorders>
        <w:shd w:val="clear" w:color="auto" w:fill="276A7C" w:themeFill="accent5"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sz="0" w:space="0"/>
          <w:left w:val="nil" w:sz="0" w:space="0"/>
          <w:bottom w:val="single" w:color="4BACC6" w:themeColor="accent5"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sz="0" w:space="0"/>
          <w:left w:val="nil" w:sz="0" w:space="0"/>
          <w:bottom w:val="nil" w:sz="0" w:space="0"/>
          <w:right w:val="nil" w:sz="0" w:space="0"/>
          <w:insideH w:val="single" w:color="B65608" w:themeColor="accent6" w:sz="4" w:space="0"/>
          <w:insideV w:val="nil" w:sz="0" w:space="0"/>
        </w:tcBorders>
        <w:shd w:val="clear" w:color="auto" w:fill="B65608" w:themeFill="accent6"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9qAGSSQJjezy+JoyzoujKahdU3g==">CgMxLjA4AHIhMVAwLU9tTWRWalNyVzdWdUJVdzI5TGRleE9FdG9rMEJE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TotalTime>
  <Application>LibreOffice/25.8.7.3$Linux_X86_64 LibreOffice_project/580$Build-3</Application>
  <AppVersion>15.0000</AppVersion>
  <Pages>3</Pages>
  <Words>775</Words>
  <Characters>4786</Characters>
  <CharactersWithSpaces>5510</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
  <dc:language>en-GB</dc:language>
  <cp:lastModifiedBy/>
  <dcterms:modified xsi:type="dcterms:W3CDTF">2026-06-17T13:37:49Z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