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A5900" w14:textId="77777777" w:rsidR="005C7219" w:rsidRPr="00553300" w:rsidRDefault="005C7219" w:rsidP="00553300">
      <w:pPr>
        <w:pStyle w:val="ACS-Normal"/>
        <w:spacing w:afterLines="120" w:after="288"/>
        <w:jc w:val="both"/>
        <w:rPr>
          <w:rFonts w:ascii="Calibri" w:hAnsi="Calibri" w:cs="Calibri"/>
          <w:b/>
          <w:bCs/>
        </w:rPr>
      </w:pPr>
      <w:r w:rsidRPr="00553300">
        <w:rPr>
          <w:rFonts w:ascii="Calibri" w:hAnsi="Calibri" w:cs="Calibri"/>
          <w:b/>
          <w:bCs/>
        </w:rPr>
        <w:t>References</w:t>
      </w:r>
    </w:p>
    <w:p w14:paraId="39354B76" w14:textId="77777777" w:rsidR="005C7219" w:rsidRPr="00553300" w:rsidRDefault="005C7219" w:rsidP="00553300">
      <w:pPr>
        <w:spacing w:afterLines="120" w:after="288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1. Ferretti, M.T.; Iulita, M.F.; Cavedo, E.; Chiesa, P.A.; Schumacher ,D.A.; Santuccione, C.A.; Baracchi ,F.; Girouard ,H.; Misoch, S.; Giacobini, E.; Depypere, H.; Hampel, H.; Women’s Brain Project and the Alzheimer Precision Medicine Initiative. Nat Rev Neurol. 2018, 14, 457-469.</w:t>
      </w:r>
    </w:p>
    <w:p w14:paraId="4C9CCE60" w14:textId="77777777" w:rsidR="005C7219" w:rsidRPr="00553300" w:rsidRDefault="005C7219" w:rsidP="00553300">
      <w:pPr>
        <w:spacing w:afterLines="120" w:after="288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2. Clayton, J.A. Studying both sexes: a guiding principle for biomedicine. FASEB J. 2016 30, 519-24.</w:t>
      </w:r>
    </w:p>
    <w:p w14:paraId="36A610EB" w14:textId="77777777" w:rsidR="005C7219" w:rsidRPr="00553300" w:rsidRDefault="005C7219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3. Clayton, J.A., Collins, F.S. Policy: NIH to balance sex in cell and animal studies. Nature. 2014, 509, 282-283.</w:t>
      </w:r>
    </w:p>
    <w:p w14:paraId="0CF96C2F" w14:textId="060DF464" w:rsidR="005C7219" w:rsidRPr="00553300" w:rsidRDefault="00FB53D6" w:rsidP="00553300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53300">
        <w:rPr>
          <w:rFonts w:ascii="Calibri" w:hAnsi="Calibri" w:cs="Calibri"/>
          <w:color w:val="000000" w:themeColor="text1"/>
          <w:sz w:val="24"/>
          <w:szCs w:val="24"/>
          <w:lang w:val="it-IT"/>
        </w:rPr>
        <w:t>4</w:t>
      </w:r>
      <w:r w:rsidR="005C7219" w:rsidRPr="00553300">
        <w:rPr>
          <w:rFonts w:ascii="Calibri" w:hAnsi="Calibri" w:cs="Calibri"/>
          <w:color w:val="000000" w:themeColor="text1"/>
          <w:sz w:val="24"/>
          <w:szCs w:val="24"/>
          <w:lang w:val="it-IT"/>
        </w:rPr>
        <w:t>. Milardi, D.; Rizzarelli, E. Eds 2011 “Neurodegeneration: Metallostasis and Proteostasis.”</w:t>
      </w:r>
      <w:r w:rsidR="007C568B" w:rsidRPr="00553300">
        <w:rPr>
          <w:rFonts w:ascii="Calibri" w:hAnsi="Calibri" w:cs="Calibri"/>
          <w:color w:val="000000" w:themeColor="text1"/>
          <w:sz w:val="24"/>
          <w:szCs w:val="24"/>
          <w:lang w:val="it-IT"/>
        </w:rPr>
        <w:t xml:space="preserve"> </w:t>
      </w:r>
      <w:r w:rsidR="005C7219" w:rsidRPr="00553300">
        <w:rPr>
          <w:rFonts w:ascii="Calibri" w:hAnsi="Calibri" w:cs="Calibri"/>
          <w:color w:val="000000" w:themeColor="text1"/>
          <w:sz w:val="24"/>
          <w:szCs w:val="24"/>
        </w:rPr>
        <w:t>The Royal Society of Chemistry, Cambridge, UK</w:t>
      </w:r>
    </w:p>
    <w:p w14:paraId="57B80C4F" w14:textId="2C88DDC6" w:rsidR="005C7219" w:rsidRPr="00553300" w:rsidRDefault="00FB53D6" w:rsidP="00553300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53300">
        <w:rPr>
          <w:rFonts w:ascii="Calibri" w:hAnsi="Calibri" w:cs="Calibri"/>
          <w:color w:val="000000" w:themeColor="text1"/>
          <w:sz w:val="24"/>
          <w:szCs w:val="24"/>
        </w:rPr>
        <w:t>5</w:t>
      </w:r>
      <w:r w:rsidR="005C7219" w:rsidRPr="00553300">
        <w:rPr>
          <w:rFonts w:ascii="Calibri" w:hAnsi="Calibri" w:cs="Calibri"/>
          <w:color w:val="000000" w:themeColor="text1"/>
          <w:sz w:val="24"/>
          <w:szCs w:val="24"/>
        </w:rPr>
        <w:t xml:space="preserve">. Grasso, G; Giuffrida, M.L.; Rizzarelli,E. Metallostasis and amyloid </w:t>
      </w:r>
      <w:r w:rsidR="005C7219" w:rsidRPr="00553300">
        <w:rPr>
          <w:rFonts w:ascii="Calibri" w:hAnsi="Calibri" w:cs="Calibri"/>
          <w:color w:val="000000" w:themeColor="text1"/>
          <w:sz w:val="24"/>
          <w:szCs w:val="24"/>
          <w:lang w:val="it-IT"/>
        </w:rPr>
        <w:t>β</w:t>
      </w:r>
      <w:r w:rsidR="005C7219" w:rsidRPr="00553300">
        <w:rPr>
          <w:rFonts w:ascii="Calibri" w:hAnsi="Calibri" w:cs="Calibri"/>
          <w:color w:val="000000" w:themeColor="text1"/>
          <w:sz w:val="24"/>
          <w:szCs w:val="24"/>
        </w:rPr>
        <w:t>-degrading enzymes. Metallomics 2012, 4, 937-949.</w:t>
      </w:r>
    </w:p>
    <w:p w14:paraId="630D737F" w14:textId="6F8D064E" w:rsidR="00223F28" w:rsidRPr="00553300" w:rsidRDefault="00FB53D6" w:rsidP="00553300">
      <w:pPr>
        <w:pStyle w:val="EndnoteText"/>
        <w:spacing w:afterLines="120" w:after="288"/>
        <w:jc w:val="both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553300">
        <w:rPr>
          <w:rFonts w:ascii="Calibri" w:hAnsi="Calibri" w:cs="Calibri"/>
          <w:color w:val="000000" w:themeColor="text1"/>
          <w:sz w:val="24"/>
          <w:szCs w:val="24"/>
          <w:lang w:val="en-US"/>
        </w:rPr>
        <w:t>6</w:t>
      </w:r>
      <w:r w:rsidR="00223F28" w:rsidRPr="00553300">
        <w:rPr>
          <w:rFonts w:ascii="Calibri" w:hAnsi="Calibri" w:cs="Calibri"/>
          <w:color w:val="000000" w:themeColor="text1"/>
          <w:sz w:val="24"/>
          <w:szCs w:val="24"/>
          <w:lang w:val="en-US"/>
        </w:rPr>
        <w:t>. Lanza, V.; Bellia, F.; Rizzarelli, E. An inorganic overview of natural A</w:t>
      </w:r>
      <w:r w:rsidR="00223F28" w:rsidRPr="00553300">
        <w:rPr>
          <w:rFonts w:ascii="Calibri" w:hAnsi="Calibri" w:cs="Calibri"/>
          <w:color w:val="000000" w:themeColor="text1"/>
          <w:sz w:val="24"/>
          <w:szCs w:val="24"/>
        </w:rPr>
        <w:t>β</w:t>
      </w:r>
      <w:r w:rsidR="00223F28" w:rsidRPr="00553300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fragments: Copper(II) and zinc(II)-mediated pathways. Coord Chem Rev, 2018; 369, 1-14.</w:t>
      </w:r>
    </w:p>
    <w:p w14:paraId="48F6F62D" w14:textId="7F9554A2" w:rsidR="00FB53D6" w:rsidRPr="00553300" w:rsidRDefault="00FB53D6" w:rsidP="00553300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Calibri" w:hAnsi="Calibri" w:cs="Calibri"/>
          <w:color w:val="000000" w:themeColor="text1"/>
          <w:sz w:val="24"/>
          <w:szCs w:val="24"/>
          <w:lang w:val="en-IT"/>
        </w:rPr>
      </w:pPr>
      <w:r w:rsidRPr="00553300">
        <w:rPr>
          <w:rFonts w:ascii="Calibri" w:hAnsi="Calibri" w:cs="Calibri"/>
          <w:color w:val="000000" w:themeColor="text1"/>
          <w:sz w:val="24"/>
          <w:szCs w:val="24"/>
        </w:rPr>
        <w:t>7. Lee, J.Y.; Cole, T.B; Palmiter, R.D.; Suh, S.W.; Koh, J.Y. Contribution by synaptic zinc to the gender-disparate plaque formation in human Swedish mutant APP transgenic mice. Proc Natl Acad Sci U S A. 2002, 99, 7705-7710.</w:t>
      </w:r>
    </w:p>
    <w:p w14:paraId="365DF944" w14:textId="705F906D" w:rsidR="005C7219" w:rsidRPr="00553300" w:rsidRDefault="00223F28" w:rsidP="00553300">
      <w:pPr>
        <w:pStyle w:val="EndnoteText"/>
        <w:spacing w:afterLines="120" w:after="288"/>
        <w:jc w:val="both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553300">
        <w:rPr>
          <w:rFonts w:ascii="Calibri" w:hAnsi="Calibri" w:cs="Calibri"/>
          <w:color w:val="000000" w:themeColor="text1"/>
          <w:sz w:val="24"/>
          <w:szCs w:val="24"/>
          <w:lang w:val="en-US"/>
        </w:rPr>
        <w:t>8</w:t>
      </w:r>
      <w:r w:rsidR="005C7219" w:rsidRPr="00553300">
        <w:rPr>
          <w:rFonts w:ascii="Calibri" w:hAnsi="Calibri" w:cs="Calibri"/>
          <w:color w:val="000000" w:themeColor="text1"/>
          <w:sz w:val="24"/>
          <w:szCs w:val="24"/>
          <w:lang w:val="en-US"/>
        </w:rPr>
        <w:t>. Barnham, K.J., Masters, C.L., Bush, A.I. Neurodegenerative diseases and oxidative stress. Nat Rev Drug Discov. 2004,3, 205-14.</w:t>
      </w:r>
    </w:p>
    <w:p w14:paraId="2B5C54C0" w14:textId="32CFA6C7" w:rsidR="005C7219" w:rsidRPr="00553300" w:rsidRDefault="004F092C" w:rsidP="00553300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53300">
        <w:rPr>
          <w:rFonts w:ascii="Calibri" w:hAnsi="Calibri" w:cs="Calibri"/>
          <w:color w:val="000000" w:themeColor="text1"/>
          <w:sz w:val="24"/>
          <w:szCs w:val="24"/>
        </w:rPr>
        <w:t>9</w:t>
      </w:r>
      <w:r w:rsidR="005C7219" w:rsidRPr="00553300">
        <w:rPr>
          <w:rFonts w:ascii="Calibri" w:hAnsi="Calibri" w:cs="Calibri"/>
          <w:color w:val="000000" w:themeColor="text1"/>
          <w:sz w:val="24"/>
          <w:szCs w:val="24"/>
        </w:rPr>
        <w:t>. Jaouen, K.; Herrscher, E.; Balter,V. Copper and zinc isotope ratios in human bone and enamel. Am. J. Phys. Anthropol. 162:491-500.</w:t>
      </w:r>
    </w:p>
    <w:p w14:paraId="102C0D30" w14:textId="49DCDC43" w:rsidR="005C7219" w:rsidRPr="00553300" w:rsidRDefault="005C7219" w:rsidP="00553300">
      <w:pPr>
        <w:pStyle w:val="EndnoteText"/>
        <w:spacing w:afterLines="120" w:after="288"/>
        <w:jc w:val="both"/>
        <w:rPr>
          <w:rFonts w:ascii="Calibri" w:hAnsi="Calibri" w:cs="Calibri"/>
          <w:sz w:val="24"/>
          <w:szCs w:val="24"/>
          <w:lang w:val="en-US"/>
        </w:rPr>
      </w:pPr>
      <w:r w:rsidRPr="00553300">
        <w:rPr>
          <w:rFonts w:ascii="Calibri" w:hAnsi="Calibri" w:cs="Calibri"/>
          <w:sz w:val="24"/>
          <w:szCs w:val="24"/>
          <w:lang w:val="en-US"/>
        </w:rPr>
        <w:t>1</w:t>
      </w:r>
      <w:r w:rsidR="00B676AA" w:rsidRPr="00553300">
        <w:rPr>
          <w:rFonts w:ascii="Calibri" w:hAnsi="Calibri" w:cs="Calibri"/>
          <w:sz w:val="24"/>
          <w:szCs w:val="24"/>
          <w:lang w:val="en-US"/>
        </w:rPr>
        <w:t>0</w:t>
      </w:r>
      <w:r w:rsidRPr="00553300">
        <w:rPr>
          <w:rFonts w:ascii="Calibri" w:hAnsi="Calibri" w:cs="Calibri"/>
          <w:sz w:val="24"/>
          <w:szCs w:val="24"/>
          <w:lang w:val="en-US"/>
        </w:rPr>
        <w:t>. Hininger-Favier, I.; Andriollo-Sanchez, M.; Arnaud, J.; Meunier, N.; Bord, S.; Graham, C.; Polito, A.; Maiani, G.; O'Connor, J.M.; Coudray, C.; Roussel, A.M. Age- and sex-dependent effects of long-term zinc supplementation on essential trace element status and lipid metabolism in European subjects: the Zenith Study. Br. J. Nutr. 2007, 97, 569-578.</w:t>
      </w:r>
    </w:p>
    <w:p w14:paraId="50E01E55" w14:textId="32A493B6" w:rsidR="00B676AA" w:rsidRPr="00553300" w:rsidRDefault="00B676AA" w:rsidP="00553300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53300">
        <w:rPr>
          <w:rFonts w:ascii="Calibri" w:hAnsi="Calibri" w:cs="Calibri"/>
          <w:color w:val="000000" w:themeColor="text1"/>
          <w:sz w:val="24"/>
          <w:szCs w:val="24"/>
        </w:rPr>
        <w:t>11. Krężel, A.; Maret, W. The biological inorganic chemistry of zinc ions. 2016, Arch Biochem Biophys. 611:3-19.</w:t>
      </w:r>
    </w:p>
    <w:p w14:paraId="066C3CB5" w14:textId="3178067D" w:rsidR="00B676AA" w:rsidRPr="00553300" w:rsidRDefault="00B676AA" w:rsidP="00553300">
      <w:pPr>
        <w:spacing w:afterLines="120" w:after="288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53300">
        <w:rPr>
          <w:rFonts w:ascii="Calibri" w:hAnsi="Calibri" w:cs="Calibri"/>
          <w:color w:val="000000" w:themeColor="text1"/>
          <w:sz w:val="24"/>
          <w:szCs w:val="24"/>
        </w:rPr>
        <w:t>12. Hordyjewska, A.;</w:t>
      </w:r>
      <w:r w:rsidRPr="00553300">
        <w:rPr>
          <w:rFonts w:ascii="Calibri" w:hAnsi="Calibri" w:cs="Calibri"/>
          <w:sz w:val="24"/>
          <w:szCs w:val="24"/>
        </w:rPr>
        <w:t xml:space="preserve"> </w:t>
      </w:r>
      <w:r w:rsidRPr="00553300">
        <w:rPr>
          <w:rFonts w:ascii="Calibri" w:hAnsi="Calibri" w:cs="Calibri"/>
          <w:color w:val="000000" w:themeColor="text1"/>
          <w:sz w:val="24"/>
          <w:szCs w:val="24"/>
        </w:rPr>
        <w:t>Popiołek, Ł, Kocot, J. The many "faces" of copper in medicine and treatment. 2014, Biometals 27:611-621.</w:t>
      </w:r>
    </w:p>
    <w:p w14:paraId="01618F46" w14:textId="1A233124" w:rsidR="00B676AA" w:rsidRPr="00553300" w:rsidRDefault="00B676AA" w:rsidP="00553300">
      <w:pPr>
        <w:spacing w:afterLines="120" w:after="288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53300">
        <w:rPr>
          <w:rFonts w:ascii="Calibri" w:hAnsi="Calibri" w:cs="Calibri"/>
          <w:color w:val="000000" w:themeColor="text1"/>
          <w:sz w:val="24"/>
          <w:szCs w:val="24"/>
        </w:rPr>
        <w:t>13. Li, Z.; Li, B.; Song, X.; Zhang, D. Dietary zinc and iron intake and risk of depression: A meta-analysis. 2017, Psychiatry Res. 251:41-47.</w:t>
      </w:r>
    </w:p>
    <w:p w14:paraId="2001FC2E" w14:textId="5CC07372" w:rsidR="00B676AA" w:rsidRPr="00553300" w:rsidRDefault="00B676AA" w:rsidP="00553300">
      <w:pPr>
        <w:spacing w:afterLines="120" w:after="288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53300">
        <w:rPr>
          <w:rFonts w:ascii="Calibri" w:hAnsi="Calibri" w:cs="Calibri"/>
          <w:color w:val="000000" w:themeColor="text1"/>
          <w:sz w:val="24"/>
          <w:szCs w:val="24"/>
        </w:rPr>
        <w:t>14. Mazure, C.M.; Swendsen, J. Sex differences in Alzheimer's disease and other dementias. 2016, Lancet Neurol. 15:451-452</w:t>
      </w:r>
    </w:p>
    <w:p w14:paraId="1C6C0CA6" w14:textId="73E72041" w:rsidR="00FE2BF4" w:rsidRPr="00553300" w:rsidRDefault="00FE2BF4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lastRenderedPageBreak/>
        <w:t>15. Gerhard, D.M.; Wohleb, E.S.; Duman, R.S.; Emerging treatment mechanisms for depression: focus on glutamate and synaptic plasticity. 2016, Drug Discov Today. 21, 454-464.</w:t>
      </w:r>
    </w:p>
    <w:p w14:paraId="7507D616" w14:textId="39BF4623" w:rsidR="00070626" w:rsidRPr="00553300" w:rsidRDefault="00070626" w:rsidP="00553300">
      <w:pPr>
        <w:spacing w:afterLines="120" w:after="288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53300">
        <w:rPr>
          <w:rFonts w:ascii="Calibri" w:hAnsi="Calibri" w:cs="Calibri"/>
          <w:color w:val="000000" w:themeColor="text1"/>
          <w:sz w:val="24"/>
          <w:szCs w:val="24"/>
        </w:rPr>
        <w:t>16. Mazure, C.M.; Swendsen, J. Sex differences in Alzheimer's disease and other dementias. 2016, Lancet Neurol. 15:451-452</w:t>
      </w:r>
    </w:p>
    <w:p w14:paraId="15DAB40A" w14:textId="625669E5" w:rsidR="005D214C" w:rsidRPr="00553300" w:rsidRDefault="005D214C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17. Maes, M. Depression is an inflammatory disease, but cell-mediated immune activation is the key component of depression. 2011, Prog. Neuropsychopharmacol Biol Psychiatry. 35, 664-675.</w:t>
      </w:r>
    </w:p>
    <w:p w14:paraId="7C27ECD3" w14:textId="26444A28" w:rsidR="00B43243" w:rsidRPr="00553300" w:rsidRDefault="005D214C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bCs/>
          <w:sz w:val="24"/>
          <w:szCs w:val="24"/>
        </w:rPr>
        <w:t>18</w:t>
      </w:r>
      <w:r w:rsidR="00B43243" w:rsidRPr="00553300">
        <w:rPr>
          <w:rFonts w:ascii="Calibri" w:hAnsi="Calibri" w:cs="Calibri"/>
          <w:bCs/>
          <w:sz w:val="24"/>
          <w:szCs w:val="24"/>
        </w:rPr>
        <w:t xml:space="preserve">. </w:t>
      </w:r>
      <w:r w:rsidR="00B43243" w:rsidRPr="00553300">
        <w:rPr>
          <w:rFonts w:ascii="Calibri" w:hAnsi="Calibri" w:cs="Calibri"/>
          <w:sz w:val="24"/>
          <w:szCs w:val="24"/>
        </w:rPr>
        <w:t>Ni, M.; You, Y.; Chen, J.; Zhang, L. Copper in depressive disorder: A systematic review and meta-analysis of observational studies. 2018, Psychiatry Res. 267, 506-515.</w:t>
      </w:r>
    </w:p>
    <w:p w14:paraId="694A8C5D" w14:textId="77777777" w:rsidR="00E85E2B" w:rsidRPr="00553300" w:rsidRDefault="00EF6231" w:rsidP="00553300">
      <w:pPr>
        <w:pStyle w:val="ACS-Normal"/>
        <w:spacing w:afterLines="120" w:after="288"/>
        <w:jc w:val="both"/>
        <w:rPr>
          <w:rFonts w:ascii="Calibri" w:hAnsi="Calibri" w:cs="Calibri"/>
          <w:bCs/>
        </w:rPr>
      </w:pPr>
      <w:r w:rsidRPr="00553300">
        <w:rPr>
          <w:rFonts w:ascii="Calibri" w:hAnsi="Calibri" w:cs="Calibri"/>
          <w:bCs/>
        </w:rPr>
        <w:t>1</w:t>
      </w:r>
      <w:r w:rsidR="005D214C" w:rsidRPr="00553300">
        <w:rPr>
          <w:rFonts w:ascii="Calibri" w:hAnsi="Calibri" w:cs="Calibri"/>
          <w:bCs/>
        </w:rPr>
        <w:t>9</w:t>
      </w:r>
      <w:r w:rsidRPr="00553300">
        <w:rPr>
          <w:rFonts w:ascii="Calibri" w:hAnsi="Calibri" w:cs="Calibri"/>
          <w:bCs/>
        </w:rPr>
        <w:t>. Scheiber, I.F.; Mercer, J.F.; Dringen, R. Metabolism and functions of copper in brain. 2014, Prog Neurobiol. 116, 33-57.</w:t>
      </w:r>
    </w:p>
    <w:p w14:paraId="56849936" w14:textId="6E4BB423" w:rsidR="00B97325" w:rsidRPr="00553300" w:rsidRDefault="005D214C" w:rsidP="00553300">
      <w:pPr>
        <w:pStyle w:val="ACS-Normal"/>
        <w:spacing w:afterLines="120" w:after="288"/>
        <w:jc w:val="both"/>
        <w:rPr>
          <w:rFonts w:ascii="Calibri" w:hAnsi="Calibri" w:cs="Calibri"/>
          <w:bCs/>
        </w:rPr>
      </w:pPr>
      <w:r w:rsidRPr="00553300">
        <w:rPr>
          <w:rFonts w:ascii="Calibri" w:hAnsi="Calibri" w:cs="Calibri"/>
        </w:rPr>
        <w:t>20</w:t>
      </w:r>
      <w:r w:rsidR="00B97325" w:rsidRPr="00553300">
        <w:rPr>
          <w:rFonts w:ascii="Calibri" w:hAnsi="Calibri" w:cs="Calibri"/>
        </w:rPr>
        <w:t>. Vendelboe, T.V.; Harris, P.; Zhao, Y.; Walter, T.S.; Harlos, K.; El Omari K.; Christensen, H.E. The crystal structure of human dopamine β-hydroxylase at 2.9 Å resolution. 2016, Sci Adv. 2, e1500980.</w:t>
      </w:r>
    </w:p>
    <w:p w14:paraId="65034FC9" w14:textId="45E7E121" w:rsidR="002642B2" w:rsidRPr="00553300" w:rsidRDefault="002642B2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21. Naletova, I.; Satriano, C.; Pietropaolo, A.; Gianì, F.; Pandini, G.; Triaca, V.; Amadoro, G.; Latina, V.; Calissano, P.; Travaglia, A.; Nicoletti, V.G.; La Mendola, D.; Rizzarelli, E. The Copper(II)-Assisted Connection between NGF and BDNF by Means of Nerve Growth Factor-Mimicking Short Peptides. 2019, Cells 8, 301.</w:t>
      </w:r>
    </w:p>
    <w:p w14:paraId="4C8D1DD3" w14:textId="12AC811D" w:rsidR="003C4441" w:rsidRPr="00553300" w:rsidRDefault="003C4441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22. Badarau, A.; Baslé, A.; Firbank, S.J.; Dennison, C. Crosstalk between Cu(I) and Zn(II) homeostasis via Atx1 and cognate domains. 2013, Chem. Commun. 49, 8000-8002.</w:t>
      </w:r>
    </w:p>
    <w:p w14:paraId="5CBDF607" w14:textId="4A14AD99" w:rsidR="003C4441" w:rsidRPr="00553300" w:rsidRDefault="003C4441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23. Kline, C.D.; Gambill, B.F.; Mayfield, M.; Lutsenko, S.; Blackburn, N.J. pH-regulated metal-ligand switching in the HM loop of ATP7A: a new paradigm for metal transfer chemistry. 2016, Metallomics. 8, 729-733.</w:t>
      </w:r>
    </w:p>
    <w:p w14:paraId="0A72CE75" w14:textId="18972DF7" w:rsidR="0024661D" w:rsidRPr="00553300" w:rsidRDefault="0024661D" w:rsidP="00553300">
      <w:pPr>
        <w:autoSpaceDE w:val="0"/>
        <w:autoSpaceDN w:val="0"/>
        <w:adjustRightInd w:val="0"/>
        <w:spacing w:afterLines="120" w:after="288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53300">
        <w:rPr>
          <w:rFonts w:ascii="Calibri" w:hAnsi="Calibri" w:cs="Calibri"/>
          <w:color w:val="000000" w:themeColor="text1"/>
          <w:sz w:val="24"/>
          <w:szCs w:val="24"/>
        </w:rPr>
        <w:t>24. Kambe, T.; Hashimoto, A.; Fujimoto, S. Current understanding of ZIP and ZnT zinc transporters in human health and diseases. 2014, Cell Mol Life Sci. 71,3281-95.</w:t>
      </w:r>
    </w:p>
    <w:p w14:paraId="79C08D06" w14:textId="328EE5FE" w:rsidR="00831419" w:rsidRPr="00553300" w:rsidRDefault="00831419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25. López-Muñoz, F.; Alamo, C. Monoaminergic neurotransmission: the history of the discovery of antidepressants from 1950s until today. 2009, Curr Pharm Des. 15, 1563-1586.</w:t>
      </w:r>
    </w:p>
    <w:p w14:paraId="5E297B19" w14:textId="66FEDCCF" w:rsidR="002C6D46" w:rsidRPr="00553300" w:rsidRDefault="002C6D46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2</w:t>
      </w:r>
      <w:r w:rsidR="009A4F33" w:rsidRPr="00553300">
        <w:rPr>
          <w:rFonts w:ascii="Calibri" w:hAnsi="Calibri" w:cs="Calibri"/>
          <w:sz w:val="24"/>
          <w:szCs w:val="24"/>
        </w:rPr>
        <w:t>6</w:t>
      </w:r>
      <w:r w:rsidRPr="00553300">
        <w:rPr>
          <w:rFonts w:ascii="Calibri" w:hAnsi="Calibri" w:cs="Calibri"/>
          <w:sz w:val="24"/>
          <w:szCs w:val="24"/>
        </w:rPr>
        <w:t>. Frederickson, C.J. Neurobiology of zinc and zinc-containing neurons. 1989, Int Rev Neurobiol.31, 145-238.</w:t>
      </w:r>
    </w:p>
    <w:p w14:paraId="786444EC" w14:textId="53974B73" w:rsidR="002C6D46" w:rsidRPr="00553300" w:rsidRDefault="002C6D46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2</w:t>
      </w:r>
      <w:r w:rsidR="009A4F33" w:rsidRPr="00553300">
        <w:rPr>
          <w:rFonts w:ascii="Calibri" w:hAnsi="Calibri" w:cs="Calibri"/>
          <w:sz w:val="24"/>
          <w:szCs w:val="24"/>
        </w:rPr>
        <w:t>7</w:t>
      </w:r>
      <w:r w:rsidRPr="00553300">
        <w:rPr>
          <w:rFonts w:ascii="Calibri" w:hAnsi="Calibri" w:cs="Calibri"/>
          <w:sz w:val="24"/>
          <w:szCs w:val="24"/>
        </w:rPr>
        <w:t>. Frederickson, C.J.; Suh,</w:t>
      </w:r>
      <w:r w:rsidR="00AB29E0" w:rsidRPr="00553300">
        <w:rPr>
          <w:rFonts w:ascii="Calibri" w:hAnsi="Calibri" w:cs="Calibri"/>
          <w:sz w:val="24"/>
          <w:szCs w:val="24"/>
        </w:rPr>
        <w:t xml:space="preserve"> </w:t>
      </w:r>
      <w:r w:rsidRPr="00553300">
        <w:rPr>
          <w:rFonts w:ascii="Calibri" w:hAnsi="Calibri" w:cs="Calibri"/>
          <w:sz w:val="24"/>
          <w:szCs w:val="24"/>
        </w:rPr>
        <w:t>S.W.; Silva, D.; Frederickson, C.J.; Thompson ,</w:t>
      </w:r>
      <w:r w:rsidR="000B6870" w:rsidRPr="00553300">
        <w:rPr>
          <w:rFonts w:ascii="Calibri" w:hAnsi="Calibri" w:cs="Calibri"/>
          <w:sz w:val="24"/>
          <w:szCs w:val="24"/>
        </w:rPr>
        <w:t xml:space="preserve"> </w:t>
      </w:r>
      <w:r w:rsidRPr="00553300">
        <w:rPr>
          <w:rFonts w:ascii="Calibri" w:hAnsi="Calibri" w:cs="Calibri"/>
          <w:sz w:val="24"/>
          <w:szCs w:val="24"/>
        </w:rPr>
        <w:t>R.B. Importance of zinc in the central nervous system: the zinc-containing neuron. 2000, 130, 1471S-1483S.</w:t>
      </w:r>
    </w:p>
    <w:p w14:paraId="39B4FF94" w14:textId="7B4F97F4" w:rsidR="002C6D46" w:rsidRPr="00553300" w:rsidRDefault="002C6D46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2</w:t>
      </w:r>
      <w:r w:rsidR="009A4F33" w:rsidRPr="00553300">
        <w:rPr>
          <w:rFonts w:ascii="Calibri" w:hAnsi="Calibri" w:cs="Calibri"/>
          <w:sz w:val="24"/>
          <w:szCs w:val="24"/>
        </w:rPr>
        <w:t>8</w:t>
      </w:r>
      <w:r w:rsidRPr="00553300">
        <w:rPr>
          <w:rFonts w:ascii="Calibri" w:hAnsi="Calibri" w:cs="Calibri"/>
          <w:sz w:val="24"/>
          <w:szCs w:val="24"/>
        </w:rPr>
        <w:t>. Paoletti ,P.; Vergnano, A.M.; Barbour, B.; Casado, M. Zinc at glutamatergic synapses. 2009, Neuroscience, 158, 126-136.</w:t>
      </w:r>
    </w:p>
    <w:p w14:paraId="450F9FE5" w14:textId="14FA0A0C" w:rsidR="00495C4A" w:rsidRPr="00553300" w:rsidRDefault="00495C4A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lastRenderedPageBreak/>
        <w:t>2</w:t>
      </w:r>
      <w:r w:rsidR="009A4F33" w:rsidRPr="00553300">
        <w:rPr>
          <w:rFonts w:ascii="Calibri" w:hAnsi="Calibri" w:cs="Calibri"/>
          <w:sz w:val="24"/>
          <w:szCs w:val="24"/>
        </w:rPr>
        <w:t>9</w:t>
      </w:r>
      <w:r w:rsidRPr="00553300">
        <w:rPr>
          <w:rFonts w:ascii="Calibri" w:hAnsi="Calibri" w:cs="Calibri"/>
          <w:sz w:val="24"/>
          <w:szCs w:val="24"/>
        </w:rPr>
        <w:t>. Colvin, R.A.; Fontaine, C.P.; Laskowski, M.; Thomas, D. Zn</w:t>
      </w:r>
      <w:r w:rsidRPr="00553300">
        <w:rPr>
          <w:rFonts w:ascii="Calibri" w:hAnsi="Calibri" w:cs="Calibri"/>
          <w:sz w:val="24"/>
          <w:szCs w:val="24"/>
          <w:vertAlign w:val="superscript"/>
        </w:rPr>
        <w:t>2+</w:t>
      </w:r>
      <w:r w:rsidRPr="00553300">
        <w:rPr>
          <w:rFonts w:ascii="Calibri" w:hAnsi="Calibri" w:cs="Calibri"/>
          <w:sz w:val="24"/>
          <w:szCs w:val="24"/>
        </w:rPr>
        <w:t xml:space="preserve"> transporters and Zn</w:t>
      </w:r>
      <w:r w:rsidRPr="00553300">
        <w:rPr>
          <w:rFonts w:ascii="Calibri" w:hAnsi="Calibri" w:cs="Calibri"/>
          <w:sz w:val="24"/>
          <w:szCs w:val="24"/>
          <w:vertAlign w:val="superscript"/>
        </w:rPr>
        <w:t>2+</w:t>
      </w:r>
      <w:r w:rsidRPr="00553300">
        <w:rPr>
          <w:rFonts w:ascii="Calibri" w:hAnsi="Calibri" w:cs="Calibri"/>
          <w:sz w:val="24"/>
          <w:szCs w:val="24"/>
        </w:rPr>
        <w:t xml:space="preserve"> homeostasis in neurons. 2003 Eur J Pharmacol. 2003 479, 171-185.</w:t>
      </w:r>
    </w:p>
    <w:p w14:paraId="38B7004B" w14:textId="0FDE1D3F" w:rsidR="00291493" w:rsidRPr="00553300" w:rsidRDefault="009A4F33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30</w:t>
      </w:r>
      <w:r w:rsidR="00291493" w:rsidRPr="00553300">
        <w:rPr>
          <w:rFonts w:ascii="Calibri" w:hAnsi="Calibri" w:cs="Calibri"/>
          <w:sz w:val="24"/>
          <w:szCs w:val="24"/>
        </w:rPr>
        <w:t xml:space="preserve">. Swardfager, W.; Herrmann, N.; McIntyre, R.S.; Mazereeuw, G.; Goldberger, K.; Cha, D.S.; Schwartz, Y.; Lanctôt, K.L. Potential roles of zinc in the pathophysiology and treatment of major depressive disorder. </w:t>
      </w:r>
      <w:r w:rsidR="00A60AE7" w:rsidRPr="00553300">
        <w:rPr>
          <w:rFonts w:ascii="Calibri" w:hAnsi="Calibri" w:cs="Calibri"/>
          <w:sz w:val="24"/>
          <w:szCs w:val="24"/>
        </w:rPr>
        <w:t xml:space="preserve">2013 </w:t>
      </w:r>
      <w:r w:rsidR="00291493" w:rsidRPr="00553300">
        <w:rPr>
          <w:rFonts w:ascii="Calibri" w:hAnsi="Calibri" w:cs="Calibri"/>
          <w:sz w:val="24"/>
          <w:szCs w:val="24"/>
        </w:rPr>
        <w:t>Neurosci Biobehav Rev. 37, 911-929.</w:t>
      </w:r>
    </w:p>
    <w:p w14:paraId="5F931270" w14:textId="43E01DFD" w:rsidR="00291493" w:rsidRPr="00553300" w:rsidRDefault="00291493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3</w:t>
      </w:r>
      <w:r w:rsidR="009A4F33" w:rsidRPr="00553300">
        <w:rPr>
          <w:rFonts w:ascii="Calibri" w:hAnsi="Calibri" w:cs="Calibri"/>
          <w:sz w:val="24"/>
          <w:szCs w:val="24"/>
        </w:rPr>
        <w:t>1</w:t>
      </w:r>
      <w:r w:rsidRPr="00553300">
        <w:rPr>
          <w:rFonts w:ascii="Calibri" w:hAnsi="Calibri" w:cs="Calibri"/>
          <w:sz w:val="24"/>
          <w:szCs w:val="24"/>
        </w:rPr>
        <w:t xml:space="preserve">. Młyniec, K.; Davies, C.L.; de Agüero Sánchez I.G.; Pytka, K.; Budziszewska, B.; Nowak, G. </w:t>
      </w:r>
      <w:r w:rsidR="00977504" w:rsidRPr="00553300">
        <w:rPr>
          <w:rFonts w:ascii="Calibri" w:hAnsi="Calibri" w:cs="Calibri"/>
          <w:sz w:val="24"/>
          <w:szCs w:val="24"/>
        </w:rPr>
        <w:t xml:space="preserve">Essential elements in depression and anxiety. Part I. 2014 </w:t>
      </w:r>
      <w:r w:rsidRPr="00553300">
        <w:rPr>
          <w:rFonts w:ascii="Calibri" w:hAnsi="Calibri" w:cs="Calibri"/>
          <w:sz w:val="24"/>
          <w:szCs w:val="24"/>
        </w:rPr>
        <w:t>Pharmacol Rep. 66, 534-544.</w:t>
      </w:r>
    </w:p>
    <w:p w14:paraId="12643A30" w14:textId="4C08FF44" w:rsidR="00ED3B3B" w:rsidRPr="00553300" w:rsidRDefault="00ED3B3B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3</w:t>
      </w:r>
      <w:r w:rsidR="009A4F33" w:rsidRPr="00553300">
        <w:rPr>
          <w:rFonts w:ascii="Calibri" w:hAnsi="Calibri" w:cs="Calibri"/>
          <w:sz w:val="24"/>
          <w:szCs w:val="24"/>
        </w:rPr>
        <w:t>2</w:t>
      </w:r>
      <w:r w:rsidRPr="00553300">
        <w:rPr>
          <w:rFonts w:ascii="Calibri" w:hAnsi="Calibri" w:cs="Calibri"/>
          <w:sz w:val="24"/>
          <w:szCs w:val="24"/>
        </w:rPr>
        <w:t>. Maes, M.; D'Haese, P.C.; Scharpé, S.; D'Hondt, P.; Cosyns, P.; De Broe, M.E. Hypozincemia in depression. 1994 J Affect Disord. 31, 135-140.</w:t>
      </w:r>
    </w:p>
    <w:p w14:paraId="2A18FA36" w14:textId="0F828097" w:rsidR="00ED3B3B" w:rsidRPr="00553300" w:rsidRDefault="00ED3B3B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3</w:t>
      </w:r>
      <w:r w:rsidR="009A4F33" w:rsidRPr="00553300">
        <w:rPr>
          <w:rFonts w:ascii="Calibri" w:hAnsi="Calibri" w:cs="Calibri"/>
          <w:sz w:val="24"/>
          <w:szCs w:val="24"/>
        </w:rPr>
        <w:t>3</w:t>
      </w:r>
      <w:r w:rsidRPr="00553300">
        <w:rPr>
          <w:rFonts w:ascii="Calibri" w:hAnsi="Calibri" w:cs="Calibri"/>
          <w:sz w:val="24"/>
          <w:szCs w:val="24"/>
        </w:rPr>
        <w:t>. Siwek, M.; Dudek, D.; Schlegel-Zawadzka, M.; Morawska, A.; Piekoszewski, W.; Opoka, W.; Zieba, A.; Pilc, A.; Popik,</w:t>
      </w:r>
      <w:r w:rsidR="001574C3" w:rsidRPr="00553300">
        <w:rPr>
          <w:rFonts w:ascii="Calibri" w:hAnsi="Calibri" w:cs="Calibri"/>
          <w:sz w:val="24"/>
          <w:szCs w:val="24"/>
        </w:rPr>
        <w:t xml:space="preserve"> </w:t>
      </w:r>
      <w:r w:rsidRPr="00553300">
        <w:rPr>
          <w:rFonts w:ascii="Calibri" w:hAnsi="Calibri" w:cs="Calibri"/>
          <w:sz w:val="24"/>
          <w:szCs w:val="24"/>
        </w:rPr>
        <w:t>P.; Nowak G. Serum zinc level in depressed patients during zinc supplementation of imipramine treatment. 2010 J Affect Disord. 126, 447-452.</w:t>
      </w:r>
    </w:p>
    <w:p w14:paraId="1B43BAFE" w14:textId="526864F1" w:rsidR="00ED3B3B" w:rsidRPr="00553300" w:rsidRDefault="00ED3B3B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3</w:t>
      </w:r>
      <w:r w:rsidR="009A4F33" w:rsidRPr="00553300">
        <w:rPr>
          <w:rFonts w:ascii="Calibri" w:hAnsi="Calibri" w:cs="Calibri"/>
          <w:sz w:val="24"/>
          <w:szCs w:val="24"/>
        </w:rPr>
        <w:t>4</w:t>
      </w:r>
      <w:r w:rsidRPr="00553300">
        <w:rPr>
          <w:rFonts w:ascii="Calibri" w:hAnsi="Calibri" w:cs="Calibri"/>
          <w:sz w:val="24"/>
          <w:szCs w:val="24"/>
        </w:rPr>
        <w:t>. Siwek, M.; Szewczyk, B.; Dudek, D.; Styczeń, K.; Sowa-Kućma, M.; Młyniec, K.; Siwek, A.; Witkowski, L.; Pochwat, B.; Nowak, G. Zinc as a marker of affective disorders.</w:t>
      </w:r>
      <w:r w:rsidR="00111C4C" w:rsidRPr="00553300">
        <w:rPr>
          <w:rFonts w:ascii="Calibri" w:hAnsi="Calibri" w:cs="Calibri"/>
          <w:sz w:val="24"/>
          <w:szCs w:val="24"/>
        </w:rPr>
        <w:t xml:space="preserve"> </w:t>
      </w:r>
      <w:r w:rsidRPr="00553300">
        <w:rPr>
          <w:rFonts w:ascii="Calibri" w:hAnsi="Calibri" w:cs="Calibri"/>
          <w:sz w:val="24"/>
          <w:szCs w:val="24"/>
        </w:rPr>
        <w:t>2013 Pharmacol Rep. 65, 1512-1518.</w:t>
      </w:r>
    </w:p>
    <w:p w14:paraId="08AC5DC9" w14:textId="31E0BA4F" w:rsidR="008A35EF" w:rsidRPr="00553300" w:rsidRDefault="008A35EF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3</w:t>
      </w:r>
      <w:r w:rsidR="009A4F33" w:rsidRPr="00553300">
        <w:rPr>
          <w:rFonts w:ascii="Calibri" w:hAnsi="Calibri" w:cs="Calibri"/>
          <w:sz w:val="24"/>
          <w:szCs w:val="24"/>
        </w:rPr>
        <w:t>5</w:t>
      </w:r>
      <w:r w:rsidRPr="00553300">
        <w:rPr>
          <w:rFonts w:ascii="Calibri" w:hAnsi="Calibri" w:cs="Calibri"/>
          <w:sz w:val="24"/>
          <w:szCs w:val="24"/>
        </w:rPr>
        <w:t xml:space="preserve">. Pochwat, B.; Nowak, G.; Szewczyk, B. Relationship between Zinc (Zn </w:t>
      </w:r>
      <w:r w:rsidRPr="00553300">
        <w:rPr>
          <w:rFonts w:ascii="Calibri" w:hAnsi="Calibri" w:cs="Calibri"/>
          <w:sz w:val="24"/>
          <w:szCs w:val="24"/>
          <w:vertAlign w:val="superscript"/>
        </w:rPr>
        <w:t>2+</w:t>
      </w:r>
      <w:r w:rsidRPr="00553300">
        <w:rPr>
          <w:rFonts w:ascii="Calibri" w:hAnsi="Calibri" w:cs="Calibri"/>
          <w:sz w:val="24"/>
          <w:szCs w:val="24"/>
        </w:rPr>
        <w:t>) and Glutamate Receptors in the Processes Underlying Neurodegeneration. 2015 Neural Plast. 2015, 591563.</w:t>
      </w:r>
    </w:p>
    <w:p w14:paraId="3F55333B" w14:textId="3188F142" w:rsidR="008A35EF" w:rsidRPr="00553300" w:rsidRDefault="008A35EF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3</w:t>
      </w:r>
      <w:r w:rsidR="009A4F33" w:rsidRPr="00553300">
        <w:rPr>
          <w:rFonts w:ascii="Calibri" w:hAnsi="Calibri" w:cs="Calibri"/>
          <w:sz w:val="24"/>
          <w:szCs w:val="24"/>
        </w:rPr>
        <w:t>6</w:t>
      </w:r>
      <w:r w:rsidRPr="00553300">
        <w:rPr>
          <w:rFonts w:ascii="Calibri" w:hAnsi="Calibri" w:cs="Calibri"/>
          <w:sz w:val="24"/>
          <w:szCs w:val="24"/>
        </w:rPr>
        <w:t>. Pfaender, S.; Grabrucker, A.M. Characterization of biometal profiles in neurological disorders. 2014 Metallomics. 6, 960-677.</w:t>
      </w:r>
    </w:p>
    <w:p w14:paraId="51882C4D" w14:textId="1DF23C7E" w:rsidR="00AE38C5" w:rsidRPr="00553300" w:rsidRDefault="00AE38C5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3</w:t>
      </w:r>
      <w:r w:rsidR="009A4F33" w:rsidRPr="00553300">
        <w:rPr>
          <w:rFonts w:ascii="Calibri" w:hAnsi="Calibri" w:cs="Calibri"/>
          <w:sz w:val="24"/>
          <w:szCs w:val="24"/>
        </w:rPr>
        <w:t>7</w:t>
      </w:r>
      <w:r w:rsidRPr="00553300">
        <w:rPr>
          <w:rFonts w:ascii="Calibri" w:hAnsi="Calibri" w:cs="Calibri"/>
          <w:sz w:val="24"/>
          <w:szCs w:val="24"/>
        </w:rPr>
        <w:t xml:space="preserve">. Greco, V.; Rizzarelli, E.; Bellia, F.; Lanza, V.; Vaccaro, S.; Messina, L.; Sciuto, S. Derivatives obtained from hyaluronic acid and carnosine. 2019 EP 3174555B1. </w:t>
      </w:r>
    </w:p>
    <w:p w14:paraId="70187025" w14:textId="433065AA" w:rsidR="00AE38C5" w:rsidRPr="00553300" w:rsidRDefault="00AE38C5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3</w:t>
      </w:r>
      <w:r w:rsidR="009A4F33" w:rsidRPr="00553300">
        <w:rPr>
          <w:rFonts w:ascii="Calibri" w:hAnsi="Calibri" w:cs="Calibri"/>
          <w:sz w:val="24"/>
          <w:szCs w:val="24"/>
        </w:rPr>
        <w:t>8</w:t>
      </w:r>
      <w:r w:rsidRPr="00553300">
        <w:rPr>
          <w:rFonts w:ascii="Calibri" w:hAnsi="Calibri" w:cs="Calibri"/>
          <w:sz w:val="24"/>
          <w:szCs w:val="24"/>
        </w:rPr>
        <w:t>. Rizzarelli, E.; Vecchio, G.; Lazzarino, G.; Amorini, A.M.; Bellia, F. Trehalose conjugate with carnosine having antioxidant activity, stable to enzymatic hydrolysis, procedure for its preparation, and pharmaceutical, cosmetic and nutraceutical compositions that contain it. 2007 EP 1860116.</w:t>
      </w:r>
    </w:p>
    <w:p w14:paraId="7493240A" w14:textId="7DA4C241" w:rsidR="00AE38C5" w:rsidRPr="00553300" w:rsidRDefault="00AE38C5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3</w:t>
      </w:r>
      <w:r w:rsidR="009A4F33" w:rsidRPr="00553300">
        <w:rPr>
          <w:rFonts w:ascii="Calibri" w:hAnsi="Calibri" w:cs="Calibri"/>
          <w:sz w:val="24"/>
          <w:szCs w:val="24"/>
        </w:rPr>
        <w:t>9</w:t>
      </w:r>
      <w:r w:rsidRPr="00553300">
        <w:rPr>
          <w:rFonts w:ascii="Calibri" w:hAnsi="Calibri" w:cs="Calibri"/>
          <w:sz w:val="24"/>
          <w:szCs w:val="24"/>
        </w:rPr>
        <w:t>. Grasso, G.I.; Bellia, F.; Arena, G.; Satriano, C.; Vecchio, G.; Rizzarelli, E. Multitarget trehalose-carnosine conjugates inhibit A</w:t>
      </w:r>
      <w:r w:rsidRPr="00553300">
        <w:rPr>
          <w:rFonts w:ascii="Calibri" w:hAnsi="Calibri" w:cs="Calibri"/>
          <w:sz w:val="24"/>
          <w:szCs w:val="24"/>
          <w:lang w:val="it-IT"/>
        </w:rPr>
        <w:t>β</w:t>
      </w:r>
      <w:r w:rsidRPr="00553300">
        <w:rPr>
          <w:rFonts w:ascii="Calibri" w:hAnsi="Calibri" w:cs="Calibri"/>
          <w:sz w:val="24"/>
          <w:szCs w:val="24"/>
        </w:rPr>
        <w:t xml:space="preserve"> aggregation, tune copper(II) activity and decrease acrolein toxicity. 2017 Eur J Med Chem. 135, 447-457.</w:t>
      </w:r>
    </w:p>
    <w:p w14:paraId="4BDA835A" w14:textId="4AF3AB64" w:rsidR="00AE38C5" w:rsidRPr="00553300" w:rsidRDefault="009A4F33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40</w:t>
      </w:r>
      <w:r w:rsidR="00AE38C5" w:rsidRPr="00553300">
        <w:rPr>
          <w:rFonts w:ascii="Calibri" w:hAnsi="Calibri" w:cs="Calibri"/>
          <w:sz w:val="24"/>
          <w:szCs w:val="24"/>
        </w:rPr>
        <w:t>. Grasso, G.I.; Arena, G.; Bellia, F.; Maccarrone, G.; Parrinello, M.; Pietropaolo, A.; Vecchio, G.; Rizzarelli, E. Intramolecular weak interactions in the thermodynamic stereoselectivity of copper(II) complexes with carnosine-trehalose conjugates. 2011 Chem. Eur. J. 17, 9448-9455.</w:t>
      </w:r>
    </w:p>
    <w:p w14:paraId="42E8E3D0" w14:textId="6C8F413E" w:rsidR="001D3D10" w:rsidRPr="00553300" w:rsidRDefault="001D3D10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  <w:lang w:val="it-IT"/>
        </w:rPr>
      </w:pPr>
      <w:r w:rsidRPr="00553300">
        <w:rPr>
          <w:rFonts w:ascii="Calibri" w:hAnsi="Calibri" w:cs="Calibri"/>
          <w:sz w:val="24"/>
          <w:szCs w:val="24"/>
        </w:rPr>
        <w:t>4</w:t>
      </w:r>
      <w:r w:rsidR="009A4F33" w:rsidRPr="00553300">
        <w:rPr>
          <w:rFonts w:ascii="Calibri" w:hAnsi="Calibri" w:cs="Calibri"/>
          <w:sz w:val="24"/>
          <w:szCs w:val="24"/>
        </w:rPr>
        <w:t>1</w:t>
      </w:r>
      <w:r w:rsidRPr="00553300">
        <w:rPr>
          <w:rFonts w:ascii="Calibri" w:hAnsi="Calibri" w:cs="Calibri"/>
          <w:sz w:val="24"/>
          <w:szCs w:val="24"/>
        </w:rPr>
        <w:t xml:space="preserve">. Bellia, F.; Vecchio, G.; Cuzzocrea, S.; Calabrese, V.; Rizzarelli, E. Neuroprotective features of carnosine in oxidative driven diseases. </w:t>
      </w:r>
      <w:r w:rsidRPr="00553300">
        <w:rPr>
          <w:rFonts w:ascii="Calibri" w:hAnsi="Calibri" w:cs="Calibri"/>
          <w:sz w:val="24"/>
          <w:szCs w:val="24"/>
          <w:lang w:val="it-IT"/>
        </w:rPr>
        <w:t>2011 Mol Aspects Med. 32, 258-266.</w:t>
      </w:r>
    </w:p>
    <w:p w14:paraId="3B23E2FB" w14:textId="3EFF8FEE" w:rsidR="001D3D10" w:rsidRPr="00553300" w:rsidRDefault="001D3D10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  <w:lang w:val="it-IT"/>
        </w:rPr>
        <w:lastRenderedPageBreak/>
        <w:t>4</w:t>
      </w:r>
      <w:r w:rsidR="009A4F33" w:rsidRPr="00553300">
        <w:rPr>
          <w:rFonts w:ascii="Calibri" w:hAnsi="Calibri" w:cs="Calibri"/>
          <w:sz w:val="24"/>
          <w:szCs w:val="24"/>
          <w:lang w:val="it-IT"/>
        </w:rPr>
        <w:t>2</w:t>
      </w:r>
      <w:r w:rsidRPr="00553300">
        <w:rPr>
          <w:rFonts w:ascii="Calibri" w:hAnsi="Calibri" w:cs="Calibri"/>
          <w:sz w:val="24"/>
          <w:szCs w:val="24"/>
          <w:lang w:val="it-IT"/>
        </w:rPr>
        <w:t xml:space="preserve">. Di Paola, R.; Impellizzeri, D.; Salinaro AT, Mazzon E, Bellia F, Cavallaro M, Cornelius C, Vecchio G, Calabrese V, Rizzarelli E, Cuzzocrea S. 2011 Administration of carnosine in the treatment of acute spinal cord injury. </w:t>
      </w:r>
      <w:r w:rsidRPr="00553300">
        <w:rPr>
          <w:rFonts w:ascii="Calibri" w:hAnsi="Calibri" w:cs="Calibri"/>
          <w:sz w:val="24"/>
          <w:szCs w:val="24"/>
        </w:rPr>
        <w:t>Biochem Pharmacol. 82, 1478-1489.</w:t>
      </w:r>
    </w:p>
    <w:p w14:paraId="39EF8A0E" w14:textId="01FB08A0" w:rsidR="001D3D10" w:rsidRPr="00553300" w:rsidRDefault="001D3D10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4</w:t>
      </w:r>
      <w:r w:rsidR="009A4F33" w:rsidRPr="00553300">
        <w:rPr>
          <w:rFonts w:ascii="Calibri" w:hAnsi="Calibri" w:cs="Calibri"/>
          <w:sz w:val="24"/>
          <w:szCs w:val="24"/>
        </w:rPr>
        <w:t>3</w:t>
      </w:r>
      <w:r w:rsidRPr="00553300">
        <w:rPr>
          <w:rFonts w:ascii="Calibri" w:hAnsi="Calibri" w:cs="Calibri"/>
          <w:sz w:val="24"/>
          <w:szCs w:val="24"/>
        </w:rPr>
        <w:t xml:space="preserve">. Zimbone, S.; Monaco, I.; Gianì, F.; Pandini, G.; Copani, A.G.; Giuffrida, M.L.; Rizzarelli, E. Amyloid Beta monomers regulate cyclic adenosine monophosphate response element binding protein functions by activating type-1 insulin-like growth factor receptors in neuronal cells. 2018 Aging Cell. 17. </w:t>
      </w:r>
    </w:p>
    <w:p w14:paraId="18EDE6F1" w14:textId="43B30BCB" w:rsidR="00AE38C5" w:rsidRPr="00553300" w:rsidRDefault="00AE38C5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4</w:t>
      </w:r>
      <w:r w:rsidR="009A4F33" w:rsidRPr="00553300">
        <w:rPr>
          <w:rFonts w:ascii="Calibri" w:hAnsi="Calibri" w:cs="Calibri"/>
          <w:sz w:val="24"/>
          <w:szCs w:val="24"/>
        </w:rPr>
        <w:t>4</w:t>
      </w:r>
      <w:r w:rsidRPr="00553300">
        <w:rPr>
          <w:rFonts w:ascii="Calibri" w:hAnsi="Calibri" w:cs="Calibri"/>
          <w:sz w:val="24"/>
          <w:szCs w:val="24"/>
        </w:rPr>
        <w:t>. Giuffrida, M.L.; Copani ,A.; Rizzarelli, E. A promising connection between BDNF and Alzheimer's disease. 2018 Aging 2018 Aug 6;10(8):1791-1792.</w:t>
      </w:r>
    </w:p>
    <w:p w14:paraId="5CD81704" w14:textId="712267CB" w:rsidR="001D3D10" w:rsidRPr="00553300" w:rsidRDefault="0096763E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4</w:t>
      </w:r>
      <w:r w:rsidR="009A4F33" w:rsidRPr="00553300">
        <w:rPr>
          <w:rFonts w:ascii="Calibri" w:hAnsi="Calibri" w:cs="Calibri"/>
          <w:sz w:val="24"/>
          <w:szCs w:val="24"/>
        </w:rPr>
        <w:t>5</w:t>
      </w:r>
      <w:r w:rsidR="001D3D10" w:rsidRPr="00553300">
        <w:rPr>
          <w:rFonts w:ascii="Calibri" w:hAnsi="Calibri" w:cs="Calibri"/>
          <w:sz w:val="24"/>
          <w:szCs w:val="24"/>
        </w:rPr>
        <w:t>. Naletova, I.; Grasso, G.I.; Satriano, C.; Travaglia, A.; La Mendola, D.; Arena, G.; Rizzarelli, E. Copper complexes of synthetic peptides mimicking neurotrophin-3 enhance neurite outgrowth and CREB phosphorylation. 2019 Metallomics. 11, 1567-1578.</w:t>
      </w:r>
    </w:p>
    <w:p w14:paraId="1852336B" w14:textId="7B0746B7" w:rsidR="001D3D10" w:rsidRPr="00553300" w:rsidRDefault="0096763E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4</w:t>
      </w:r>
      <w:r w:rsidR="009A4F33" w:rsidRPr="00553300">
        <w:rPr>
          <w:rFonts w:ascii="Calibri" w:hAnsi="Calibri" w:cs="Calibri"/>
          <w:sz w:val="24"/>
          <w:szCs w:val="24"/>
        </w:rPr>
        <w:t>6</w:t>
      </w:r>
      <w:r w:rsidR="001D3D10" w:rsidRPr="00553300">
        <w:rPr>
          <w:rFonts w:ascii="Calibri" w:hAnsi="Calibri" w:cs="Calibri"/>
          <w:sz w:val="24"/>
          <w:szCs w:val="24"/>
        </w:rPr>
        <w:t>. Pietropaolo, A.; Magrì ,A.; Greco, V.; Losasso, V.; La Mendola, D.; Sciuto, S.; Carloni, P.; Rizzarelli, E. Binding of Zn(II) to Tropomyosin Receptor Kinase A in Complex with Its Cognate Nerve Growth Factor: Insights from Molecular Simulation and in Vitro Essays. 2018 ACS Chem Neurosci. 9, 1095-1103.</w:t>
      </w:r>
    </w:p>
    <w:p w14:paraId="31834389" w14:textId="26E10453" w:rsidR="0096763E" w:rsidRPr="00553300" w:rsidRDefault="0096763E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4</w:t>
      </w:r>
      <w:r w:rsidR="009A4F33" w:rsidRPr="00553300">
        <w:rPr>
          <w:rFonts w:ascii="Calibri" w:hAnsi="Calibri" w:cs="Calibri"/>
          <w:sz w:val="24"/>
          <w:szCs w:val="24"/>
        </w:rPr>
        <w:t>7</w:t>
      </w:r>
      <w:r w:rsidRPr="00553300">
        <w:rPr>
          <w:rFonts w:ascii="Calibri" w:hAnsi="Calibri" w:cs="Calibri"/>
          <w:sz w:val="24"/>
          <w:szCs w:val="24"/>
        </w:rPr>
        <w:t>. He, Z.; Zang, H.; Zhu, L.; Huang, K.; Yi, T.; Zhang, S.; Cheng, S. An anti-inflammatory peptide and brain-derived neurotrophic factor-modified hyaluronan-methylcellulose hydrogel promotes nerve regeneration in rats with spinal cord injury. 2019 Int J Nanomedicine. 14, 721-732.</w:t>
      </w:r>
    </w:p>
    <w:p w14:paraId="55AF1FFA" w14:textId="5509BFC4" w:rsidR="006B12C7" w:rsidRPr="00553300" w:rsidRDefault="006B12C7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4</w:t>
      </w:r>
      <w:r w:rsidR="009A4F33" w:rsidRPr="00553300">
        <w:rPr>
          <w:rFonts w:ascii="Calibri" w:hAnsi="Calibri" w:cs="Calibri"/>
          <w:sz w:val="24"/>
          <w:szCs w:val="24"/>
        </w:rPr>
        <w:t>8</w:t>
      </w:r>
      <w:r w:rsidRPr="00553300">
        <w:rPr>
          <w:rFonts w:ascii="Calibri" w:hAnsi="Calibri" w:cs="Calibri"/>
          <w:sz w:val="24"/>
          <w:szCs w:val="24"/>
        </w:rPr>
        <w:t>. Kara, N.Z.; Toker, L.; Agam, G.; Anderson, G.W.; Belmaker, R.H.; Einat, H. Trehalose induced antidepressant-like effects and autophagy enhancement in mice. 2013 Psychopharmacology (Berl). 229, 367-375.</w:t>
      </w:r>
    </w:p>
    <w:p w14:paraId="7760A999" w14:textId="3725F0EB" w:rsidR="00600B82" w:rsidRPr="00553300" w:rsidRDefault="00600B82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4</w:t>
      </w:r>
      <w:r w:rsidR="009A4F33" w:rsidRPr="00553300">
        <w:rPr>
          <w:rFonts w:ascii="Calibri" w:hAnsi="Calibri" w:cs="Calibri"/>
          <w:sz w:val="24"/>
          <w:szCs w:val="24"/>
        </w:rPr>
        <w:t>9</w:t>
      </w:r>
      <w:r w:rsidRPr="00553300">
        <w:rPr>
          <w:rFonts w:ascii="Calibri" w:hAnsi="Calibri" w:cs="Calibri"/>
          <w:sz w:val="24"/>
          <w:szCs w:val="24"/>
        </w:rPr>
        <w:t>. Smith, J.S.; Roitberg, A.E.; Isayev, O. Transforming Computational Drug Discovery with Machine Learning and AI. 2018 ACS Med Chem Lett. 9, 1065-1069.</w:t>
      </w:r>
    </w:p>
    <w:p w14:paraId="5257546F" w14:textId="3A57FDF5" w:rsidR="00600B82" w:rsidRPr="00553300" w:rsidRDefault="009A4F33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50</w:t>
      </w:r>
      <w:r w:rsidR="00600B82" w:rsidRPr="00553300">
        <w:rPr>
          <w:rFonts w:ascii="Calibri" w:hAnsi="Calibri" w:cs="Calibri"/>
          <w:sz w:val="24"/>
          <w:szCs w:val="24"/>
        </w:rPr>
        <w:t>. Li, P.; Merz, K.M. Jr Metal Ion Modeling Using Classical Mechanics. 2017 Chem. Rev. 117, 1564-1686.</w:t>
      </w:r>
    </w:p>
    <w:p w14:paraId="7B4EF7EB" w14:textId="5CCF6346" w:rsidR="00600B82" w:rsidRPr="00553300" w:rsidRDefault="00600B82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t>5</w:t>
      </w:r>
      <w:r w:rsidR="009A4F33" w:rsidRPr="00553300">
        <w:rPr>
          <w:rFonts w:ascii="Calibri" w:hAnsi="Calibri" w:cs="Calibri"/>
          <w:sz w:val="24"/>
          <w:szCs w:val="24"/>
        </w:rPr>
        <w:t>1</w:t>
      </w:r>
      <w:r w:rsidRPr="00553300">
        <w:rPr>
          <w:rFonts w:ascii="Calibri" w:hAnsi="Calibri" w:cs="Calibri"/>
          <w:sz w:val="24"/>
          <w:szCs w:val="24"/>
        </w:rPr>
        <w:t>. Pietropaolo, A.; Wang, Y.; Nakano, T. Predicting the switchable screw sense in fluorene-based polymers. 2015 Angew Chem Int Ed Engl. 54, 2688-2692.</w:t>
      </w:r>
    </w:p>
    <w:p w14:paraId="1F89EB28" w14:textId="6C01369B" w:rsidR="00600B82" w:rsidRPr="00553300" w:rsidRDefault="00600B82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  <w:lang w:val="it-IT"/>
        </w:rPr>
      </w:pPr>
      <w:r w:rsidRPr="00553300">
        <w:rPr>
          <w:rFonts w:ascii="Calibri" w:hAnsi="Calibri" w:cs="Calibri"/>
          <w:sz w:val="24"/>
          <w:szCs w:val="24"/>
        </w:rPr>
        <w:t>5</w:t>
      </w:r>
      <w:r w:rsidR="009A4F33" w:rsidRPr="00553300">
        <w:rPr>
          <w:rFonts w:ascii="Calibri" w:hAnsi="Calibri" w:cs="Calibri"/>
          <w:sz w:val="24"/>
          <w:szCs w:val="24"/>
        </w:rPr>
        <w:t>2</w:t>
      </w:r>
      <w:r w:rsidRPr="00553300">
        <w:rPr>
          <w:rFonts w:ascii="Calibri" w:hAnsi="Calibri" w:cs="Calibri"/>
          <w:sz w:val="24"/>
          <w:szCs w:val="24"/>
        </w:rPr>
        <w:t xml:space="preserve">. Pietropaolo, A.; Nakano, T. Molecular mechanism of polyacrylate helix sense switching across its free-energy landscape. </w:t>
      </w:r>
      <w:r w:rsidRPr="00553300">
        <w:rPr>
          <w:rFonts w:ascii="Calibri" w:hAnsi="Calibri" w:cs="Calibri"/>
          <w:sz w:val="24"/>
          <w:szCs w:val="24"/>
          <w:lang w:val="it-IT"/>
        </w:rPr>
        <w:t>2013 J. Am. Chem. Soc. 135:5509–5512.</w:t>
      </w:r>
    </w:p>
    <w:p w14:paraId="090F2FE2" w14:textId="77827CC5" w:rsidR="00600B82" w:rsidRPr="00553300" w:rsidRDefault="00600B82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  <w:lang w:val="it-IT"/>
        </w:rPr>
        <w:t>5</w:t>
      </w:r>
      <w:r w:rsidR="009A4F33" w:rsidRPr="00553300">
        <w:rPr>
          <w:rFonts w:ascii="Calibri" w:hAnsi="Calibri" w:cs="Calibri"/>
          <w:sz w:val="24"/>
          <w:szCs w:val="24"/>
          <w:lang w:val="it-IT"/>
        </w:rPr>
        <w:t>3</w:t>
      </w:r>
      <w:r w:rsidRPr="00553300">
        <w:rPr>
          <w:rFonts w:ascii="Calibri" w:hAnsi="Calibri" w:cs="Calibri"/>
          <w:sz w:val="24"/>
          <w:szCs w:val="24"/>
          <w:lang w:val="it-IT"/>
        </w:rPr>
        <w:t xml:space="preserve">. Bonomi, M.; Bussi, G.; Camilloni, C.; Tribello, G.A.; Banáš, P.; Barducci, A.; Bernetti, M.; Bolhuis, P.G.; Bottaro, S.; Branduardi, D.; et al. </w:t>
      </w:r>
      <w:r w:rsidRPr="00553300">
        <w:rPr>
          <w:rFonts w:ascii="Calibri" w:hAnsi="Calibri" w:cs="Calibri"/>
          <w:sz w:val="24"/>
          <w:szCs w:val="24"/>
        </w:rPr>
        <w:t>Promoting transparency and reproducibility in enhanced molecular simulations. 2019 Nat. Methods 16: 670–673.</w:t>
      </w:r>
    </w:p>
    <w:p w14:paraId="26AC961E" w14:textId="773D710A" w:rsidR="00600B82" w:rsidRPr="00553300" w:rsidRDefault="00600B82" w:rsidP="00553300">
      <w:pPr>
        <w:spacing w:afterLines="120" w:after="288" w:line="240" w:lineRule="auto"/>
        <w:jc w:val="both"/>
        <w:rPr>
          <w:rFonts w:ascii="Calibri" w:hAnsi="Calibri" w:cs="Calibri"/>
          <w:sz w:val="24"/>
          <w:szCs w:val="24"/>
        </w:rPr>
      </w:pPr>
      <w:r w:rsidRPr="00553300">
        <w:rPr>
          <w:rFonts w:ascii="Calibri" w:hAnsi="Calibri" w:cs="Calibri"/>
          <w:sz w:val="24"/>
          <w:szCs w:val="24"/>
        </w:rPr>
        <w:lastRenderedPageBreak/>
        <w:t>5</w:t>
      </w:r>
      <w:r w:rsidR="009A4F33" w:rsidRPr="00553300">
        <w:rPr>
          <w:rFonts w:ascii="Calibri" w:hAnsi="Calibri" w:cs="Calibri"/>
          <w:sz w:val="24"/>
          <w:szCs w:val="24"/>
        </w:rPr>
        <w:t>4</w:t>
      </w:r>
      <w:r w:rsidRPr="00553300">
        <w:rPr>
          <w:rFonts w:ascii="Calibri" w:hAnsi="Calibri" w:cs="Calibri"/>
          <w:sz w:val="24"/>
          <w:szCs w:val="24"/>
        </w:rPr>
        <w:t>. Cozza, C.; Bonomi, M.; Pietropaolo, A. A Versatile Computational Strategy To Characterize the Free-Energy Landscape of Excited States in Oligofluorenes. 2018 J Chem Theory Comput. 14, 5441-5445.</w:t>
      </w:r>
    </w:p>
    <w:p w14:paraId="39C984CB" w14:textId="5ECAF886" w:rsidR="006379CC" w:rsidRPr="00553300" w:rsidRDefault="006379CC" w:rsidP="00553300">
      <w:pPr>
        <w:pStyle w:val="EndnoteText"/>
        <w:spacing w:afterLines="120" w:after="288"/>
        <w:jc w:val="both"/>
        <w:rPr>
          <w:rFonts w:ascii="Calibri" w:hAnsi="Calibri" w:cs="Calibri"/>
          <w:sz w:val="24"/>
          <w:szCs w:val="24"/>
          <w:lang w:val="en-US"/>
        </w:rPr>
      </w:pPr>
      <w:r w:rsidRPr="00553300">
        <w:rPr>
          <w:rFonts w:ascii="Calibri" w:hAnsi="Calibri" w:cs="Calibri"/>
          <w:sz w:val="24"/>
          <w:szCs w:val="24"/>
          <w:lang w:val="en-US"/>
        </w:rPr>
        <w:t>5</w:t>
      </w:r>
      <w:r w:rsidR="009A4F33" w:rsidRPr="00553300">
        <w:rPr>
          <w:rFonts w:ascii="Calibri" w:hAnsi="Calibri" w:cs="Calibri"/>
          <w:sz w:val="24"/>
          <w:szCs w:val="24"/>
          <w:lang w:val="en-US"/>
        </w:rPr>
        <w:t>5</w:t>
      </w:r>
      <w:r w:rsidRPr="00553300">
        <w:rPr>
          <w:rFonts w:ascii="Calibri" w:hAnsi="Calibri" w:cs="Calibri"/>
          <w:sz w:val="24"/>
          <w:szCs w:val="24"/>
          <w:lang w:val="en-US"/>
        </w:rPr>
        <w:t>. Trusso Sfrazzetto, G.; Satriano, C.; Tomaselli, G.A.; Rizzarelli, E. Synthetic fluorescent probes to map metallostasis and intracellular fate of zinc and copper. 2016 Coord Chem Rev 311, 125-167.</w:t>
      </w:r>
    </w:p>
    <w:p w14:paraId="02F82EA6" w14:textId="285B886E" w:rsidR="006379CC" w:rsidRPr="00553300" w:rsidRDefault="006379CC" w:rsidP="00553300">
      <w:pPr>
        <w:pStyle w:val="EndnoteText"/>
        <w:spacing w:afterLines="120" w:after="288"/>
        <w:jc w:val="both"/>
        <w:rPr>
          <w:rFonts w:ascii="Calibri" w:hAnsi="Calibri" w:cs="Calibri"/>
          <w:sz w:val="24"/>
          <w:szCs w:val="24"/>
          <w:lang w:val="en-US"/>
        </w:rPr>
      </w:pPr>
      <w:r w:rsidRPr="00553300">
        <w:rPr>
          <w:rFonts w:ascii="Calibri" w:hAnsi="Calibri" w:cs="Calibri"/>
          <w:sz w:val="24"/>
          <w:szCs w:val="24"/>
          <w:lang w:val="en-US"/>
        </w:rPr>
        <w:t>5</w:t>
      </w:r>
      <w:r w:rsidR="009A4F33" w:rsidRPr="00553300">
        <w:rPr>
          <w:rFonts w:ascii="Calibri" w:hAnsi="Calibri" w:cs="Calibri"/>
          <w:sz w:val="24"/>
          <w:szCs w:val="24"/>
          <w:lang w:val="en-US"/>
        </w:rPr>
        <w:t>6</w:t>
      </w:r>
      <w:r w:rsidRPr="00553300">
        <w:rPr>
          <w:rFonts w:ascii="Calibri" w:hAnsi="Calibri" w:cs="Calibri"/>
          <w:sz w:val="24"/>
          <w:szCs w:val="24"/>
          <w:lang w:val="en-US"/>
        </w:rPr>
        <w:t>. Goldberg, J.M.; Lippard, S.J. New Tools Uncover New Functions for Mobile Zinc in the Brain. 2018 Biochemistry. 57, 3991-3992.</w:t>
      </w:r>
    </w:p>
    <w:p w14:paraId="5E09BE63" w14:textId="0716BCEC" w:rsidR="0053575C" w:rsidRPr="00553300" w:rsidRDefault="0053575C" w:rsidP="00553300">
      <w:pPr>
        <w:pStyle w:val="EndnoteText"/>
        <w:spacing w:afterLines="120" w:after="288"/>
        <w:jc w:val="both"/>
        <w:rPr>
          <w:rFonts w:ascii="Calibri" w:hAnsi="Calibri" w:cs="Calibri"/>
          <w:sz w:val="24"/>
          <w:szCs w:val="24"/>
          <w:lang w:val="en-US"/>
        </w:rPr>
      </w:pPr>
      <w:r w:rsidRPr="00553300">
        <w:rPr>
          <w:rFonts w:ascii="Calibri" w:hAnsi="Calibri" w:cs="Calibri"/>
          <w:color w:val="000000" w:themeColor="text1"/>
          <w:sz w:val="24"/>
          <w:szCs w:val="24"/>
          <w:lang w:val="en-US"/>
        </w:rPr>
        <w:t>5</w:t>
      </w:r>
      <w:r w:rsidR="009A4F33" w:rsidRPr="00553300">
        <w:rPr>
          <w:rFonts w:ascii="Calibri" w:hAnsi="Calibri" w:cs="Calibri"/>
          <w:color w:val="000000" w:themeColor="text1"/>
          <w:sz w:val="24"/>
          <w:szCs w:val="24"/>
          <w:lang w:val="en-US"/>
        </w:rPr>
        <w:t>7</w:t>
      </w:r>
      <w:r w:rsidRPr="00553300">
        <w:rPr>
          <w:rFonts w:ascii="Calibri" w:hAnsi="Calibri" w:cs="Calibri"/>
          <w:color w:val="000000" w:themeColor="text1"/>
          <w:sz w:val="24"/>
          <w:szCs w:val="24"/>
          <w:lang w:val="en-US"/>
        </w:rPr>
        <w:t>. Goldberg, J.M.; Wang, F.; Sessler, C.D.; Vogler, N.W.; Zhang, D.Y.; Loucks, W.H.; Tzounopoulos, T.; Lippard, S.J.</w:t>
      </w:r>
      <w:r w:rsidRPr="00553300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553300">
        <w:rPr>
          <w:rFonts w:ascii="Calibri" w:hAnsi="Calibri" w:cs="Calibri"/>
          <w:color w:val="000000" w:themeColor="text1"/>
          <w:sz w:val="24"/>
          <w:szCs w:val="24"/>
          <w:lang w:val="en-US"/>
        </w:rPr>
        <w:t>Photoactivatable Sensors for Detecting Mobile Zinc. J Am Chem Soc. 2018 140, 2020-2023.</w:t>
      </w:r>
    </w:p>
    <w:p w14:paraId="02679ED2" w14:textId="57653465" w:rsidR="005C7219" w:rsidRPr="00553300" w:rsidRDefault="006379CC" w:rsidP="00553300">
      <w:pPr>
        <w:pStyle w:val="EndnoteText"/>
        <w:spacing w:afterLines="120" w:after="288"/>
        <w:jc w:val="both"/>
        <w:rPr>
          <w:rFonts w:ascii="Calibri" w:hAnsi="Calibri" w:cs="Calibri"/>
          <w:sz w:val="24"/>
          <w:szCs w:val="24"/>
          <w:lang w:val="en-US"/>
        </w:rPr>
      </w:pPr>
      <w:r w:rsidRPr="00553300">
        <w:rPr>
          <w:rFonts w:ascii="Calibri" w:hAnsi="Calibri" w:cs="Calibri"/>
          <w:sz w:val="24"/>
          <w:szCs w:val="24"/>
        </w:rPr>
        <w:t>5</w:t>
      </w:r>
      <w:r w:rsidR="009A4F33" w:rsidRPr="00553300">
        <w:rPr>
          <w:rFonts w:ascii="Calibri" w:hAnsi="Calibri" w:cs="Calibri"/>
          <w:sz w:val="24"/>
          <w:szCs w:val="24"/>
        </w:rPr>
        <w:t>8</w:t>
      </w:r>
      <w:r w:rsidRPr="00553300">
        <w:rPr>
          <w:rFonts w:ascii="Calibri" w:hAnsi="Calibri" w:cs="Calibri"/>
          <w:sz w:val="24"/>
          <w:szCs w:val="24"/>
        </w:rPr>
        <w:t xml:space="preserve">. Giuffrida, M.L.; Trusso Sfrazzetto, G.; Satriano, C.; Zimbone, S.; Tomaselli, G.A.; Copani, A.; Rizzarelli, E. 2018 A New Ratiometric Lysosomal Copper(II) Fluorescent Probe To Map a Dynamic Metallome in Live Cells. </w:t>
      </w:r>
      <w:r w:rsidRPr="00553300">
        <w:rPr>
          <w:rFonts w:ascii="Calibri" w:hAnsi="Calibri" w:cs="Calibri"/>
          <w:sz w:val="24"/>
          <w:szCs w:val="24"/>
          <w:lang w:val="en-US"/>
        </w:rPr>
        <w:t>Inorg Chem. 57, 2365-2368.</w:t>
      </w:r>
    </w:p>
    <w:sectPr w:rsidR="005C7219" w:rsidRPr="00553300" w:rsidSect="007E73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??">
    <w:altName w:val="Yu Gothic UI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10FE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17E85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D8FA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2E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1050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54CE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1CE5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6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242F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6E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A483A"/>
    <w:multiLevelType w:val="hybridMultilevel"/>
    <w:tmpl w:val="3D14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0B2E77"/>
    <w:multiLevelType w:val="multilevel"/>
    <w:tmpl w:val="76761D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B75443F"/>
    <w:multiLevelType w:val="hybridMultilevel"/>
    <w:tmpl w:val="D372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74172"/>
    <w:multiLevelType w:val="hybridMultilevel"/>
    <w:tmpl w:val="C58A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D53DF9"/>
    <w:multiLevelType w:val="hybridMultilevel"/>
    <w:tmpl w:val="C8E47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4431E6"/>
    <w:multiLevelType w:val="multilevel"/>
    <w:tmpl w:val="F82688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9562EF4"/>
    <w:multiLevelType w:val="multilevel"/>
    <w:tmpl w:val="2A5C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70330A"/>
    <w:multiLevelType w:val="hybridMultilevel"/>
    <w:tmpl w:val="79B6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E2D78"/>
    <w:multiLevelType w:val="hybridMultilevel"/>
    <w:tmpl w:val="C666E4B8"/>
    <w:lvl w:ilvl="0" w:tplc="02A83E8A">
      <w:start w:val="1"/>
      <w:numFmt w:val="decimal"/>
      <w:lvlText w:val="(%1)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5" w:hanging="360"/>
      </w:pPr>
    </w:lvl>
    <w:lvl w:ilvl="2" w:tplc="0409001B" w:tentative="1">
      <w:start w:val="1"/>
      <w:numFmt w:val="lowerRoman"/>
      <w:lvlText w:val="%3."/>
      <w:lvlJc w:val="right"/>
      <w:pPr>
        <w:ind w:left="1895" w:hanging="180"/>
      </w:pPr>
    </w:lvl>
    <w:lvl w:ilvl="3" w:tplc="0409000F" w:tentative="1">
      <w:start w:val="1"/>
      <w:numFmt w:val="decimal"/>
      <w:lvlText w:val="%4."/>
      <w:lvlJc w:val="left"/>
      <w:pPr>
        <w:ind w:left="2615" w:hanging="360"/>
      </w:pPr>
    </w:lvl>
    <w:lvl w:ilvl="4" w:tplc="04090019" w:tentative="1">
      <w:start w:val="1"/>
      <w:numFmt w:val="lowerLetter"/>
      <w:lvlText w:val="%5."/>
      <w:lvlJc w:val="left"/>
      <w:pPr>
        <w:ind w:left="3335" w:hanging="360"/>
      </w:pPr>
    </w:lvl>
    <w:lvl w:ilvl="5" w:tplc="0409001B" w:tentative="1">
      <w:start w:val="1"/>
      <w:numFmt w:val="lowerRoman"/>
      <w:lvlText w:val="%6."/>
      <w:lvlJc w:val="right"/>
      <w:pPr>
        <w:ind w:left="4055" w:hanging="180"/>
      </w:pPr>
    </w:lvl>
    <w:lvl w:ilvl="6" w:tplc="0409000F" w:tentative="1">
      <w:start w:val="1"/>
      <w:numFmt w:val="decimal"/>
      <w:lvlText w:val="%7."/>
      <w:lvlJc w:val="left"/>
      <w:pPr>
        <w:ind w:left="4775" w:hanging="360"/>
      </w:pPr>
    </w:lvl>
    <w:lvl w:ilvl="7" w:tplc="04090019" w:tentative="1">
      <w:start w:val="1"/>
      <w:numFmt w:val="lowerLetter"/>
      <w:lvlText w:val="%8."/>
      <w:lvlJc w:val="left"/>
      <w:pPr>
        <w:ind w:left="5495" w:hanging="360"/>
      </w:pPr>
    </w:lvl>
    <w:lvl w:ilvl="8" w:tplc="04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19" w15:restartNumberingAfterBreak="0">
    <w:nsid w:val="2B3E2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54492E"/>
    <w:multiLevelType w:val="hybridMultilevel"/>
    <w:tmpl w:val="ADE4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7334C7"/>
    <w:multiLevelType w:val="hybridMultilevel"/>
    <w:tmpl w:val="D2B4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F56CC"/>
    <w:multiLevelType w:val="hybridMultilevel"/>
    <w:tmpl w:val="EB4084CA"/>
    <w:lvl w:ilvl="0" w:tplc="556EB4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E4E34"/>
    <w:multiLevelType w:val="hybridMultilevel"/>
    <w:tmpl w:val="E29627D8"/>
    <w:lvl w:ilvl="0" w:tplc="77EE6BB2">
      <w:start w:val="3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37F76"/>
    <w:multiLevelType w:val="hybridMultilevel"/>
    <w:tmpl w:val="912476EE"/>
    <w:lvl w:ilvl="0" w:tplc="87E025E8">
      <w:numFmt w:val="bullet"/>
      <w:lvlText w:val="•"/>
      <w:lvlJc w:val="left"/>
      <w:pPr>
        <w:ind w:left="1080" w:hanging="72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20F1C"/>
    <w:multiLevelType w:val="multilevel"/>
    <w:tmpl w:val="CEA4E6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21F2FC3"/>
    <w:multiLevelType w:val="hybridMultilevel"/>
    <w:tmpl w:val="8758D67C"/>
    <w:lvl w:ilvl="0" w:tplc="EFB0DEDC">
      <w:start w:val="1"/>
      <w:numFmt w:val="bullet"/>
      <w:pStyle w:val="ACSRN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E78B0"/>
    <w:multiLevelType w:val="hybridMultilevel"/>
    <w:tmpl w:val="C5E806F4"/>
    <w:lvl w:ilvl="0" w:tplc="87E025E8">
      <w:numFmt w:val="bullet"/>
      <w:lvlText w:val="•"/>
      <w:lvlJc w:val="left"/>
      <w:pPr>
        <w:ind w:left="1080" w:hanging="72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C460B"/>
    <w:multiLevelType w:val="hybridMultilevel"/>
    <w:tmpl w:val="C8E473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130C8A"/>
    <w:multiLevelType w:val="hybridMultilevel"/>
    <w:tmpl w:val="91C47D18"/>
    <w:lvl w:ilvl="0" w:tplc="87E025E8">
      <w:numFmt w:val="bullet"/>
      <w:lvlText w:val="•"/>
      <w:lvlJc w:val="left"/>
      <w:pPr>
        <w:ind w:left="1080" w:hanging="72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66D2C"/>
    <w:multiLevelType w:val="hybridMultilevel"/>
    <w:tmpl w:val="EB4C7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D39C6"/>
    <w:multiLevelType w:val="multilevel"/>
    <w:tmpl w:val="DC121CE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i w:val="0"/>
      </w:rPr>
    </w:lvl>
  </w:abstractNum>
  <w:abstractNum w:abstractNumId="32" w15:restartNumberingAfterBreak="0">
    <w:nsid w:val="79CF4690"/>
    <w:multiLevelType w:val="hybridMultilevel"/>
    <w:tmpl w:val="69A2C5D6"/>
    <w:lvl w:ilvl="0" w:tplc="77EE6BB2">
      <w:start w:val="3"/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635447"/>
    <w:multiLevelType w:val="multilevel"/>
    <w:tmpl w:val="C98A5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i w:val="0"/>
      </w:rPr>
    </w:lvl>
  </w:abstractNum>
  <w:abstractNum w:abstractNumId="34" w15:restartNumberingAfterBreak="0">
    <w:nsid w:val="7C6C0A86"/>
    <w:multiLevelType w:val="multilevel"/>
    <w:tmpl w:val="BF1AD5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E4A41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23"/>
  </w:num>
  <w:num w:numId="14">
    <w:abstractNumId w:val="32"/>
  </w:num>
  <w:num w:numId="15">
    <w:abstractNumId w:val="26"/>
  </w:num>
  <w:num w:numId="16">
    <w:abstractNumId w:val="12"/>
  </w:num>
  <w:num w:numId="17">
    <w:abstractNumId w:val="24"/>
  </w:num>
  <w:num w:numId="18">
    <w:abstractNumId w:val="27"/>
  </w:num>
  <w:num w:numId="19">
    <w:abstractNumId w:val="29"/>
  </w:num>
  <w:num w:numId="20">
    <w:abstractNumId w:val="13"/>
  </w:num>
  <w:num w:numId="21">
    <w:abstractNumId w:val="10"/>
  </w:num>
  <w:num w:numId="22">
    <w:abstractNumId w:val="30"/>
  </w:num>
  <w:num w:numId="23">
    <w:abstractNumId w:val="18"/>
  </w:num>
  <w:num w:numId="24">
    <w:abstractNumId w:val="17"/>
  </w:num>
  <w:num w:numId="25">
    <w:abstractNumId w:val="19"/>
  </w:num>
  <w:num w:numId="26">
    <w:abstractNumId w:val="20"/>
  </w:num>
  <w:num w:numId="27">
    <w:abstractNumId w:val="35"/>
  </w:num>
  <w:num w:numId="28">
    <w:abstractNumId w:val="22"/>
  </w:num>
  <w:num w:numId="29">
    <w:abstractNumId w:val="28"/>
  </w:num>
  <w:num w:numId="30">
    <w:abstractNumId w:val="14"/>
  </w:num>
  <w:num w:numId="31">
    <w:abstractNumId w:val="33"/>
  </w:num>
  <w:num w:numId="32">
    <w:abstractNumId w:val="31"/>
  </w:num>
  <w:num w:numId="33">
    <w:abstractNumId w:val="25"/>
  </w:num>
  <w:num w:numId="34">
    <w:abstractNumId w:val="34"/>
  </w:num>
  <w:num w:numId="35">
    <w:abstractNumId w:val="15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19"/>
    <w:rsid w:val="00070626"/>
    <w:rsid w:val="000B6870"/>
    <w:rsid w:val="00111C4C"/>
    <w:rsid w:val="001574C3"/>
    <w:rsid w:val="001D3D10"/>
    <w:rsid w:val="00223F28"/>
    <w:rsid w:val="0024661D"/>
    <w:rsid w:val="002642B2"/>
    <w:rsid w:val="00291493"/>
    <w:rsid w:val="002C6D46"/>
    <w:rsid w:val="00320BDB"/>
    <w:rsid w:val="003C4441"/>
    <w:rsid w:val="00461AD4"/>
    <w:rsid w:val="00495C4A"/>
    <w:rsid w:val="004F092C"/>
    <w:rsid w:val="0053575C"/>
    <w:rsid w:val="00553300"/>
    <w:rsid w:val="005C7219"/>
    <w:rsid w:val="005D214C"/>
    <w:rsid w:val="00600B82"/>
    <w:rsid w:val="006379CC"/>
    <w:rsid w:val="006A17C9"/>
    <w:rsid w:val="006B12C7"/>
    <w:rsid w:val="007C568B"/>
    <w:rsid w:val="007E7367"/>
    <w:rsid w:val="00831419"/>
    <w:rsid w:val="00864BE1"/>
    <w:rsid w:val="008A35EF"/>
    <w:rsid w:val="0096763E"/>
    <w:rsid w:val="00977504"/>
    <w:rsid w:val="009A4F33"/>
    <w:rsid w:val="00A60AE7"/>
    <w:rsid w:val="00AB29E0"/>
    <w:rsid w:val="00AE38C5"/>
    <w:rsid w:val="00B43243"/>
    <w:rsid w:val="00B676AA"/>
    <w:rsid w:val="00B97325"/>
    <w:rsid w:val="00D87518"/>
    <w:rsid w:val="00E85E2B"/>
    <w:rsid w:val="00ED3B3B"/>
    <w:rsid w:val="00EF6231"/>
    <w:rsid w:val="00FB53D6"/>
    <w:rsid w:val="00FE2BF4"/>
    <w:rsid w:val="00FE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DDDAC6"/>
  <w15:chartTrackingRefBased/>
  <w15:docId w15:val="{6410318A-BDA8-7944-BC95-48B226D3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19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219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219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21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21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7219"/>
    <w:rPr>
      <w:rFonts w:asciiTheme="majorHAnsi" w:eastAsiaTheme="majorEastAsia" w:hAnsiTheme="majorHAnsi" w:cstheme="majorBidi"/>
      <w:b/>
      <w:bCs/>
      <w:color w:val="4472C4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C7219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Title">
    <w:name w:val="Title"/>
    <w:basedOn w:val="Heading1"/>
    <w:next w:val="Normal"/>
    <w:link w:val="TitleChar"/>
    <w:uiPriority w:val="10"/>
    <w:qFormat/>
    <w:rsid w:val="005C7219"/>
    <w:rPr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5C7219"/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219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C7219"/>
    <w:rPr>
      <w:color w:val="0563C1" w:themeColor="hyperlink"/>
      <w:u w:val="single"/>
    </w:rPr>
  </w:style>
  <w:style w:type="paragraph" w:customStyle="1" w:styleId="ACS-Normal">
    <w:name w:val="ACS-Normal"/>
    <w:basedOn w:val="Normal"/>
    <w:qFormat/>
    <w:rsid w:val="005C7219"/>
    <w:pPr>
      <w:spacing w:after="120" w:line="240" w:lineRule="auto"/>
    </w:pPr>
    <w:rPr>
      <w:rFonts w:eastAsia="MS Mincho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C7219"/>
    <w:pPr>
      <w:spacing w:before="120" w:after="360" w:line="240" w:lineRule="auto"/>
      <w:ind w:left="720" w:right="720"/>
      <w:contextualSpacing/>
    </w:pPr>
    <w:rPr>
      <w:rFonts w:ascii="Cambria" w:eastAsia="MS Mincho" w:hAnsi="Cambria" w:cs="Times New Roman"/>
      <w:b/>
      <w:bCs/>
      <w:color w:val="000000" w:themeColor="text1"/>
      <w:szCs w:val="18"/>
    </w:rPr>
  </w:style>
  <w:style w:type="paragraph" w:customStyle="1" w:styleId="ACSRNFigure">
    <w:name w:val="ACS RN Figure"/>
    <w:basedOn w:val="Normal"/>
    <w:qFormat/>
    <w:rsid w:val="005C7219"/>
    <w:pPr>
      <w:keepNext/>
      <w:spacing w:before="360" w:after="0" w:line="240" w:lineRule="auto"/>
      <w:jc w:val="center"/>
    </w:pPr>
    <w:rPr>
      <w:rFonts w:ascii="Cambria" w:eastAsia="MS Mincho" w:hAnsi="Cambria" w:cs="Times New Roman"/>
      <w:noProof/>
      <w:sz w:val="24"/>
      <w:szCs w:val="24"/>
    </w:rPr>
  </w:style>
  <w:style w:type="paragraph" w:styleId="ListParagraph">
    <w:name w:val="List Paragraph"/>
    <w:basedOn w:val="Normal"/>
    <w:uiPriority w:val="62"/>
    <w:rsid w:val="005C7219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</w:rPr>
  </w:style>
  <w:style w:type="paragraph" w:customStyle="1" w:styleId="ACSRNTitle">
    <w:name w:val="ACS RN Title"/>
    <w:basedOn w:val="Normal"/>
    <w:qFormat/>
    <w:rsid w:val="005C7219"/>
    <w:pPr>
      <w:keepNext/>
      <w:keepLines/>
      <w:spacing w:before="120" w:line="240" w:lineRule="auto"/>
      <w:outlineLvl w:val="0"/>
    </w:pPr>
    <w:rPr>
      <w:rFonts w:ascii="Calibri" w:eastAsia="MS Gothic" w:hAnsi="Calibri" w:cs="Times New Roman"/>
      <w:b/>
      <w:bCs/>
      <w:color w:val="365F91"/>
      <w:sz w:val="44"/>
      <w:szCs w:val="28"/>
    </w:rPr>
  </w:style>
  <w:style w:type="paragraph" w:customStyle="1" w:styleId="ACSRNHeading1">
    <w:name w:val="ACS RN Heading 1"/>
    <w:basedOn w:val="Normal"/>
    <w:qFormat/>
    <w:rsid w:val="005C7219"/>
    <w:pPr>
      <w:keepNext/>
      <w:keepLines/>
      <w:spacing w:before="360" w:after="120" w:line="240" w:lineRule="auto"/>
      <w:outlineLvl w:val="0"/>
    </w:pPr>
    <w:rPr>
      <w:rFonts w:ascii="Calibri" w:eastAsia="MS Gothic" w:hAnsi="Calibri" w:cs="Times New Roman"/>
      <w:b/>
      <w:bCs/>
      <w:color w:val="365F91"/>
      <w:sz w:val="32"/>
      <w:szCs w:val="28"/>
    </w:rPr>
  </w:style>
  <w:style w:type="paragraph" w:customStyle="1" w:styleId="ACSRNHeading2">
    <w:name w:val="ACS RN Heading 2"/>
    <w:basedOn w:val="Normal"/>
    <w:qFormat/>
    <w:rsid w:val="005C7219"/>
    <w:pPr>
      <w:keepNext/>
      <w:keepLines/>
      <w:spacing w:before="240" w:after="120" w:line="240" w:lineRule="auto"/>
      <w:outlineLvl w:val="1"/>
    </w:pPr>
    <w:rPr>
      <w:rFonts w:ascii="Calibri" w:eastAsia="MS Gothic" w:hAnsi="Calibri" w:cs="Times New Roman"/>
      <w:b/>
      <w:bCs/>
      <w:color w:val="000000"/>
      <w:sz w:val="28"/>
      <w:szCs w:val="26"/>
    </w:rPr>
  </w:style>
  <w:style w:type="paragraph" w:customStyle="1" w:styleId="ACSRNCaption">
    <w:name w:val="ACS RN Caption"/>
    <w:basedOn w:val="Caption"/>
    <w:qFormat/>
    <w:rsid w:val="005C7219"/>
  </w:style>
  <w:style w:type="paragraph" w:customStyle="1" w:styleId="ACSRNListParagraph">
    <w:name w:val="ACS RN List Paragraph"/>
    <w:basedOn w:val="ACS-Normal"/>
    <w:qFormat/>
    <w:rsid w:val="005C7219"/>
    <w:pPr>
      <w:numPr>
        <w:numId w:val="15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rsid w:val="005C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219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219"/>
    <w:rPr>
      <w:sz w:val="22"/>
      <w:szCs w:val="22"/>
      <w:lang w:val="en-US"/>
    </w:rPr>
  </w:style>
  <w:style w:type="paragraph" w:customStyle="1" w:styleId="ACSRNFooter">
    <w:name w:val="ACS RN Footer"/>
    <w:basedOn w:val="Footer"/>
    <w:qFormat/>
    <w:rsid w:val="005C721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C7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7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721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219"/>
    <w:rPr>
      <w:b/>
      <w:bCs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C721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C7219"/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5C7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C7219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C7219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7219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7219"/>
    <w:rPr>
      <w:rFonts w:ascii="Calibri" w:hAnsi="Calibri" w:cs="Consolas"/>
      <w:sz w:val="22"/>
      <w:szCs w:val="21"/>
      <w:lang w:val="en-US"/>
    </w:rPr>
  </w:style>
  <w:style w:type="paragraph" w:customStyle="1" w:styleId="1">
    <w:name w:val="リスト段落1"/>
    <w:basedOn w:val="Normal"/>
    <w:rsid w:val="005C7219"/>
    <w:pPr>
      <w:widowControl w:val="0"/>
      <w:spacing w:after="0" w:line="240" w:lineRule="auto"/>
      <w:ind w:leftChars="400" w:left="960"/>
      <w:jc w:val="both"/>
    </w:pPr>
    <w:rPr>
      <w:rFonts w:ascii="Century" w:eastAsia="MS ??" w:hAnsi="Century" w:cs="Times New Roman"/>
      <w:kern w:val="2"/>
      <w:sz w:val="24"/>
      <w:szCs w:val="24"/>
      <w:lang w:eastAsia="ja-JP"/>
    </w:rPr>
  </w:style>
  <w:style w:type="paragraph" w:styleId="EndnoteText">
    <w:name w:val="endnote text"/>
    <w:basedOn w:val="Normal"/>
    <w:link w:val="EndnoteTextChar"/>
    <w:uiPriority w:val="99"/>
    <w:unhideWhenUsed/>
    <w:rsid w:val="005C7219"/>
    <w:pPr>
      <w:spacing w:after="0" w:line="240" w:lineRule="auto"/>
    </w:pPr>
    <w:rPr>
      <w:sz w:val="20"/>
      <w:szCs w:val="20"/>
      <w:lang w:val="it-IT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C7219"/>
    <w:rPr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1636</Words>
  <Characters>9329</Characters>
  <Application>Microsoft Office Word</Application>
  <DocSecurity>0</DocSecurity>
  <Lines>77</Lines>
  <Paragraphs>21</Paragraphs>
  <ScaleCrop>false</ScaleCrop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Pietropaolo</dc:creator>
  <cp:keywords/>
  <dc:description/>
  <cp:lastModifiedBy>Adriana Pietropaolo</cp:lastModifiedBy>
  <cp:revision>43</cp:revision>
  <dcterms:created xsi:type="dcterms:W3CDTF">2020-04-17T16:25:00Z</dcterms:created>
  <dcterms:modified xsi:type="dcterms:W3CDTF">2020-04-20T16:08:00Z</dcterms:modified>
</cp:coreProperties>
</file>