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UI-IMG-002G</w:t>
      </w:r>
    </w:p>
    <w:p>
      <w:pPr>
        <w:pStyle w:val="Subtitle"/>
      </w:pPr>
      <w:r>
        <w:t>SCR-002 Album Editor — Animasi &amp; Keyframe Manual | Visual review v1.0</w:t>
      </w:r>
    </w:p>
    <w:p>
      <w:r>
        <w:t>Asal: gambar yang sudah ada dari percakapan ini. Ini adalah ADDENDUM referensi untuk satu keadaan editor, bukan perubahan pada 29-state frozen pack dan bukan bukti implementasi.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4"/>
        <w:gridCol w:w="7484"/>
      </w:tblGrid>
      <w:tr>
        <w:tc>
          <w:tcPr>
            <w:tcW w:type="dxa" w:w="7484"/>
            <w:vAlign w:val="center"/>
          </w:tcPr>
          <w:p>
            <w:r>
              <w:t>Status review</w:t>
            </w:r>
          </w:p>
        </w:tc>
        <w:tc>
          <w:tcPr>
            <w:tcW w:type="dxa" w:w="7484"/>
            <w:vAlign w:val="center"/>
          </w:tcPr>
          <w:p>
            <w:r>
              <w:t>Keputusan</w:t>
            </w:r>
          </w:p>
        </w:tc>
      </w:tr>
      <w:tr>
        <w:tc>
          <w:tcPr>
            <w:tcW w:type="dxa" w:w="7484"/>
            <w:vAlign w:val="center"/>
          </w:tcPr>
          <w:p>
            <w:r>
              <w:t>Susunan kiri/tengah/kanan/bawah</w:t>
            </w:r>
          </w:p>
        </w:tc>
        <w:tc>
          <w:tcPr>
            <w:tcW w:type="dxa" w:w="7484"/>
            <w:vAlign w:val="center"/>
          </w:tcPr>
          <w:p>
            <w:r>
              <w:t>PASS — sesuai struktur W11-07</w:t>
            </w:r>
          </w:p>
        </w:tc>
      </w:tr>
      <w:tr>
        <w:tc>
          <w:tcPr>
            <w:tcW w:type="dxa" w:w="7484"/>
            <w:vAlign w:val="center"/>
          </w:tcPr>
          <w:p>
            <w:r>
              <w:t>Animasi masuk/keluar/loop/keyframe</w:t>
            </w:r>
          </w:p>
        </w:tc>
        <w:tc>
          <w:tcPr>
            <w:tcW w:type="dxa" w:w="7484"/>
            <w:vAlign w:val="center"/>
          </w:tcPr>
          <w:p>
            <w:r>
              <w:t>PASS — semua kontrol inti terlihat</w:t>
            </w:r>
          </w:p>
        </w:tc>
      </w:tr>
      <w:tr>
        <w:tc>
          <w:tcPr>
            <w:tcW w:type="dxa" w:w="7484"/>
            <w:vAlign w:val="center"/>
          </w:tcPr>
          <w:p>
            <w:r>
              <w:t>Konsistensi UI frozen</w:t>
            </w:r>
          </w:p>
        </w:tc>
        <w:tc>
          <w:tcPr>
            <w:tcW w:type="dxa" w:w="7484"/>
            <w:vAlign w:val="center"/>
          </w:tcPr>
          <w:p>
            <w:r>
              <w:t>PASS struktural, belum disertifikasi pixel-for-pixel</w:t>
            </w:r>
          </w:p>
        </w:tc>
      </w:tr>
      <w:tr>
        <w:tc>
          <w:tcPr>
            <w:tcW w:type="dxa" w:w="7484"/>
            <w:vAlign w:val="center"/>
          </w:tcPr>
          <w:p>
            <w:r>
              <w:t>Resolusi gambar sumber</w:t>
            </w:r>
          </w:p>
        </w:tc>
        <w:tc>
          <w:tcPr>
            <w:tcW w:type="dxa" w:w="7484"/>
            <w:vAlign w:val="center"/>
          </w:tcPr>
          <w:p>
            <w:r>
              <w:t>1586 × 992 px; TARGET 1600 × 1000 px — selisih 14 × 8 px</w:t>
            </w:r>
          </w:p>
        </w:tc>
      </w:tr>
      <w:tr>
        <w:tc>
          <w:tcPr>
            <w:tcW w:type="dxa" w:w="7484"/>
            <w:vAlign w:val="center"/>
          </w:tcPr>
          <w:p>
            <w:r>
              <w:t>Review akhir</w:t>
            </w:r>
          </w:p>
        </w:tc>
        <w:tc>
          <w:tcPr>
            <w:tcW w:type="dxa" w:w="7484"/>
            <w:vAlign w:val="center"/>
          </w:tcPr>
          <w:p>
            <w:r>
              <w:t>REVIEWED WITH RASTER TOLERANCE; final gate harus dicatat oleh pemilik/implementer</w:t>
            </w:r>
          </w:p>
        </w:tc>
      </w:tr>
    </w:tbl>
    <w:p/>
    <w:p>
      <w:r>
        <w:br w:type="page"/>
      </w:r>
    </w:p>
    <w:p>
      <w:pPr>
        <w:pStyle w:val="Heading1"/>
      </w:pPr>
      <w:r>
        <w:t>Gambar kandidat UI-IMG-002G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16000" cy="57643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rn_indonesian_album_editor_interf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16000" cy="5764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Gambar ditanam apa adanya, tanpa crop, resize file, atau modifikasi visual. Word hanya melakukan penskalaan tampilan pada halaman. Metadata sumber: 1586×992 px / RGB. SHA-256 2e82582bce81f8d0f5ad344d71968731f4f9593e90b5dea39dd0864b421eb073.</w:t>
      </w:r>
    </w:p>
    <w:p>
      <w:pPr>
        <w:pStyle w:val="Heading1"/>
      </w:pPr>
      <w:r>
        <w:t>Checklist visual &amp; batas desain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484"/>
        <w:gridCol w:w="7484"/>
      </w:tblGrid>
      <w:tr>
        <w:tc>
          <w:tcPr>
            <w:tcW w:type="dxa" w:w="7484"/>
            <w:vAlign w:val="center"/>
          </w:tcPr>
          <w:p>
            <w:r>
              <w:t>Kode</w:t>
            </w:r>
          </w:p>
        </w:tc>
        <w:tc>
          <w:tcPr>
            <w:tcW w:type="dxa" w:w="7484"/>
            <w:vAlign w:val="center"/>
          </w:tcPr>
          <w:p>
            <w:r>
              <w:t>Temuan / kebijakan</w:t>
            </w:r>
          </w:p>
        </w:tc>
      </w:tr>
      <w:tr>
        <w:tc>
          <w:tcPr>
            <w:tcW w:type="dxa" w:w="7484"/>
            <w:vAlign w:val="center"/>
          </w:tcPr>
          <w:p>
            <w:r>
              <w:t>A</w:t>
            </w:r>
          </w:p>
        </w:tc>
        <w:tc>
          <w:tcPr>
            <w:tcW w:type="dxa" w:w="7484"/>
            <w:vAlign w:val="center"/>
          </w:tcPr>
          <w:p>
            <w:r>
              <w:t>UI satu layar penuh; sumber 1586×992 bukan tepat 1600×1000</w:t>
            </w:r>
          </w:p>
        </w:tc>
      </w:tr>
      <w:tr>
        <w:tc>
          <w:tcPr>
            <w:tcW w:type="dxa" w:w="7484"/>
            <w:vAlign w:val="center"/>
          </w:tcPr>
          <w:p>
            <w:r>
              <w:t>B</w:t>
            </w:r>
          </w:p>
        </w:tc>
        <w:tc>
          <w:tcPr>
            <w:tcW w:type="dxa" w:w="7484"/>
            <w:vAlign w:val="center"/>
          </w:tcPr>
          <w:p>
            <w:r>
              <w:t>Inspector kiri; Preview tengah 16:9; Gemini permanen kanan; Album Timeline bawah</w:t>
            </w:r>
          </w:p>
        </w:tc>
      </w:tr>
      <w:tr>
        <w:tc>
          <w:tcPr>
            <w:tcW w:type="dxa" w:w="7484"/>
            <w:vAlign w:val="center"/>
          </w:tcPr>
          <w:p>
            <w:r>
              <w:t>C</w:t>
            </w:r>
          </w:p>
        </w:tc>
        <w:tc>
          <w:tcPr>
            <w:tcW w:type="dxa" w:w="7484"/>
            <w:vAlign w:val="center"/>
          </w:tcPr>
          <w:p>
            <w:r>
              <w:t>Zoom In 0,8 dtk; Fade Out 0,6 dtk; Slow Zoom aktif; dua keyframe Opasitas t=0 dan 2,5</w:t>
            </w:r>
          </w:p>
        </w:tc>
      </w:tr>
      <w:tr>
        <w:tc>
          <w:tcPr>
            <w:tcW w:type="dxa" w:w="7484"/>
            <w:vAlign w:val="center"/>
          </w:tcPr>
          <w:p>
            <w:r>
              <w:t>D</w:t>
            </w:r>
          </w:p>
        </w:tc>
        <w:tc>
          <w:tcPr>
            <w:tcW w:type="dxa" w:w="7484"/>
            <w:vAlign w:val="center"/>
          </w:tcPr>
          <w:p>
            <w:r>
              <w:t>Bahasa Indonesia dan tema putih-biru sesuai arah referensi</w:t>
            </w:r>
          </w:p>
        </w:tc>
      </w:tr>
      <w:tr>
        <w:tc>
          <w:tcPr>
            <w:tcW w:type="dxa" w:w="7484"/>
            <w:vAlign w:val="center"/>
          </w:tcPr>
          <w:p>
            <w:r>
              <w:t>E</w:t>
            </w:r>
          </w:p>
        </w:tc>
        <w:tc>
          <w:tcPr>
            <w:tcW w:type="dxa" w:w="7484"/>
            <w:vAlign w:val="center"/>
          </w:tcPr>
          <w:p>
            <w:r>
              <w:t>Tidak ada tab/DAW lane atau panel Gemini pengganti</w:t>
            </w:r>
          </w:p>
        </w:tc>
      </w:tr>
      <w:tr>
        <w:tc>
          <w:tcPr>
            <w:tcW w:type="dxa" w:w="7484"/>
            <w:vAlign w:val="center"/>
          </w:tcPr>
          <w:p>
            <w:r>
              <w:t>F</w:t>
            </w:r>
          </w:p>
        </w:tc>
        <w:tc>
          <w:tcPr>
            <w:tcW w:type="dxa" w:w="7484"/>
            <w:vAlign w:val="center"/>
          </w:tcPr>
          <w:p>
            <w:r>
              <w:t>Mockup tidak membuktikan tombol/animasi/audio benar-benar berfungsi</w:t>
            </w:r>
          </w:p>
        </w:tc>
      </w:tr>
    </w:tbl>
    <w:p/>
    <w:p>
      <w:pPr>
        <w:pStyle w:val="Heading1"/>
      </w:pPr>
      <w:r>
        <w:t>Kontrak perilaku yang wajib diikuti</w:t>
      </w:r>
    </w:p>
    <w:p>
      <w:pPr>
        <w:pStyle w:val="ListBullet"/>
      </w:pPr>
      <w:r>
        <w:t>Semua perubahan animasi/keyframe memakai CommandEngine, satu Undo/Redo; seleksi &amp; preview sesaat tetap UiSession.</w:t>
      </w:r>
    </w:p>
    <w:p>
      <w:pPr>
        <w:pStyle w:val="ListBullet"/>
      </w:pPr>
      <w:r>
        <w:t>Pertahankan toolbar dan rail yang sudah ada. UI-IMG-002D tetap referensi resmi untuk keadaan boundary/transisi.</w:t>
      </w:r>
    </w:p>
    <w:p>
      <w:pPr>
        <w:pStyle w:val="ListBullet"/>
      </w:pPr>
      <w:r>
        <w:t>Angka demo 24/100 API key, metadata dan ilustrasi semata materi mockup, tidak boleh ditafsirkan sebagai akun/fitur tersambung.</w:t>
      </w:r>
    </w:p>
    <w:p>
      <w:pPr>
        <w:pStyle w:val="ListBullet"/>
      </w:pPr>
      <w:r>
        <w:t>Perbedaan lebar/tinggi sumber boleh dipakai sebagai rujukan proporsi jika ada toleransi owner; jangan klaim ukuran tepat 1600×1000.</w:t>
      </w:r>
    </w:p>
    <w:p>
      <w:pPr>
        <w:pStyle w:val="ListBullet"/>
      </w:pPr>
      <w:r>
        <w:t>Source PNG serta DOCX addendum ini WAJIB menjadi berkas nyata pada GitHub sebelum W11-07 coding dimulai.</w:t>
      </w:r>
    </w:p>
    <w:p>
      <w:pPr>
        <w:pStyle w:val="Heading1"/>
      </w:pPr>
      <w:r>
        <w:t>Gate dan lokasi target GitHub</w:t>
      </w:r>
    </w:p>
    <w:p>
      <w:r>
        <w:t>Lokasi PNG: docs/source-of-truth/ui/07_W11_07_UI_IMG_002G.png</w:t>
      </w:r>
    </w:p>
    <w:p>
      <w:r>
        <w:t>Lokasi DOCX: docs/source-of-truth/ui/07_STEP_04_W11_07_UI_REFERENCE_UI_IMG_002G_v1_0_REVIEW.docx</w:t>
      </w:r>
    </w:p>
    <w:p>
      <w:r>
        <w:t>Status: PRE-GATE — perlu verifikasi file GitHub dan pencatatan keputusan review; jangan memulai coding bila file belum masuk repository.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964" w:right="935" w:bottom="879" w:left="935" w:header="397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Handoff SOL  •  10 Okt 2026  •  PRE-GATE  •  Tidak untuk klaim fitur selesai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05BB8"/>
      </w:rPr>
      <w:t>LAGU FULL ALBUM  /  SOFTWARE FACTORY  /  W11-07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72B4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5BB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5BB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5BB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5BB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