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/>
        <w:jc w:val="center"/>
      </w:pPr>
      <w:r>
        <w:rPr>
          <w:rFonts w:ascii="Aptos Display" w:hAnsi="Aptos Display"/>
          <w:b/>
          <w:sz w:val="40"/>
        </w:rPr>
        <w:t>V2 AI VIDEO COMPOSER</w:t>
        <w:br/>
        <w:t>STEP 02</w:t>
      </w:r>
    </w:p>
    <w:p>
      <w:pPr>
        <w:spacing w:after="0" w:line="240" w:lineRule="auto"/>
        <w:jc w:val="center"/>
      </w:pPr>
      <w:r>
        <w:rPr>
          <w:b/>
          <w:sz w:val="28"/>
        </w:rPr>
        <w:t>Mature Foundation and Component Research</w:t>
      </w:r>
    </w:p>
    <w:p>
      <w:pPr>
        <w:spacing w:after="0" w:line="240" w:lineRule="auto"/>
        <w:jc w:val="center"/>
      </w:pPr>
      <w:r>
        <w:rPr>
          <w:b/>
          <w:sz w:val="18"/>
        </w:rPr>
        <w:t>PLANNING ONLY - NO APPLICATION CODE IMPLEMENTATION IN THIS STEP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pPr>
              <w:spacing w:after="0"/>
            </w:pPr>
            <w:r>
              <w:rPr>
                <w:b/>
              </w:rPr>
              <w:t>Project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t>V2-AI-Video-Composer</w:t>
            </w:r>
          </w:p>
        </w:tc>
      </w:tr>
      <w:tr>
        <w:tc>
          <w:tcPr>
            <w:tcW w:type="dxa" w:w="5227"/>
            <w:shd w:fill="D9EAF7"/>
          </w:tcPr>
          <w:p>
            <w:pPr>
              <w:spacing w:after="0"/>
            </w:pPr>
            <w:r>
              <w:rPr>
                <w:b/>
              </w:rPr>
              <w:t>Legacy source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t>AI-Automatic-Video-Composer (read-only reference)</w:t>
            </w:r>
          </w:p>
        </w:tc>
      </w:tr>
      <w:tr>
        <w:tc>
          <w:tcPr>
            <w:tcW w:type="dxa" w:w="5227"/>
            <w:shd w:fill="D9EAF7"/>
          </w:tcPr>
          <w:p>
            <w:pPr>
              <w:spacing w:after="0"/>
            </w:pPr>
            <w:r>
              <w:rPr>
                <w:b/>
              </w:rPr>
              <w:t>Status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t>PLANNING / source-of-truth</w:t>
            </w:r>
          </w:p>
        </w:tc>
      </w:tr>
      <w:tr>
        <w:tc>
          <w:tcPr>
            <w:tcW w:type="dxa" w:w="5227"/>
            <w:shd w:fill="D9EAF7"/>
          </w:tcPr>
          <w:p>
            <w:pPr>
              <w:spacing w:after="0"/>
            </w:pPr>
            <w:r>
              <w:rPr>
                <w:b/>
              </w:rPr>
              <w:t>Global rule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t>All development happens only in V2 repository</w:t>
            </w:r>
          </w:p>
        </w:tc>
      </w:tr>
    </w:tbl>
    <w:p>
      <w:pPr>
        <w:pStyle w:val="Heading1"/>
        <w:spacing w:before="120" w:after="40"/>
      </w:pPr>
      <w:r>
        <w:t>1. Tujuan STEP</w:t>
      </w:r>
    </w:p>
    <w:p>
      <w:pPr>
        <w:spacing w:after="0" w:line="240" w:lineRule="auto"/>
      </w:pPr>
      <w:r>
        <w:t>Select mature external components only where they measurably improve stability, capability, or maintainability without forcing a license or packaging regression.</w:t>
      </w:r>
    </w:p>
    <w:p>
      <w:pPr>
        <w:pStyle w:val="Heading1"/>
        <w:spacing w:before="120" w:after="40"/>
      </w:pPr>
      <w:r>
        <w:t>2. Fakta dan baseline yang digunakan</w:t>
      </w:r>
    </w:p>
    <w:p>
      <w:pPr>
        <w:pStyle w:val="ListBullet"/>
        <w:spacing w:after="0" w:line="240" w:lineRule="auto"/>
      </w:pPr>
      <w:r>
        <w:t>OpenShot/libopenshot latest inspected release: v1.0.1 (2026-09-27), LGPLv3; mature timeline/effects/media library with recent stability and FFmpeg-related work.</w:t>
      </w:r>
    </w:p>
    <w:p>
      <w:pPr>
        <w:pStyle w:val="ListBullet"/>
        <w:spacing w:after="0" w:line="240" w:lineRule="auto"/>
      </w:pPr>
      <w:r>
        <w:t>MLT latest inspected release: v7.42.0 (2026-10-03), LGPLv2.1; mature multitrack multimedia framework used by video editors.</w:t>
      </w:r>
    </w:p>
    <w:p>
      <w:pPr>
        <w:pStyle w:val="ListBullet"/>
        <w:spacing w:after="0" w:line="240" w:lineRule="auto"/>
      </w:pPr>
      <w:r>
        <w:t>PyAV latest inspected release: v19.0.1 (2026-10-03), BSD-style license; Pythonic FFmpeg binding with Windows wheels and Python 3.12 support.</w:t>
      </w:r>
    </w:p>
    <w:p>
      <w:pPr>
        <w:pStyle w:val="ListBullet"/>
        <w:spacing w:after="0" w:line="240" w:lineRule="auto"/>
      </w:pPr>
      <w:r>
        <w:t>OpenTimelineIO is Apache-2.0 and describes itself as a mature editorial interchange framework; useful for timeline data/interchange, not a render engine.</w:t>
      </w:r>
    </w:p>
    <w:p>
      <w:pPr>
        <w:pStyle w:val="ListBullet"/>
        <w:spacing w:after="0" w:line="240" w:lineRule="auto"/>
      </w:pPr>
      <w:r>
        <w:t>OpenShot/openshot-qt is GPLv3; its application/UI source must not be copied into an MIT-style proprietary-compatible codebase without deliberately accepting GPL obligations.</w:t>
      </w:r>
    </w:p>
    <w:p>
      <w:pPr>
        <w:pStyle w:val="Heading1"/>
        <w:spacing w:before="120" w:after="40"/>
      </w:pPr>
      <w:r>
        <w:t>3. Keputusan planning</w:t>
      </w:r>
    </w:p>
    <w:p>
      <w:pPr>
        <w:pStyle w:val="ListBullet"/>
        <w:spacing w:after="0" w:line="240" w:lineRule="auto"/>
      </w:pPr>
      <w:r>
        <w:t>Keep FFmpeg CLI as the proven baseline/fallback render path during V2 migration.</w:t>
      </w:r>
    </w:p>
    <w:p>
      <w:pPr>
        <w:pStyle w:val="ListBullet"/>
        <w:spacing w:after="0" w:line="240" w:lineRule="auto"/>
      </w:pPr>
      <w:r>
        <w:t>Do not copy openshot-qt application code or UI code.</w:t>
      </w:r>
    </w:p>
    <w:p>
      <w:pPr>
        <w:pStyle w:val="ListBullet"/>
        <w:spacing w:after="0" w:line="240" w:lineRule="auto"/>
      </w:pPr>
      <w:r>
        <w:t>Evaluate libopenshot as an optional render/effects adapter via a contained spike, with legal/packaging review before distribution.</w:t>
      </w:r>
    </w:p>
    <w:p>
      <w:pPr>
        <w:pStyle w:val="ListBullet"/>
        <w:spacing w:after="0" w:line="240" w:lineRule="auto"/>
      </w:pPr>
      <w:r>
        <w:t>Evaluate MLT as a secondary alternative if libopenshot does not satisfy Windows packaging, deterministic output, or licensing requirements.</w:t>
      </w:r>
    </w:p>
    <w:p>
      <w:pPr>
        <w:pStyle w:val="ListBullet"/>
        <w:spacing w:after="0" w:line="240" w:lineRule="auto"/>
      </w:pPr>
      <w:r>
        <w:t>Evaluate PyAV for in-process probe/frame/metadata/preview tasks where CLI orchestration is cumbersome; do not assume it should replace FFmpeg CLI final rendering.</w:t>
      </w:r>
    </w:p>
    <w:p>
      <w:pPr>
        <w:pStyle w:val="ListBullet"/>
        <w:spacing w:after="0" w:line="240" w:lineRule="auto"/>
      </w:pPr>
      <w:r>
        <w:t>Use OpenTimelineIO only if V2's richer timeline/interchange requirements justify it; do not add it merely because it is mature.</w:t>
      </w:r>
    </w:p>
    <w:p>
      <w:pPr>
        <w:pStyle w:val="Heading1"/>
        <w:spacing w:before="120" w:after="40"/>
      </w:pPr>
      <w:r>
        <w:t>4. Pekerjaan rinci yang direncanakan</w:t>
      </w:r>
    </w:p>
    <w:p>
      <w:pPr>
        <w:pStyle w:val="ListNumber"/>
        <w:spacing w:after="0" w:line="240" w:lineRule="auto"/>
      </w:pPr>
      <w:r>
        <w:t>Create a decision matrix: stability, Windows support, Python integration, deterministic rendering, preview capability, effects, keyframes, multitrack, packaging weight, licensing, maintenance activity, testability.</w:t>
      </w:r>
    </w:p>
    <w:p>
      <w:pPr>
        <w:pStyle w:val="ListNumber"/>
        <w:spacing w:after="0" w:line="240" w:lineRule="auto"/>
      </w:pPr>
      <w:r>
        <w:t>Build isolated proof-of-concept spikes on V2 branches only; each spike must be removable without touching domain contracts.</w:t>
      </w:r>
    </w:p>
    <w:p>
      <w:pPr>
        <w:pStyle w:val="ListNumber"/>
        <w:spacing w:after="0" w:line="240" w:lineRule="auto"/>
      </w:pPr>
      <w:r>
        <w:t>Measure cold start, preview latency, 1080p render time, memory use, failure behavior, cancellation, and packaging size.</w:t>
      </w:r>
    </w:p>
    <w:p>
      <w:pPr>
        <w:pStyle w:val="ListNumber"/>
        <w:spacing w:after="0" w:line="240" w:lineRule="auto"/>
      </w:pPr>
      <w:r>
        <w:t>Review redistribution obligations for LGPL libraries and FFmpeg configurations before deciding final bundle policy.</w:t>
      </w:r>
    </w:p>
    <w:p>
      <w:pPr>
        <w:pStyle w:val="ListNumber"/>
        <w:spacing w:after="0" w:line="240" w:lineRule="auto"/>
      </w:pPr>
      <w:r>
        <w:t>Document reasons for rejection as well as acceptance, so later AI sessions do not repeatedly re-evaluate the same candidates.</w:t>
      </w:r>
    </w:p>
    <w:p>
      <w:pPr>
        <w:pStyle w:val="Heading1"/>
        <w:spacing w:before="120" w:after="40"/>
      </w:pPr>
      <w:r>
        <w:t>5. Gate PASS / FAIL</w:t>
      </w:r>
    </w:p>
    <w:p>
      <w:pPr>
        <w:pStyle w:val="ListBullet"/>
        <w:spacing w:after="0" w:line="240" w:lineRule="auto"/>
      </w:pPr>
      <w:r>
        <w:t>PASS when one primary media strategy and one fallback strategy are selected with evidence.</w:t>
      </w:r>
    </w:p>
    <w:p>
      <w:pPr>
        <w:pStyle w:val="ListBullet"/>
        <w:spacing w:after="0" w:line="240" w:lineRule="auto"/>
      </w:pPr>
      <w:r>
        <w:t>PASS when no GPL application code has been copied into V2.</w:t>
      </w:r>
    </w:p>
    <w:p>
      <w:pPr>
        <w:pStyle w:val="ListBullet"/>
        <w:spacing w:after="0" w:line="240" w:lineRule="auto"/>
      </w:pPr>
      <w:r>
        <w:t>PASS when packaging/license obligations are documented before dependency adoption.</w:t>
      </w:r>
    </w:p>
    <w:p>
      <w:pPr>
        <w:pStyle w:val="Heading1"/>
        <w:spacing w:before="120" w:after="40"/>
      </w:pPr>
      <w:r>
        <w:t>6. Deliverable STEP</w:t>
      </w:r>
    </w:p>
    <w:p>
      <w:pPr>
        <w:pStyle w:val="ListBullet"/>
        <w:spacing w:after="0" w:line="240" w:lineRule="auto"/>
      </w:pPr>
      <w:r>
        <w:t>Mature component scorecard</w:t>
      </w:r>
    </w:p>
    <w:p>
      <w:pPr>
        <w:pStyle w:val="ListBullet"/>
        <w:spacing w:after="0" w:line="240" w:lineRule="auto"/>
      </w:pPr>
      <w:r>
        <w:t>Spike specification</w:t>
      </w:r>
    </w:p>
    <w:p>
      <w:pPr>
        <w:pStyle w:val="ListBullet"/>
        <w:spacing w:after="0" w:line="240" w:lineRule="auto"/>
      </w:pPr>
      <w:r>
        <w:t>License/packaging decision record</w:t>
      </w:r>
    </w:p>
    <w:p>
      <w:pPr>
        <w:pStyle w:val="ListBullet"/>
        <w:spacing w:after="0" w:line="240" w:lineRule="auto"/>
      </w:pPr>
      <w:r>
        <w:t>Selected backend strategy</w:t>
      </w:r>
    </w:p>
    <w:p>
      <w:pPr>
        <w:pStyle w:val="Heading1"/>
        <w:spacing w:before="120" w:after="40"/>
      </w:pPr>
      <w:r>
        <w:t>7. Risiko utama dan mitigasi</w:t>
      </w:r>
    </w:p>
    <w:p>
      <w:pPr>
        <w:pStyle w:val="ListBullet"/>
        <w:spacing w:after="0" w:line="240" w:lineRule="auto"/>
      </w:pPr>
      <w:r>
        <w:t xml:space="preserve">License contamination. </w:t>
      </w:r>
      <w:r>
        <w:rPr>
          <w:i/>
        </w:rPr>
        <w:t>Mitigasi: wajib melalui adapter/gate, regression test, commit kecil, dan rollback point yang terdokumentasi.</w:t>
      </w:r>
    </w:p>
    <w:p>
      <w:pPr>
        <w:pStyle w:val="ListBullet"/>
        <w:spacing w:after="0" w:line="240" w:lineRule="auto"/>
      </w:pPr>
      <w:r>
        <w:t xml:space="preserve">Native DLL packaging failures. </w:t>
      </w:r>
      <w:r>
        <w:rPr>
          <w:i/>
        </w:rPr>
        <w:t>Mitigasi: wajib melalui adapter/gate, regression test, commit kecil, dan rollback point yang terdokumentasi.</w:t>
      </w:r>
    </w:p>
    <w:p>
      <w:pPr>
        <w:pStyle w:val="ListBullet"/>
        <w:spacing w:after="0" w:line="240" w:lineRule="auto"/>
      </w:pPr>
      <w:r>
        <w:t xml:space="preserve">Larger portable distribution. </w:t>
      </w:r>
      <w:r>
        <w:rPr>
          <w:i/>
        </w:rPr>
        <w:t>Mitigasi: wajib melalui adapter/gate, regression test, commit kecil, dan rollback point yang terdokumentasi.</w:t>
      </w:r>
    </w:p>
    <w:p>
      <w:pPr>
        <w:pStyle w:val="ListBullet"/>
        <w:spacing w:after="0" w:line="240" w:lineRule="auto"/>
      </w:pPr>
      <w:r>
        <w:t xml:space="preserve">Replacing deterministic CLI behavior with opaque library behavior. </w:t>
      </w:r>
      <w:r>
        <w:rPr>
          <w:i/>
        </w:rPr>
        <w:t>Mitigasi: wajib melalui adapter/gate, regression test, commit kecil, dan rollback point yang terdokumentasi.</w:t>
      </w:r>
    </w:p>
    <w:p>
      <w:pPr>
        <w:pStyle w:val="Heading1"/>
        <w:spacing w:before="120" w:after="40"/>
      </w:pPr>
      <w:r>
        <w:t>8. Aturan handoff ke AI berikutnya</w:t>
      </w:r>
    </w:p>
    <w:p>
      <w:pPr>
        <w:pStyle w:val="ListBullet"/>
        <w:spacing w:after="0" w:line="240" w:lineRule="auto"/>
      </w:pPr>
      <w:r>
        <w:t>Baca dokumen STEP 02 ini sebelum mengerjakan area terkait.</w:t>
      </w:r>
    </w:p>
    <w:p>
      <w:pPr>
        <w:pStyle w:val="ListBullet"/>
        <w:spacing w:after="0" w:line="240" w:lineRule="auto"/>
      </w:pPr>
      <w:r>
        <w:t>Baca seluruh planning sebelumnya yang menjadi dependency keputusan STEP ini.</w:t>
      </w:r>
    </w:p>
    <w:p>
      <w:pPr>
        <w:pStyle w:val="ListBullet"/>
        <w:spacing w:after="0" w:line="240" w:lineRule="auto"/>
      </w:pPr>
      <w:r>
        <w:t>Jangan menulis ke repo AI-Automatic-Video-Composer; repo tersebut hanya referensi read-only.</w:t>
      </w:r>
    </w:p>
    <w:p>
      <w:pPr>
        <w:pStyle w:val="ListBullet"/>
        <w:spacing w:after="0" w:line="240" w:lineRule="auto"/>
      </w:pPr>
      <w:r>
        <w:t>Sebelum coding, pastikan CODING GATE pada STEP 13 telah dinyatakan PASS oleh pengguna/proses proyek.</w:t>
      </w:r>
    </w:p>
    <w:p>
      <w:pPr>
        <w:pStyle w:val="ListBullet"/>
        <w:spacing w:after="0" w:line="240" w:lineRule="auto"/>
      </w:pPr>
      <w:r>
        <w:t>Setelah implementasi dimulai nanti, laporkan perubahan, bukti test, status gate, risiko tersisa, dan next exact action.</w:t>
      </w:r>
    </w:p>
    <w:p>
      <w:pPr>
        <w:pStyle w:val="Heading1"/>
        <w:spacing w:before="120" w:after="40"/>
      </w:pPr>
      <w:r>
        <w:t>9. Definition of Done untuk planning STEP ini</w:t>
      </w:r>
    </w:p>
    <w:p>
      <w:pPr>
        <w:spacing w:after="0" w:line="240" w:lineRule="auto"/>
      </w:pPr>
      <w:r>
        <w:t>Planning dianggap selesai ketika keputusan, ruang lingkup, gate, risiko, dan deliverable pada dokumen ini cukup spesifik sehingga AI lain dapat melanjutkan tanpa mengulang diskusi dasar atau menebak tujuan teknis.</w:t>
      </w:r>
    </w:p>
    <w:sectPr w:rsidR="00FC693F" w:rsidRPr="0006063C" w:rsidSect="00034616">
      <w:footerReference w:type="default" r:id="rId9"/>
      <w:pgSz w:w="12240" w:h="15840"/>
      <w:pgMar w:top="720" w:right="893" w:bottom="720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V2 AI Video Composer | STEP 02 | Planning Source of Truth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