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V2 AI VIDEO COMPOSER</w:t>
        <w:br/>
        <w:t>STEP 03</w:t>
      </w:r>
    </w:p>
    <w:p>
      <w:pPr>
        <w:jc w:val="center"/>
      </w:pPr>
      <w:r>
        <w:rPr>
          <w:b/>
          <w:sz w:val="28"/>
        </w:rPr>
        <w:t>Target Architecture and Compatibility Boundary</w:t>
      </w:r>
    </w:p>
    <w:p>
      <w:pPr>
        <w:jc w:val="center"/>
      </w:pPr>
      <w:r>
        <w:rPr>
          <w:b/>
          <w:sz w:val="18"/>
        </w:rPr>
        <w:t>PLANNING ONLY - NO APPLICATION CODE IMPLEMENTATION IN THIS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227"/>
          </w:tcPr>
          <w:p>
            <w:r>
              <w:t>V2-AI-Video-Composer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Legacy source</w:t>
            </w:r>
          </w:p>
        </w:tc>
        <w:tc>
          <w:tcPr>
            <w:tcW w:type="dxa" w:w="5227"/>
          </w:tcPr>
          <w:p>
            <w:r>
              <w:t>AI-Automatic-Video-Composer (read-only reference)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227"/>
          </w:tcPr>
          <w:p>
            <w:r>
              <w:t>PLANNING / source-of-truth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Global rule</w:t>
            </w:r>
          </w:p>
        </w:tc>
        <w:tc>
          <w:tcPr>
            <w:tcW w:type="dxa" w:w="5227"/>
          </w:tcPr>
          <w:p>
            <w:r>
              <w:t>All development happens only in V2 repository</w:t>
            </w:r>
          </w:p>
        </w:tc>
      </w:tr>
    </w:tbl>
    <w:p>
      <w:pPr>
        <w:pStyle w:val="Heading1"/>
      </w:pPr>
      <w:r>
        <w:t>1. Tujuan STEP</w:t>
      </w:r>
    </w:p>
    <w:p>
      <w:r>
        <w:t>Evolve the existing modular monolith into a V2 architecture that can host multiple media backends while keeping domain and UI stable.</w:t>
      </w:r>
    </w:p>
    <w:p>
      <w:pPr>
        <w:pStyle w:val="Heading1"/>
      </w:pPr>
      <w:r>
        <w:t>2. Fakta dan baseline yang digunakan</w:t>
      </w:r>
    </w:p>
    <w:p>
      <w:pPr>
        <w:pStyle w:val="ListBullet"/>
      </w:pPr>
      <w:r>
        <w:t>Existing architecture already separates presentation, application, domain, and infrastructure.</w:t>
      </w:r>
    </w:p>
    <w:p>
      <w:pPr>
        <w:pStyle w:val="ListBullet"/>
      </w:pPr>
      <w:r>
        <w:t>Current RenderPlan concept is backend-neutral in design, while final compilation is FFmpeg-specific.</w:t>
      </w:r>
    </w:p>
    <w:p>
      <w:pPr>
        <w:pStyle w:val="ListBullet"/>
      </w:pPr>
      <w:r>
        <w:t>JobManager already provides a basic cooperative background execution boundary.</w:t>
      </w:r>
    </w:p>
    <w:p>
      <w:pPr>
        <w:pStyle w:val="Heading1"/>
      </w:pPr>
      <w:r>
        <w:t>3. Keputusan planning</w:t>
      </w:r>
    </w:p>
    <w:p>
      <w:pPr>
        <w:pStyle w:val="ListBullet"/>
      </w:pPr>
      <w:r>
        <w:t>Retain modular-monolith deployment for V2; do not introduce microservices or Electron solely for novelty.</w:t>
      </w:r>
    </w:p>
    <w:p>
      <w:pPr>
        <w:pStyle w:val="ListBullet"/>
      </w:pPr>
      <w:r>
        <w:t>Introduce explicit MediaBackend/RenderBackend capabilities instead of backend-specific conditionals spread across UI/application code.</w:t>
      </w:r>
    </w:p>
    <w:p>
      <w:pPr>
        <w:pStyle w:val="ListBullet"/>
      </w:pPr>
      <w:r>
        <w:t>Keep domain models free of Qt, subprocess, HTTP, external library objects, and provider SDK types.</w:t>
      </w:r>
    </w:p>
    <w:p>
      <w:pPr>
        <w:pStyle w:val="ListBullet"/>
      </w:pPr>
      <w:r>
        <w:t>Use capability negotiation so UI only exposes effects/features the selected backend can actually preview and render.</w:t>
      </w:r>
    </w:p>
    <w:p>
      <w:pPr>
        <w:pStyle w:val="Heading1"/>
      </w:pPr>
      <w:r>
        <w:t>4. Pekerjaan rinci yang direncanakan</w:t>
      </w:r>
    </w:p>
    <w:p>
      <w:pPr>
        <w:pStyle w:val="ListNumber"/>
      </w:pPr>
      <w:r>
        <w:t>Define ports for ProbeService, PreviewFrameSource, RenderBackend, EffectCompiler, AudioPipeline, SubtitlePipeline, TimelineAdapter, and ToolCapabilityService.</w:t>
      </w:r>
    </w:p>
    <w:p>
      <w:pPr>
        <w:pStyle w:val="ListNumber"/>
      </w:pPr>
      <w:r>
        <w:t>Define immutable backend-neutral render and preview contracts with versioned capability descriptors.</w:t>
      </w:r>
    </w:p>
    <w:p>
      <w:pPr>
        <w:pStyle w:val="ListNumber"/>
      </w:pPr>
      <w:r>
        <w:t>Define adapter boundaries for FFmpeg CLI, optional libopenshot/MLT/PyAV, Qt-native preview, and provider integrations.</w:t>
      </w:r>
    </w:p>
    <w:p>
      <w:pPr>
        <w:pStyle w:val="ListNumber"/>
      </w:pPr>
      <w:r>
        <w:t>Define composition-root wiring and dependency injection conventions.</w:t>
      </w:r>
    </w:p>
    <w:p>
      <w:pPr>
        <w:pStyle w:val="ListNumber"/>
      </w:pPr>
      <w:r>
        <w:t>Define error taxonomy: user input error, media capability error, dependency/tool error, transient provider error, render failure, cancellation, internal invariant violation.</w:t>
      </w:r>
    </w:p>
    <w:p>
      <w:pPr>
        <w:pStyle w:val="ListNumber"/>
      </w:pPr>
      <w:r>
        <w:t>Define observability: structured diagnostics, job lifecycle events, render command summaries without secret leakage.</w:t>
      </w:r>
    </w:p>
    <w:p>
      <w:pPr>
        <w:pStyle w:val="Heading1"/>
      </w:pPr>
      <w:r>
        <w:t>5. Gate PASS / FAIL</w:t>
      </w:r>
    </w:p>
    <w:p>
      <w:pPr>
        <w:pStyle w:val="ListBullet"/>
      </w:pPr>
      <w:r>
        <w:t>PASS when the UI can conceptually switch backend capabilities without importing backend libraries.</w:t>
      </w:r>
    </w:p>
    <w:p>
      <w:pPr>
        <w:pStyle w:val="ListBullet"/>
      </w:pPr>
      <w:r>
        <w:t>PASS when final-render determinism and project persistence are independent of a specific optional backend.</w:t>
      </w:r>
    </w:p>
    <w:p>
      <w:pPr>
        <w:pStyle w:val="ListBullet"/>
      </w:pPr>
      <w:r>
        <w:t>PASS when every new dependency has a single adapter ownership point.</w:t>
      </w:r>
    </w:p>
    <w:p>
      <w:pPr>
        <w:pStyle w:val="Heading1"/>
      </w:pPr>
      <w:r>
        <w:t>6. Deliverable STEP</w:t>
      </w:r>
    </w:p>
    <w:p>
      <w:pPr>
        <w:pStyle w:val="ListBullet"/>
      </w:pPr>
      <w:r>
        <w:t>V2 architecture diagram</w:t>
      </w:r>
    </w:p>
    <w:p>
      <w:pPr>
        <w:pStyle w:val="ListBullet"/>
      </w:pPr>
      <w:r>
        <w:t>Port/interface specification</w:t>
      </w:r>
    </w:p>
    <w:p>
      <w:pPr>
        <w:pStyle w:val="ListBullet"/>
      </w:pPr>
      <w:r>
        <w:t>Error model</w:t>
      </w:r>
    </w:p>
    <w:p>
      <w:pPr>
        <w:pStyle w:val="ListBullet"/>
      </w:pPr>
      <w:r>
        <w:t>Capability model</w:t>
      </w:r>
    </w:p>
    <w:p>
      <w:pPr>
        <w:pStyle w:val="ListBullet"/>
      </w:pPr>
      <w:r>
        <w:t>Dependency rules</w:t>
      </w:r>
    </w:p>
    <w:p>
      <w:pPr>
        <w:pStyle w:val="Heading1"/>
      </w:pPr>
      <w:r>
        <w:t>7. Risiko utama dan mitigasi</w:t>
      </w:r>
    </w:p>
    <w:p>
      <w:pPr>
        <w:pStyle w:val="ListBullet"/>
      </w:pPr>
      <w:r>
        <w:t xml:space="preserve">Over-abstraction.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Duplicate preview/render implementations.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Capability drift.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Adapter leaking external types into domain.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Heading1"/>
      </w:pPr>
      <w:r>
        <w:t>8. Aturan handoff ke AI berikutnya</w:t>
      </w:r>
    </w:p>
    <w:p>
      <w:pPr>
        <w:pStyle w:val="ListBullet"/>
      </w:pPr>
      <w:r>
        <w:t>Baca dokumen STEP 03 ini sebelum mengerjakan area terkait.</w:t>
      </w:r>
    </w:p>
    <w:p>
      <w:pPr>
        <w:pStyle w:val="ListBullet"/>
      </w:pPr>
      <w:r>
        <w:t>Baca seluruh planning sebelumnya yang menjadi dependency keputusan STEP ini.</w:t>
      </w:r>
    </w:p>
    <w:p>
      <w:pPr>
        <w:pStyle w:val="ListBullet"/>
      </w:pPr>
      <w:r>
        <w:t>Jangan menulis ke repo AI-Automatic-Video-Composer; repo tersebut hanya referensi read-only.</w:t>
      </w:r>
    </w:p>
    <w:p>
      <w:pPr>
        <w:pStyle w:val="ListBullet"/>
      </w:pPr>
      <w:r>
        <w:t>Sebelum coding, pastikan CODING GATE pada STEP 13 telah dinyatakan PASS oleh pengguna/proses proyek.</w:t>
      </w:r>
    </w:p>
    <w:p>
      <w:pPr>
        <w:pStyle w:val="ListBullet"/>
      </w:pPr>
      <w:r>
        <w:t>Setelah implementasi dimulai nanti, laporkan perubahan, bukti test, status gate, risiko tersisa, dan next exact action.</w:t>
      </w:r>
    </w:p>
    <w:p>
      <w:pPr>
        <w:pStyle w:val="Heading1"/>
      </w:pPr>
      <w:r>
        <w:t>9. Definition of Done untuk planning STEP ini</w:t>
      </w:r>
    </w:p>
    <w:p>
      <w:r>
        <w:t>Planning dianggap selesai ketika keputusan, ruang lingkup, gate, risiko, dan deliverable pada dokumen ini cukup spesifik sehingga AI lain dapat melanjutkan tanpa mengulang diskusi dasar atau menebak tujuan teknis.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V2 AI Video Composer | STEP 03 | Planning Source of Truth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