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V2 AI VIDEO COMPOSER</w:t>
        <w:br/>
        <w:t>STEP 07</w:t>
      </w:r>
    </w:p>
    <w:p>
      <w:pPr>
        <w:jc w:val="center"/>
      </w:pPr>
      <w:r>
        <w:rPr>
          <w:b/>
          <w:sz w:val="28"/>
        </w:rPr>
        <w:t>AI Automation, Provider, and Job Orchestration Plan</w:t>
      </w:r>
    </w:p>
    <w:p>
      <w:pPr>
        <w:jc w:val="center"/>
      </w:pPr>
      <w:r>
        <w:rPr>
          <w:b/>
          <w:sz w:val="18"/>
        </w:rPr>
        <w:t>PLANNING ONLY - NO APPLICATION CODE IMPLEMENTATION IN THIS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227"/>
          </w:tcPr>
          <w:p>
            <w:r>
              <w:t>V2-AI-Video-Composer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Legacy source</w:t>
            </w:r>
          </w:p>
        </w:tc>
        <w:tc>
          <w:tcPr>
            <w:tcW w:type="dxa" w:w="5227"/>
          </w:tcPr>
          <w:p>
            <w:r>
              <w:t>AI-Automatic-Video-Composer (read-only reference)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227"/>
          </w:tcPr>
          <w:p>
            <w:r>
              <w:t>PLANNING / source-of-truth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Global rule</w:t>
            </w:r>
          </w:p>
        </w:tc>
        <w:tc>
          <w:tcPr>
            <w:tcW w:type="dxa" w:w="5227"/>
          </w:tcPr>
          <w:p>
            <w:r>
              <w:t>All development happens only in V2 repository</w:t>
            </w:r>
          </w:p>
        </w:tc>
      </w:tr>
    </w:tbl>
    <w:p>
      <w:pPr>
        <w:pStyle w:val="Heading1"/>
      </w:pPr>
      <w:r>
        <w:t>1. Tujuan STEP</w:t>
      </w:r>
    </w:p>
    <w:p>
      <w:r>
        <w:t>Make AI assistance more reliable and human-friendly while keeping it bounded by deterministic editing/render rules.</w:t>
      </w:r>
    </w:p>
    <w:p>
      <w:pPr>
        <w:pStyle w:val="Heading1"/>
      </w:pPr>
      <w:r>
        <w:t>2. Fakta dan baseline yang digunakan</w:t>
      </w:r>
    </w:p>
    <w:p>
      <w:pPr>
        <w:pStyle w:val="ListBullet"/>
      </w:pPr>
      <w:r>
        <w:t>Current system already supports Gemini credentials in Windows Credential Manager, key slots 1-100, bounded Gemini Auto, background execution, and stale-result rejection.</w:t>
      </w:r>
    </w:p>
    <w:p>
      <w:pPr>
        <w:pStyle w:val="ListBullet"/>
      </w:pPr>
      <w:r>
        <w:t>Raw keys are intentionally excluded from ProjectState, logs, and status diagnostics.</w:t>
      </w:r>
    </w:p>
    <w:p>
      <w:pPr>
        <w:pStyle w:val="Heading1"/>
      </w:pPr>
      <w:r>
        <w:t>3. Keputusan planning</w:t>
      </w:r>
    </w:p>
    <w:p>
      <w:pPr>
        <w:pStyle w:val="ListBullet"/>
      </w:pPr>
      <w:r>
        <w:t>AI remains an assistant that proposes/executes approved application commands; it must not bypass domain validation.</w:t>
      </w:r>
    </w:p>
    <w:p>
      <w:pPr>
        <w:pStyle w:val="ListBullet"/>
      </w:pPr>
      <w:r>
        <w:t>Keep Gemini as the primary provider unless a later approved plan expands providers.</w:t>
      </w:r>
    </w:p>
    <w:p>
      <w:pPr>
        <w:pStyle w:val="ListBullet"/>
      </w:pPr>
      <w:r>
        <w:t>Provider failures must never corrupt the project or block manual editing.</w:t>
      </w:r>
    </w:p>
    <w:p>
      <w:pPr>
        <w:pStyle w:val="ListBullet"/>
      </w:pPr>
      <w:r>
        <w:t>Agent text should be natural-language Indonesian for the user-facing assistant while machine contracts remain structured.</w:t>
      </w:r>
    </w:p>
    <w:p>
      <w:pPr>
        <w:pStyle w:val="Heading1"/>
      </w:pPr>
      <w:r>
        <w:t>4. Pekerjaan rinci yang direncanakan</w:t>
      </w:r>
    </w:p>
    <w:p>
      <w:pPr>
        <w:pStyle w:val="ListNumber"/>
      </w:pPr>
      <w:r>
        <w:t>Define AI tool/command schema for scene analysis, animation assignment, validation, repair suggestions, and batch edits.</w:t>
      </w:r>
    </w:p>
    <w:p>
      <w:pPr>
        <w:pStyle w:val="ListNumber"/>
      </w:pPr>
      <w:r>
        <w:t>Introduce job classes with progress, cancellation, timeout, retry classification, and stale-result guards.</w:t>
      </w:r>
    </w:p>
    <w:p>
      <w:pPr>
        <w:pStyle w:val="ListNumber"/>
      </w:pPr>
      <w:r>
        <w:t>Design API-key pool health state: available, cooldown, quota/rate-limited, invalid, disabled; never expose secrets.</w:t>
      </w:r>
    </w:p>
    <w:p>
      <w:pPr>
        <w:pStyle w:val="ListNumber"/>
      </w:pPr>
      <w:r>
        <w:t>Define deterministic post-AI validation so AI cannot assign unsupported effects or invalid scene targets.</w:t>
      </w:r>
    </w:p>
    <w:p>
      <w:pPr>
        <w:pStyle w:val="ListNumber"/>
      </w:pPr>
      <w:r>
        <w:t>Plan conversation context boundaries and user confirmation rules for destructive/bulk actions.</w:t>
      </w:r>
    </w:p>
    <w:p>
      <w:pPr>
        <w:pStyle w:val="ListNumber"/>
      </w:pPr>
      <w:r>
        <w:t>Add offline/manual fallback paths for every core workflow.</w:t>
      </w:r>
    </w:p>
    <w:p>
      <w:pPr>
        <w:pStyle w:val="Heading1"/>
      </w:pPr>
      <w:r>
        <w:t>5. Gate PASS / FAIL</w:t>
      </w:r>
    </w:p>
    <w:p>
      <w:pPr>
        <w:pStyle w:val="ListBullet"/>
      </w:pPr>
      <w:r>
        <w:t>PASS when AI output is always validated through application/domain commands.</w:t>
      </w:r>
    </w:p>
    <w:p>
      <w:pPr>
        <w:pStyle w:val="ListBullet"/>
      </w:pPr>
      <w:r>
        <w:t>PASS when provider failure leaves project state unchanged or safely recoverable.</w:t>
      </w:r>
    </w:p>
    <w:p>
      <w:pPr>
        <w:pStyle w:val="ListBullet"/>
      </w:pPr>
      <w:r>
        <w:t>PASS when key rotation/status diagnostics reveal no secret values.</w:t>
      </w:r>
    </w:p>
    <w:p>
      <w:pPr>
        <w:pStyle w:val="ListBullet"/>
      </w:pPr>
      <w:r>
        <w:t>PASS when long AI work is cancellable and does not freeze UI.</w:t>
      </w:r>
    </w:p>
    <w:p>
      <w:pPr>
        <w:pStyle w:val="Heading1"/>
      </w:pPr>
      <w:r>
        <w:t>6. Deliverable STEP</w:t>
      </w:r>
    </w:p>
    <w:p>
      <w:pPr>
        <w:pStyle w:val="ListBullet"/>
      </w:pPr>
      <w:r>
        <w:t>AI command contract</w:t>
      </w:r>
    </w:p>
    <w:p>
      <w:pPr>
        <w:pStyle w:val="ListBullet"/>
      </w:pPr>
      <w:r>
        <w:t>Key-pool state machine</w:t>
      </w:r>
    </w:p>
    <w:p>
      <w:pPr>
        <w:pStyle w:val="ListBullet"/>
      </w:pPr>
      <w:r>
        <w:t>Job orchestration rules</w:t>
      </w:r>
    </w:p>
    <w:p>
      <w:pPr>
        <w:pStyle w:val="ListBullet"/>
      </w:pPr>
      <w:r>
        <w:t>Failure/retry matrix</w:t>
      </w:r>
    </w:p>
    <w:p>
      <w:pPr>
        <w:pStyle w:val="ListBullet"/>
      </w:pPr>
      <w:r>
        <w:t>Agent UX specification</w:t>
      </w:r>
    </w:p>
    <w:p>
      <w:pPr>
        <w:pStyle w:val="Heading1"/>
      </w:pPr>
      <w:r>
        <w:t>7. Risiko utama dan mitigasi</w:t>
      </w:r>
    </w:p>
    <w:p>
      <w:pPr>
        <w:pStyle w:val="ListBullet"/>
      </w:pPr>
      <w:r>
        <w:t xml:space="preserve">Quota storms.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Duplicate/stale mutations.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Secret leakage.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Natural-language ambiguity.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UI lockups.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Heading1"/>
      </w:pPr>
      <w:r>
        <w:t>8. Aturan handoff ke AI berikutnya</w:t>
      </w:r>
    </w:p>
    <w:p>
      <w:pPr>
        <w:pStyle w:val="ListBullet"/>
      </w:pPr>
      <w:r>
        <w:t>Baca dokumen STEP 07 ini sebelum mengerjakan area terkait.</w:t>
      </w:r>
    </w:p>
    <w:p>
      <w:pPr>
        <w:pStyle w:val="ListBullet"/>
      </w:pPr>
      <w:r>
        <w:t>Baca seluruh planning sebelumnya yang menjadi dependency keputusan STEP ini.</w:t>
      </w:r>
    </w:p>
    <w:p>
      <w:pPr>
        <w:pStyle w:val="ListBullet"/>
      </w:pPr>
      <w:r>
        <w:t>Jangan menulis ke repo AI-Automatic-Video-Composer; repo tersebut hanya referensi read-only.</w:t>
      </w:r>
    </w:p>
    <w:p>
      <w:pPr>
        <w:pStyle w:val="ListBullet"/>
      </w:pPr>
      <w:r>
        <w:t>Sebelum coding, pastikan CODING GATE pada STEP 13 telah dinyatakan PASS oleh pengguna/proses proyek.</w:t>
      </w:r>
    </w:p>
    <w:p>
      <w:pPr>
        <w:pStyle w:val="ListBullet"/>
      </w:pPr>
      <w:r>
        <w:t>Setelah implementasi dimulai nanti, laporkan perubahan, bukti test, status gate, risiko tersisa, dan next exact action.</w:t>
      </w:r>
    </w:p>
    <w:p>
      <w:pPr>
        <w:pStyle w:val="Heading1"/>
      </w:pPr>
      <w:r>
        <w:t>9. Definition of Done untuk planning STEP ini</w:t>
      </w:r>
    </w:p>
    <w:p>
      <w:r>
        <w:t>Planning dianggap selesai ketika keputusan, ruang lingkup, gate, risiko, dan deliverable pada dokumen ini cukup spesifik sehingga AI lain dapat melanjutkan tanpa mengulang diskusi dasar atau menebak tujuan teknis.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V2 AI Video Composer | STEP 07 | Planning Source of Truth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