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AI Video Composer - Master Planning Index</w:t>
      </w:r>
    </w:p>
    <w:p>
      <w:r>
        <w:t>Dokumen ini adalah indeks source-of-truth untuk seluruh planning sebelum implementasi besar. Repo lama AI-Automatic-Video-Composer adalah read-only. Seluruh perubahan V2 hanya boleh terjadi di V2-AI-Video-Composer.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Dokumen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Fokus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Gate utama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Baseline Copy, Preservation, and Migration Verification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Establish an immutable V2 starting point copied exactly from the original repository, while defining the rule that the original repository is read-only for the rest of the project.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only when V2 baseline root tree matches the original source root tree.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Legacy Repository Forensic Audit and V2 Scope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Understand what is already mature, what is fragile, and what should be preserved so V2 improves stability instead of re-implementing working features.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every major subsystem has an explicit KEEP/HARDEN/REPLACE/SPIKE/RETIRE decision.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Mature Foundation and Component Research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Select mature external components only where they measurably improve stability, capability, or maintainability without forcing a license or packaging regression.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one primary media strategy and one fallback strategy are selected with evidence.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Target Architecture and Compatibility Boundary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Evolve the existing modular monolith into a V2 architecture that can host multiple media backends while keeping domain and UI stable.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the UI can conceptually switch backend capabilities without importing backend libraries.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04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Media and Render Core Stability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Make V2 rendering more resilient, observable, cancellable, and backend-flexible while retaining the proven FFmpeg path.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failed renders cannot destroy a previous valid output.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Animation and Motion Engine V2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Upgrade animation quality from a small render-backed subset toward a coherent keyframe/easing/effect system with preview/final parity.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every production effect has explicit preview + render support.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06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Timeline, Editing, and Feature Upgrade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Mature editing behavior without discarding the current workflow or turning V2 into an uncontrolled full NLE rewrite.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current workflows remain reachable with equal or fewer steps.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07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AI Automation, Provider, and Job Orchestration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Make AI assistance more reliable and human-friendly while keeping it bounded by deterministic editing/render rules.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AI output is always validated through application/domain commands.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08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Project Data, Persistence, Recovery, and Migration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Ensure V2 can evolve its data model without losing projects or weakening the current strong persistence safeguards.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all existing valid project fixtures open successfully in V2.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09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UI/UX Parity and Professional Evolution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Keep the established white/blue professional UI and current feature placement recognizable while improving clarity, responsiveness, and mature editing feedback.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current workflows remain recognizable and all major commands are mapped.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Performance, Cache, Preview, and Resource Management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Improve responsiveness for large projects without introducing unsafe caching or memory leaks.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V2 has baseline benchmark numbers before optimization.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Testing, QA, Security, and Regression Strategy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Turn the old app's existing quality gates into stricter V2 acceptance gates that cover multiple backends, migration, UI, and Windows runtime behavior.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legacy regression suite remains green after each implementation wave.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Windows Build, Packaging, Release, and Final Build Plan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Produce a reproducible Windows 11 portable build with predictable native dependencies, verification, checksums, and rollback.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PASS when clean Windows portable smoke succeeds without developer environment assumptions.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Implementation Sequence, Gates, Rollback, and AI Handoff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Convert all approved planning into a safe implementation order so another AI can continue without re-planning, skipping gates, or editing the wrong repository.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8"/>
              </w:rPr>
              <w:t>CODING GATE: all planning DOCX and planning index are present in V2 repo and reviewed.</w:t>
            </w:r>
          </w:p>
        </w:tc>
      </w:tr>
    </w:tbl>
    <w:p>
      <w:pPr>
        <w:pStyle w:val="Heading1"/>
      </w:pPr>
      <w:r>
        <w:t>Aturan eksekusi</w:t>
      </w:r>
    </w:p>
    <w:p>
      <w:pPr>
        <w:pStyle w:val="ListBullet"/>
      </w:pPr>
      <w:r>
        <w:t>Planning STEP 00-13 harus dibaca sebagai satu rangkaian keputusan yang saling bergantung.</w:t>
      </w:r>
    </w:p>
    <w:p>
      <w:pPr>
        <w:pStyle w:val="ListBullet"/>
      </w:pPr>
      <w:r>
        <w:t>Tidak ada refactor besar, dependency besar, migrasi schema, redesign UI, atau pergantian backend sebelum planning terkait disetujui dan CODING GATE STEP 13 PASS.</w:t>
      </w:r>
    </w:p>
    <w:p>
      <w:pPr>
        <w:pStyle w:val="ListBullet"/>
      </w:pPr>
      <w:r>
        <w:t>Eksperimen mature backend dilakukan hanya di V2 dan harus removable/rollbackable.</w:t>
      </w:r>
    </w:p>
    <w:p>
      <w:pPr>
        <w:pStyle w:val="ListBullet"/>
      </w:pPr>
      <w:r>
        <w:t>UI dan fitur saat ini adalah baseline kompatibilitas; mature repo digunakan untuk fondasi/engine/pola stabilitas, bukan untuk mengganti identitas aplikasi.</w:t>
      </w:r>
    </w:p>
    <w:p>
      <w:pPr>
        <w:pStyle w:val="ListBullet"/>
      </w:pPr>
      <w:r>
        <w:t>Final release hanya boleh dipromosikan setelah QA Windows portable dan gate release STEP 11-13 PASS.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