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Schutzmassnahmen</w:t>
      </w:r>
    </w:p>
    <w:p>
      <w:pPr>
        <w:pStyle w:val="Normal"/>
        <w:rPr/>
      </w:pPr>
      <w:r>
        <w:rPr/>
        <w:t xml:space="preserve">Gestützt auf Artikel 11 Absatz 1 des Gesetzes über den Natur- und Heimatschutz (kNHG; RB 10.5101) und Artikel 43 des Planungs- und Baugesetzes (PBG; RB 40.1111) oder Artikel 55 des Planungs- und Baugesetzes (PBG; RB 40.1111) werden während 30 Tagen die Schutzmassnahmen für das </w:t>
      </w:r>
      <w:r>
        <w:rPr/>
        <w:t>{{</w:t>
      </w:r>
      <w:r>
        <w:rPr/>
        <w:t xml:space="preserve"> </w:t>
      </w:r>
      <w:r>
        <w:rPr/>
        <w:t xml:space="preserve">BESCHREIBUNG_BAUVORHABEN }} </w:t>
      </w:r>
      <w:r>
        <w:rPr/>
        <w:t xml:space="preserve">in </w:t>
      </w:r>
      <w:bookmarkStart w:id="0" w:name="__DdeLink__32_2531545306"/>
      <w:r>
        <w:rPr/>
        <w:t xml:space="preserve">der Gemeinde </w:t>
      </w:r>
      <w:r>
        <w:rPr/>
        <w:t>{{ GEMEINDE }}</w:t>
      </w:r>
      <w:r>
        <w:rPr/>
        <w:t xml:space="preserve"> öffentlich aufgelegt: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Regierungsrat des Kantons Uri eingereicht werden. 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 xml:space="preserve">Altdorf, </w:t>
      </w:r>
      <w:r>
        <w:rPr/>
        <w:t>{{ HEUTE }}</w:t>
      </w:r>
      <w:r>
        <w:rPr/>
        <w:t xml:space="preserve"> </w:t>
      </w:r>
      <w:bookmarkEnd w:id="0"/>
      <w:r>
        <w:rPr/>
        <w:tab/>
        <w:t>Justizdirektion Uri, Daniel Furrer, Regierungsrat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34</TotalTime>
  <Application>LibreOffice/26.2.2.2$Linux_X86_64 LibreOffice_project/620$Build-2</Application>
  <AppVersion>15.0000</AppVersion>
  <Pages>1</Pages>
  <Words>104</Words>
  <Characters>756</Characters>
  <CharactersWithSpaces>854</CharactersWithSpaces>
  <Paragraphs>7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2026-04-27T16:35:03Z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