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>
          <w:rFonts w:ascii="Arial" w:hAnsi="Arial" w:eastAsia="Times New Roman" w:cs="Arial"/>
          <w:color w:val="00000A"/>
          <w:sz w:val="32"/>
          <w:szCs w:val="32"/>
          <w:u w:val="single"/>
          <w:lang w:val="de-DE" w:eastAsia="de-CH"/>
        </w:rPr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gemeindliche Planungszone</w:t>
      </w:r>
    </w:p>
    <w:p>
      <w:pPr>
        <w:pStyle w:val="Normal"/>
        <w:rPr/>
      </w:pPr>
      <w:r>
        <w:rPr/>
        <w:t xml:space="preserve">Gestützt auf Artikel 43 und Artikel 58 des Planungs- und Baugesetzes (PBG; RB 40.1111) wird während 30 Tagen der </w:t>
      </w:r>
      <w:r>
        <w:rPr/>
        <w:t>{{ BESCHREIBUNG_BAUVORHABEN }}</w:t>
      </w:r>
      <w:r>
        <w:rPr/>
        <w:t xml:space="preserve"> der Gemeinde </w:t>
      </w:r>
      <w:r>
        <w:rPr/>
        <w:t>{{ GEMEINDE }}</w:t>
      </w:r>
      <w:r>
        <w:rPr/>
        <w:t xml:space="preserve"> öffentlich aufgelegt. Die gemeindliche Planungszone und die Bau- und Nutzungsvorschriften dazu werden gemäss Artikel 59 Absatz 2 PBG rechtswirksam, sobald sie öffentlich aufgelegt sind: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jc w:val="start"/>
        <w:rPr/>
      </w:pPr>
      <w:r>
        <w:rPr/>
        <w:t>Planungsperimeter: {{ PARZELLE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Gemeinderat eingereicht werden. </w:t>
      </w:r>
    </w:p>
    <w:p>
      <w:pPr>
        <w:pStyle w:val="Normal"/>
        <w:spacing w:before="0" w:after="160"/>
        <w:rPr/>
      </w:pPr>
      <w:r>
        <w:rPr/>
        <w:t>{{ GEMEINDE }}, {{ HEUTE }}</w:t>
        <w:tab/>
        <w:t>Gemeinderat {{ GEMEINDE }}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74</TotalTime>
  <Application>LibreOffice/26.2.2.2$Linux_X86_64 LibreOffice_project/620$Build-2</Application>
  <AppVersion>15.0000</AppVersion>
  <Pages>1</Pages>
  <Words>103</Words>
  <Characters>762</Characters>
  <CharactersWithSpaces>858</CharactersWithSpaces>
  <Paragraphs>8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2026-04-27T16:26:08Z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