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overflowPunct w:val="false"/>
        <w:textAlignment w:val="baseline"/>
        <w:rPr/>
      </w:pPr>
      <w:r>
        <w:rPr>
          <w:rFonts w:eastAsia="Times New Roman" w:cs="Arial" w:ascii="Arial" w:hAnsi="Arial"/>
          <w:color w:val="00000A"/>
          <w:sz w:val="32"/>
          <w:szCs w:val="32"/>
          <w:u w:val="single"/>
          <w:lang w:val="de-DE" w:eastAsia="de-CH"/>
        </w:rPr>
        <w:t>Auflage kantonale Nutzungsplanung</w:t>
      </w:r>
    </w:p>
    <w:p>
      <w:pPr>
        <w:pStyle w:val="Normal"/>
        <w:rPr/>
      </w:pPr>
      <w:bookmarkStart w:id="0" w:name="__DdeLink__32_2531545306"/>
      <w:r>
        <w:rPr/>
        <w:t xml:space="preserve">Gestützt auf Artikel 12 und Artikel 43 des Planungs- und Baugesetzes (PBG; RB 40.1111) wird während 30 Tagen der kantonale Nutzungsplan für die Gemeinde </w:t>
      </w:r>
      <w:r>
        <w:rPr/>
        <w:t>{{ GEMEINDE }}</w:t>
      </w:r>
      <w:r>
        <w:rPr/>
        <w:t xml:space="preserve"> öffentlich aufgelegt: </w:t>
      </w:r>
    </w:p>
    <w:p>
      <w:pPr>
        <w:pStyle w:val="Normal"/>
        <w:rPr/>
      </w:pPr>
      <w:r>
        <w:rPr/>
        <w:t>Verbindliche Dokumente: {{ VERBINDLICHE_PUBLIKATIONSDOKUMENTE }}</w:t>
      </w:r>
    </w:p>
    <w:p>
      <w:pPr>
        <w:pStyle w:val="Normal"/>
        <w:rPr/>
      </w:pPr>
      <w:r>
        <w:rPr/>
        <w:t>Unverbindliche Dokumente: {{ UNVERBINDLICHE_PUBLIKATIONSDOKUMENTE }}</w:t>
      </w:r>
    </w:p>
    <w:p>
      <w:pPr>
        <w:pStyle w:val="Normal"/>
        <w:rPr/>
      </w:pPr>
      <w:r>
        <w:rPr/>
        <w:t>Die Auflage erfolgt ebenfalls im Kataster der öffentlich-rechtlichen Eigentumsbeschränkungen (oereb.ur.ch/auflage).</w:t>
      </w:r>
    </w:p>
    <w:p>
      <w:pPr>
        <w:pStyle w:val="Normal"/>
        <w:rPr/>
      </w:pPr>
      <w:r>
        <w:rPr/>
        <w:t xml:space="preserve">Innerhalb der Auflagefrist können schriftliche Einsprachen mit bestimmten Begehren und begründet beim Regierungsrat des Kantons Uri eingereicht werden. 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 xml:space="preserve">Altdorf, </w:t>
      </w:r>
      <w:r>
        <w:rPr/>
        <w:t>{{ HEUTE }}</w:t>
      </w:r>
      <w:bookmarkEnd w:id="0"/>
      <w:r>
        <w:rPr/>
        <w:tab/>
      </w:r>
      <w:r>
        <w:rPr/>
        <w:t>Justizdirektion Uri, Daniel Furrer, Regierungsrat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AA7EF604.dotm</Template>
  <TotalTime>28</TotalTime>
  <Application>LibreOffice/26.2.2.2$Linux_X86_64 LibreOffice_project/620$Build-2</Application>
  <AppVersion>15.0000</AppVersion>
  <Pages>1</Pages>
  <Words>79</Words>
  <Characters>618</Characters>
  <CharactersWithSpaces>692</CharactersWithSpaces>
  <Paragraphs>7</Paragraphs>
  <Company>Kantonale Verwaltung Uri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2019-08-28T11:02:00Z</dcterms:created>
  <dc:creator>Scheuber Pirmin</dc:creator>
  <dc:description/>
  <dc:language>en-US</dc:language>
  <cp:lastModifiedBy/>
  <dcterms:modified xsi:type="dcterms:W3CDTF">2026-04-27T16:28:09Z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