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uppressAutoHyphens w:val="true"/>
        <w:overflowPunct w:val="false"/>
        <w:textAlignment w:val="baseline"/>
        <w:rPr/>
      </w:pPr>
      <w:r>
        <w:rPr>
          <w:rFonts w:eastAsia="Times New Roman" w:cs="Arial" w:ascii="Arial" w:hAnsi="Arial"/>
          <w:color w:val="00000A"/>
          <w:sz w:val="32"/>
          <w:szCs w:val="32"/>
          <w:u w:val="single"/>
          <w:lang w:val="de-DE" w:eastAsia="de-CH"/>
        </w:rPr>
        <w:t>Auflage planerischer Gewässerschutz</w:t>
      </w:r>
    </w:p>
    <w:p>
      <w:pPr>
        <w:pStyle w:val="Normal"/>
        <w:suppressAutoHyphens w:val="true"/>
        <w:overflowPunct w:val="false"/>
        <w:textAlignment w:val="baseline"/>
        <w:rPr/>
      </w:pPr>
      <w:r>
        <w:rPr/>
      </w:r>
    </w:p>
    <w:p>
      <w:pPr>
        <w:pStyle w:val="Normal"/>
        <w:rPr/>
      </w:pPr>
      <w:bookmarkStart w:id="0" w:name="__DdeLink__32_2531545306"/>
      <w:r>
        <w:rPr/>
        <w:t xml:space="preserve">Gestützt auf Artikel 12 und Artikel 43 des Planungs- und Baugesetzes (PBG; RB 40.1111) wird während 30 Tagen der kantonale Planungszone für die Gemeinde </w:t>
      </w:r>
      <w:r>
        <w:rPr/>
        <w:t>{{ GEMEINDE }}</w:t>
      </w:r>
      <w:r>
        <w:rPr/>
        <w:t xml:space="preserve"> öffentlich aufgelegt. Die kantonale Planungszone und die Bau- und Nutzungsvorschriften dazu werden gemäss Artikel 59 Absatz 2 PBG rechtswirksam, sobald sie öffentlich aufgelegt sind: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libri" w:cs="" w:cstheme="minorBidi" w:eastAsiaTheme="minorHAnsi"/>
          <w:color w:val="auto"/>
          <w:kern w:val="0"/>
          <w:sz w:val="22"/>
          <w:szCs w:val="22"/>
          <w:lang w:val="de-CH" w:eastAsia="en-US" w:bidi="ar-SA"/>
        </w:rPr>
        <w:t xml:space="preserve">Der/Die Gesuchsteller/in </w:t>
      </w:r>
      <w:r>
        <w:rPr>
          <w:rFonts w:eastAsia="Calibri" w:cs="" w:cstheme="minorBidi" w:eastAsiaTheme="minorHAnsi"/>
          <w:color w:val="auto"/>
          <w:kern w:val="0"/>
          <w:sz w:val="22"/>
          <w:szCs w:val="22"/>
          <w:lang w:val="de-CH" w:eastAsia="en-US" w:bidi="ar-SA"/>
        </w:rPr>
        <w:t>{{ ALLE_GESUCHSTELLER }}</w:t>
      </w:r>
      <w:r>
        <w:rPr>
          <w:rFonts w:eastAsia="Calibri" w:cs="" w:cstheme="minorBidi" w:eastAsiaTheme="minorHAnsi"/>
          <w:color w:val="auto"/>
          <w:kern w:val="0"/>
          <w:sz w:val="22"/>
          <w:szCs w:val="22"/>
          <w:lang w:val="de-CH" w:eastAsia="en-US" w:bidi="ar-SA"/>
        </w:rPr>
        <w:t xml:space="preserve"> beantragt nach Artikel 20 des Bundesgesetzes über den Schutz der Gewässer vom 24. Januar 1991 (Gewässerschutzgesetz [GSchG]; SR 814.20) und Artikel 13/14 und 15 des kantonalen Umweltgesetzes vom 11. März 2007 (KUG; RB 40.7011) die Ausscheidung einer Grundwasserschutzzone in der Gemeinde </w:t>
      </w:r>
      <w:r>
        <w:rPr>
          <w:rFonts w:eastAsia="Calibri" w:cs="" w:cstheme="minorBidi" w:eastAsiaTheme="minorHAnsi"/>
          <w:color w:val="auto"/>
          <w:kern w:val="0"/>
          <w:sz w:val="22"/>
          <w:szCs w:val="22"/>
          <w:lang w:val="de-CH" w:eastAsia="en-US" w:bidi="ar-SA"/>
        </w:rPr>
        <w:t>{{ GEMEINDE }}</w:t>
      </w:r>
      <w:r>
        <w:rPr>
          <w:rFonts w:eastAsia="Calibri" w:cs="" w:cstheme="minorBidi" w:eastAsiaTheme="minorHAnsi"/>
          <w:color w:val="auto"/>
          <w:kern w:val="0"/>
          <w:sz w:val="22"/>
          <w:szCs w:val="22"/>
          <w:lang w:val="de-CH" w:eastAsia="en-US" w:bidi="ar-SA"/>
        </w:rPr>
        <w:t xml:space="preserve">. Nach Prüfung der Unterlagen legt der Regierungsrat die vorgesehenen Nutzungsbeschränkungen und Schutzmassnahmen zusammen mit dem dazugehörigen </w:t>
      </w:r>
      <w:r>
        <w:rPr/>
        <w:t xml:space="preserve">Schutzzonenplan während 30 Tagen öffentlich auf. Jede betroffene Person und Körperschaft hat das Recht, ab Publikationsdatum </w:t>
      </w:r>
      <w:r>
        <w:rPr/>
        <w:t>{{ PUBLIKATIONSDATUM }}</w:t>
      </w:r>
      <w:r>
        <w:rPr/>
        <w:t>:</w:t>
      </w:r>
    </w:p>
    <w:p>
      <w:pPr>
        <w:pStyle w:val="Normal"/>
        <w:rPr/>
      </w:pPr>
      <w:r>
        <w:rPr/>
        <w:t xml:space="preserve">a) Einsicht zu nehmen in die vorgesehenen Nutzungsbeschränkungen und Schutzmassnahmen mit dem dazugehörigen Schutzzonenplan. Diese liegen bei der Gemeindekanzlei </w:t>
      </w:r>
      <w:r>
        <w:rPr/>
        <w:t>{{ GEMEINDE }}</w:t>
      </w:r>
      <w:r>
        <w:rPr/>
        <w:t xml:space="preserve"> sowie der Gesundheits-, Sozial- und Umweltdirektion Uri, Amt für Umweltschutz, Klausenstrasse 4, 6460 Altdorf auf. Die öffentliche Auflage der massgeblichen digitalen Daten erfolgt gestützt auf Art. 1 und Art. 13 Abs. 1 Bst. a des Gesetzes über die amtliche Publikation (Publikationsgesetz, PUG; RB 3.1310) im Kataster der öffentlich-rechtlichen Eigentumsbeschränkungen (oereb.ur.ch/auflage).;</w:t>
      </w:r>
    </w:p>
    <w:p>
      <w:pPr>
        <w:pStyle w:val="Normal"/>
        <w:rPr/>
      </w:pPr>
      <w:r>
        <w:rPr/>
        <w:t>b) schriftlich und begründet Einsprache beim Regierungsrat des Kantons Uri zu erheben.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  <w:t xml:space="preserve">Altdorf, </w:t>
      </w:r>
      <w:r>
        <w:rPr/>
        <w:t>{{ HEUTE }}</w:t>
      </w:r>
      <w:r>
        <w:rPr/>
        <w:tab/>
      </w:r>
      <w:bookmarkEnd w:id="0"/>
      <w:r>
        <w:rPr/>
        <w:t>Gesundheits-, Sozial- und Umweltdirektion Uri, Christian Arnold, Regierungsrat</w:t>
      </w:r>
    </w:p>
    <w:sectPr>
      <w:type w:val="nextPage"/>
      <w:pgSz w:w="11906" w:h="16838"/>
      <w:pgMar w:left="1417" w:right="1417" w:gutter="0" w:header="0" w:top="1417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de-CH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de-CH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de-CH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AA7EF604.dotm</Template>
  <TotalTime>41</TotalTime>
  <Application>LibreOffice/26.2.2.2$Linux_X86_64 LibreOffice_project/620$Build-2</Application>
  <AppVersion>15.0000</AppVersion>
  <Pages>1</Pages>
  <Words>234</Words>
  <Characters>1558</Characters>
  <CharactersWithSpaces>1787</CharactersWithSpaces>
  <Paragraphs>6</Paragraphs>
  <Company>Kantonale Verwaltung Uri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2019-08-28T11:02:00Z</dcterms:created>
  <dc:creator>Scheuber Pirmin</dc:creator>
  <dc:description/>
  <dc:language>en-US</dc:language>
  <cp:lastModifiedBy/>
  <dcterms:modified xsi:type="dcterms:W3CDTF">2026-04-27T16:33:24Z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