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else %}</w:t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endif %}</w:t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1pt;margin-top:308.55pt;width:446.2pt;height:111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LibreOffice/7.3.5.2$Linux_X86_64 LibreOffice_project/30$Build-2</Application>
  <AppVersion>15.0000</AppVersion>
  <Pages>3</Pages>
  <Words>559</Words>
  <Characters>3183</Characters>
  <CharactersWithSpaces>3645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2022-09-17T10:26:51Z</dcterms:modified>
  <cp:revision>377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