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3E68C7" w:rsidP="0041440D">
      <w:pPr>
        <w:pStyle w:val="BetreffTitel"/>
      </w:pPr>
      <w:r>
        <w:t>Kostenvorschuss</w:t>
      </w:r>
      <w:r>
        <w:rPr>
          <w:rStyle w:val="Funotenzeichen"/>
        </w:rPr>
        <w:footnoteReference w:id="1"/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41041B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41041B">
        <w:tc>
          <w:tcPr>
            <w:tcW w:w="2098" w:type="dxa"/>
          </w:tcPr>
          <w:p w:rsidR="001C17C7" w:rsidRDefault="003E68C7" w:rsidP="003E68C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41041B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59CE">
              <w:rPr>
                <w:lang w:eastAsia="de-DE"/>
              </w:rPr>
            </w:r>
            <w:r w:rsidR="000059C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059CE" w:rsidTr="0041041B">
        <w:tc>
          <w:tcPr>
            <w:tcW w:w="2098" w:type="dxa"/>
          </w:tcPr>
          <w:p w:rsidR="000059CE" w:rsidRPr="00D65871" w:rsidRDefault="000059CE" w:rsidP="000059CE">
            <w:pPr>
              <w:rPr>
                <w:lang w:eastAsia="de-DE"/>
              </w:rPr>
            </w:pPr>
            <w:bookmarkStart w:id="0" w:name="_GoBack" w:colFirst="0" w:colLast="-1"/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0059CE" w:rsidRPr="00D65871" w:rsidRDefault="000059CE" w:rsidP="000059CE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bookmarkEnd w:id="0"/>
      <w:tr w:rsidR="001C17C7" w:rsidTr="0041041B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41041B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59CE">
              <w:rPr>
                <w:lang w:eastAsia="de-DE"/>
              </w:rPr>
            </w:r>
            <w:r w:rsidR="000059C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59CE">
              <w:rPr>
                <w:lang w:eastAsia="de-DE"/>
              </w:rPr>
            </w:r>
            <w:r w:rsidR="000059C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E68C7" w:rsidP="00682DA2">
      <w:pPr>
        <w:pStyle w:val="berschrift2"/>
      </w:pPr>
      <w:r>
        <w:t xml:space="preserve">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 Eingang Baugesuch"/>
            </w:ddList>
          </w:ffData>
        </w:fldChar>
      </w:r>
      <w:r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ist das vorliegende Baugesuch beim </w:t>
      </w:r>
      <w:r w:rsidRPr="00D65871">
        <w:t xml:space="preserve">{{MEINE_ORGANISATION_NAME}} </w:t>
      </w:r>
      <w:r>
        <w:t>eingegangen.</w:t>
      </w:r>
    </w:p>
    <w:p w:rsidR="003E68C7" w:rsidRPr="003E68C7" w:rsidRDefault="003E68C7" w:rsidP="00682DA2">
      <w:pPr>
        <w:pStyle w:val="berschrift2"/>
      </w:pPr>
      <w:r w:rsidRPr="00DF78AF">
        <w:t>Die Gesuchstellenden tragen die amtlichen Kosten des Baubewilligungsverfahrens</w:t>
      </w:r>
      <w:r>
        <w:t>.</w:t>
      </w:r>
      <w:r>
        <w:rPr>
          <w:rStyle w:val="Funotenzeichen"/>
        </w:rPr>
        <w:footnoteReference w:id="2"/>
      </w:r>
      <w:r>
        <w:t xml:space="preserve"> Die Bewilligungsbehörde kann die Gesuchstellenden zur Leistung eines angemessenen Vorschusses anhalten. </w:t>
      </w:r>
      <w:r w:rsidRPr="002508CB">
        <w:rPr>
          <w:rFonts w:cs="Arial"/>
          <w:szCs w:val="22"/>
        </w:rPr>
        <w:t>Angemessen ist der Kostenvorschuss dann, wenn er sich im Rahmen der Gebühren hält, welche die in Anspruch genommene Behörde im Baubewilligungsverfahren wird erheben können.</w:t>
      </w:r>
      <w:r>
        <w:rPr>
          <w:rStyle w:val="Funotenzeichen"/>
          <w:rFonts w:cs="Arial"/>
          <w:szCs w:val="22"/>
        </w:rPr>
        <w:footnoteReference w:id="3"/>
      </w:r>
      <w:r w:rsidRPr="002508CB">
        <w:rPr>
          <w:rFonts w:cs="Arial"/>
          <w:szCs w:val="22"/>
        </w:rPr>
        <w:t xml:space="preserve"> Kommen die Gesuchstellenden ihren Verpflichtungen nicht nach, so wird das Verfahren nach dreimonatiger Einstellung als gegenstandslos abgeschrieben.</w:t>
      </w:r>
      <w:r>
        <w:rPr>
          <w:rStyle w:val="Funotenzeichen"/>
          <w:rFonts w:cs="Arial"/>
          <w:szCs w:val="22"/>
        </w:rPr>
        <w:footnoteReference w:id="4"/>
      </w:r>
      <w:r w:rsidRPr="00A82A4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Die Vorschrift nennt keine zu erfüllenden Tatbestände, welche einen Kostenvorschuss rechtfertigen. Ein solcher kann jederzeit verlangt werden.</w:t>
      </w:r>
    </w:p>
    <w:p w:rsidR="003E68C7" w:rsidRPr="003E68C7" w:rsidRDefault="003E68C7" w:rsidP="00682DA2">
      <w:pPr>
        <w:pStyle w:val="berschrift2"/>
      </w:pPr>
      <w:r w:rsidRPr="002508CB">
        <w:rPr>
          <w:rFonts w:cs="Arial"/>
          <w:szCs w:val="22"/>
        </w:rPr>
        <w:t xml:space="preserve">Gemäss Art. 12 </w:t>
      </w:r>
      <w:proofErr w:type="spellStart"/>
      <w:r w:rsidRPr="002508CB">
        <w:rPr>
          <w:rFonts w:cs="Arial"/>
          <w:szCs w:val="22"/>
        </w:rPr>
        <w:t>KoG</w:t>
      </w:r>
      <w:proofErr w:type="spellEnd"/>
      <w:r>
        <w:rPr>
          <w:rStyle w:val="Funotenzeichen"/>
          <w:rFonts w:cs="Arial"/>
          <w:szCs w:val="22"/>
        </w:rPr>
        <w:footnoteReference w:id="5"/>
      </w:r>
      <w:r w:rsidRPr="002508CB">
        <w:rPr>
          <w:rFonts w:cs="Arial"/>
          <w:szCs w:val="22"/>
        </w:rPr>
        <w:t xml:space="preserve"> stellen die am Verfahren beteiligten Fachstellen und Behörden ihre Gebührenrechnungen der Leitbehörde zu. Diese setzt sämtliche Verfahrenskosten im Gesamtentscheid </w:t>
      </w:r>
      <w:r w:rsidRPr="002508CB">
        <w:rPr>
          <w:rFonts w:cs="Arial"/>
          <w:szCs w:val="22"/>
        </w:rPr>
        <w:lastRenderedPageBreak/>
        <w:t>fest. Das Regierungsstatthalteramt darf infolgedessen einen Ko</w:t>
      </w:r>
      <w:r>
        <w:rPr>
          <w:rFonts w:cs="Arial"/>
          <w:szCs w:val="22"/>
        </w:rPr>
        <w:t>s</w:t>
      </w:r>
      <w:r w:rsidRPr="002508CB">
        <w:rPr>
          <w:rFonts w:cs="Arial"/>
          <w:szCs w:val="22"/>
        </w:rPr>
        <w:t xml:space="preserve">tenvorschuss nur im Rahmen der voraussichtlichen zu bezahlenden Gebühren für die Prüfung der </w:t>
      </w:r>
      <w:proofErr w:type="spellStart"/>
      <w:r w:rsidRPr="002508CB">
        <w:rPr>
          <w:rFonts w:cs="Arial"/>
          <w:szCs w:val="22"/>
        </w:rPr>
        <w:t>Baugesuchsakten</w:t>
      </w:r>
      <w:proofErr w:type="spellEnd"/>
      <w:r w:rsidRPr="002508CB">
        <w:rPr>
          <w:rFonts w:cs="Arial"/>
          <w:szCs w:val="22"/>
        </w:rPr>
        <w:t xml:space="preserve">, der Publikation, des </w:t>
      </w:r>
      <w:r w:rsidRPr="002508CB">
        <w:rPr>
          <w:szCs w:val="22"/>
        </w:rPr>
        <w:t>Verfassens des Gesamtbauentscheides und</w:t>
      </w:r>
      <w:r w:rsidRPr="002508CB">
        <w:rPr>
          <w:rFonts w:cs="Arial"/>
          <w:szCs w:val="22"/>
        </w:rPr>
        <w:t xml:space="preserve"> die einzelnen </w:t>
      </w:r>
      <w:r w:rsidRPr="002508CB">
        <w:rPr>
          <w:szCs w:val="22"/>
        </w:rPr>
        <w:t xml:space="preserve">Amts- und Fachstellen erheben. Diese werden voraussichtlich </w:t>
      </w:r>
      <w:r>
        <w:rPr>
          <w:szCs w:val="22"/>
        </w:rPr>
        <w:t xml:space="preserve">über </w:t>
      </w:r>
      <w:r w:rsidRPr="002508CB">
        <w:rPr>
          <w:szCs w:val="22"/>
        </w:rPr>
        <w:t xml:space="preserve">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ag"/>
            </w:ddList>
          </w:ffData>
        </w:fldChar>
      </w:r>
      <w:r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2508CB">
        <w:rPr>
          <w:szCs w:val="22"/>
        </w:rPr>
        <w:t xml:space="preserve"> betragen.</w:t>
      </w:r>
    </w:p>
    <w:p w:rsidR="003E68C7" w:rsidRPr="00682DA2" w:rsidRDefault="003E68C7" w:rsidP="00682DA2">
      <w:pPr>
        <w:pStyle w:val="berschrift2"/>
      </w:pPr>
      <w:r>
        <w:t xml:space="preserve">Nach Beurteilung der Situation rechtfertigt sich somit ein Betrag von 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ag"/>
            </w:ddList>
          </w:ffData>
        </w:fldChar>
      </w:r>
      <w:r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>.</w:t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E68C7" w:rsidP="00682DA2">
      <w:pPr>
        <w:pStyle w:val="berschrift2"/>
      </w:pPr>
      <w:r>
        <w:t xml:space="preserve">Der Kostenvorschuss beläuft sich auf 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ag"/>
            </w:ddList>
          </w:ffData>
        </w:fldChar>
      </w:r>
      <w:r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>. Der Betrag ist innert 30 Tagen nach Erhalt dieser Verfügung mittels beiliegendem Einzahlungsschein zu bezahlen.</w:t>
      </w:r>
    </w:p>
    <w:p w:rsidR="003E68C7" w:rsidRDefault="003E68C7" w:rsidP="00682DA2">
      <w:pPr>
        <w:pStyle w:val="berschrift2"/>
      </w:pPr>
      <w:r w:rsidRPr="00DF78AF">
        <w:rPr>
          <w:lang w:eastAsia="de-DE"/>
        </w:rPr>
        <w:t>Sollte der Kostenvorschuss bis dahin nicht geleistet w</w:t>
      </w:r>
      <w:r>
        <w:rPr>
          <w:lang w:eastAsia="de-DE"/>
        </w:rPr>
        <w:t>erden, wird das Verfahren eingestellt</w:t>
      </w:r>
      <w:r w:rsidRPr="00DF78AF">
        <w:rPr>
          <w:lang w:eastAsia="de-DE"/>
        </w:rPr>
        <w:t>. Nach dreimonatiger Eins</w:t>
      </w:r>
      <w:r>
        <w:rPr>
          <w:lang w:eastAsia="de-DE"/>
        </w:rPr>
        <w:t>tellung wird das Verfahren als gegenstand</w:t>
      </w:r>
      <w:r w:rsidRPr="00DF78AF">
        <w:rPr>
          <w:lang w:eastAsia="de-DE"/>
        </w:rPr>
        <w:t>los abgeschrieben.</w:t>
      </w:r>
    </w:p>
    <w:p w:rsidR="003E68C7" w:rsidRDefault="003E68C7" w:rsidP="00682DA2">
      <w:pPr>
        <w:pStyle w:val="berschrift2"/>
      </w:pPr>
      <w:r>
        <w:rPr>
          <w:lang w:eastAsia="de-DE"/>
        </w:rPr>
        <w:t>Eröffnung</w:t>
      </w:r>
    </w:p>
    <w:p w:rsidR="003E68C7" w:rsidRPr="003E68C7" w:rsidRDefault="003E68C7" w:rsidP="003E68C7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E68C7" w:rsidRDefault="003E68C7" w:rsidP="003E68C7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0059CE">
        <w:rPr>
          <w:lang w:eastAsia="de-DE"/>
        </w:rPr>
      </w:r>
      <w:r w:rsidR="000059CE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3E68C7" w:rsidRDefault="003E68C7" w:rsidP="003E68C7">
      <w:pPr>
        <w:pStyle w:val="berschrift3"/>
      </w:pPr>
      <w:r>
        <w:rPr>
          <w:lang w:eastAsia="de-DE"/>
        </w:rPr>
        <w:t>Diese Verfügung geht B-Post bzw. elektronisch an:</w:t>
      </w:r>
    </w:p>
    <w:p w:rsidR="003E68C7" w:rsidRDefault="003E68C7" w:rsidP="003E68C7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{{GEMEINDE_NAME_ADRESSE}}</w:t>
      </w:r>
      <w:r w:rsidR="008A3BF2">
        <w:rPr>
          <w:lang w:eastAsia="de-DE"/>
        </w:rPr>
        <w:t xml:space="preserve"> </w:t>
      </w:r>
      <w:r w:rsidRPr="005854D3">
        <w:t xml:space="preserve">{%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</w:t>
      </w:r>
      <w:r>
        <w:t>ALLE</w:t>
      </w:r>
      <w:r w:rsidRPr="005854D3">
        <w:t xml:space="preserve"> %}</w:t>
      </w:r>
    </w:p>
    <w:p w:rsidR="009A7AEE" w:rsidRPr="005854D3" w:rsidRDefault="009A7AEE" w:rsidP="003E68C7">
      <w:pPr>
        <w:pStyle w:val="AufzhlungVerfgung"/>
        <w:numPr>
          <w:ilvl w:val="0"/>
          <w:numId w:val="8"/>
        </w:numPr>
        <w:spacing w:line="280" w:lineRule="atLeast"/>
      </w:pPr>
      <w:r w:rsidRPr="00D65871">
        <w:t xml:space="preserve">{{ fachstelle.NAME }}{% </w:t>
      </w:r>
      <w:proofErr w:type="spellStart"/>
      <w:r w:rsidRPr="00D65871">
        <w:t>endfor</w:t>
      </w:r>
      <w:proofErr w:type="spellEnd"/>
      <w:r w:rsidRPr="00D65871">
        <w:t xml:space="preserve"> %}</w:t>
      </w:r>
    </w:p>
    <w:p w:rsidR="003E68C7" w:rsidRDefault="003E68C7" w:rsidP="003E68C7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59CE">
              <w:rPr>
                <w:lang w:eastAsia="de-DE"/>
              </w:rPr>
            </w:r>
            <w:r w:rsidR="000059C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59CE">
              <w:rPr>
                <w:lang w:eastAsia="de-DE"/>
              </w:rPr>
            </w:r>
            <w:r w:rsidR="000059C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0059CE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0059CE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0059CE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0059CE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3E68C7" w:rsidRDefault="003E68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53 Abs. 1 Dekret über das Baubewilligungsverfahren vom 22. März 1994 (Bewilligungsdekret, </w:t>
      </w:r>
      <w:proofErr w:type="spellStart"/>
      <w:r>
        <w:t>BewD</w:t>
      </w:r>
      <w:proofErr w:type="spellEnd"/>
      <w:r>
        <w:t>; BSG 725.1)</w:t>
      </w:r>
    </w:p>
  </w:footnote>
  <w:footnote w:id="2">
    <w:p w:rsidR="003E68C7" w:rsidRDefault="003E68C7" w:rsidP="003E68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52 </w:t>
      </w:r>
      <w:proofErr w:type="spellStart"/>
      <w:r>
        <w:t>BewD</w:t>
      </w:r>
      <w:proofErr w:type="spellEnd"/>
      <w:r>
        <w:t>.</w:t>
      </w:r>
    </w:p>
  </w:footnote>
  <w:footnote w:id="3">
    <w:p w:rsidR="003E68C7" w:rsidRPr="00DF78AF" w:rsidRDefault="003E68C7" w:rsidP="003E68C7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tab/>
      </w:r>
      <w:r w:rsidRPr="00DF78AF">
        <w:t xml:space="preserve">Entscheid der Baudirektion des Kantons Bern vom 24. </w:t>
      </w:r>
      <w:r w:rsidRPr="00DF78AF">
        <w:rPr>
          <w:lang w:val="en-US"/>
        </w:rPr>
        <w:t xml:space="preserve">August 1989 </w:t>
      </w:r>
      <w:proofErr w:type="spellStart"/>
      <w:r w:rsidRPr="00DF78AF">
        <w:rPr>
          <w:lang w:val="en-US"/>
        </w:rPr>
        <w:t>i.S</w:t>
      </w:r>
      <w:proofErr w:type="spellEnd"/>
      <w:r w:rsidRPr="00DF78AF">
        <w:rPr>
          <w:lang w:val="en-US"/>
        </w:rPr>
        <w:t xml:space="preserve">. </w:t>
      </w:r>
      <w:proofErr w:type="spellStart"/>
      <w:r w:rsidRPr="00DF78AF">
        <w:rPr>
          <w:lang w:val="en-US"/>
        </w:rPr>
        <w:t>Oberried</w:t>
      </w:r>
      <w:proofErr w:type="spellEnd"/>
      <w:r w:rsidRPr="00DF78AF">
        <w:rPr>
          <w:lang w:val="en-US"/>
        </w:rPr>
        <w:t xml:space="preserve"> (RA </w:t>
      </w:r>
      <w:proofErr w:type="spellStart"/>
      <w:r w:rsidRPr="00DF78AF">
        <w:rPr>
          <w:lang w:val="en-US"/>
        </w:rPr>
        <w:t>Nr</w:t>
      </w:r>
      <w:proofErr w:type="spellEnd"/>
      <w:r w:rsidRPr="00DF78AF">
        <w:rPr>
          <w:lang w:val="en-US"/>
        </w:rPr>
        <w:t>. 16009-89 / 16010-89).</w:t>
      </w:r>
    </w:p>
  </w:footnote>
  <w:footnote w:id="4">
    <w:p w:rsidR="003E68C7" w:rsidRDefault="003E68C7" w:rsidP="003E68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DF78AF">
        <w:t xml:space="preserve">Art. 53 Abs. 2 </w:t>
      </w:r>
      <w:proofErr w:type="spellStart"/>
      <w:r w:rsidRPr="00DF78AF">
        <w:t>BewD</w:t>
      </w:r>
      <w:proofErr w:type="spellEnd"/>
      <w:r w:rsidRPr="00DF78AF">
        <w:t>.</w:t>
      </w:r>
    </w:p>
  </w:footnote>
  <w:footnote w:id="5">
    <w:p w:rsidR="003E68C7" w:rsidRDefault="003E68C7" w:rsidP="003E68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DF78AF">
        <w:t>Koordinationsgesetz vom 21. März 1994 (KOG); BSG 724.1.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059CE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3E68C7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1F3C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A3BF2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A7AEE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6E06-5E6E-43CB-B068-93DF976F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6</cp:revision>
  <dcterms:created xsi:type="dcterms:W3CDTF">2022-06-30T07:36:00Z</dcterms:created>
  <dcterms:modified xsi:type="dcterms:W3CDTF">2022-11-25T14:19:00Z</dcterms:modified>
</cp:coreProperties>
</file>