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6742B" w14:textId="77777777" w:rsidR="005E2EFA" w:rsidRPr="005E2EFA" w:rsidRDefault="005E2EFA" w:rsidP="005E2EFA">
      <w:pPr>
        <w:spacing w:after="240" w:line="240" w:lineRule="auto"/>
        <w:outlineLvl w:val="0"/>
        <w:rPr>
          <w:rFonts w:ascii="Segoe UI" w:eastAsia="Times New Roman" w:hAnsi="Segoe UI" w:cs="Segoe UI"/>
          <w:b/>
          <w:bCs/>
          <w:kern w:val="36"/>
          <w:sz w:val="48"/>
          <w:szCs w:val="48"/>
          <w14:ligatures w14:val="none"/>
        </w:rPr>
      </w:pPr>
      <w:r w:rsidRPr="005E2EFA">
        <w:rPr>
          <w:rFonts w:ascii="Segoe UI" w:eastAsia="Times New Roman" w:hAnsi="Segoe UI" w:cs="Segoe UI"/>
          <w:b/>
          <w:bCs/>
          <w:kern w:val="36"/>
          <w:sz w:val="48"/>
          <w:szCs w:val="48"/>
          <w14:ligatures w14:val="none"/>
        </w:rPr>
        <w:t>Phase 0 Decision Log — INOVEXA Executive Pre-Build Sign-Off</w:t>
      </w:r>
    </w:p>
    <w:p w14:paraId="30334DBE"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Phase:</w:t>
      </w:r>
      <w:r w:rsidRPr="005E2EFA">
        <w:rPr>
          <w:rFonts w:ascii="Segoe UI" w:eastAsia="Times New Roman" w:hAnsi="Segoe UI" w:cs="Segoe UI"/>
          <w:kern w:val="0"/>
          <w:sz w:val="21"/>
          <w:szCs w:val="21"/>
          <w14:ligatures w14:val="none"/>
        </w:rPr>
        <w:t> 0 — Project Setup, Guardrails, and Baseline Architecture</w:t>
      </w:r>
      <w:r w:rsidRPr="005E2EFA">
        <w:rPr>
          <w:rFonts w:ascii="Segoe UI" w:eastAsia="Times New Roman" w:hAnsi="Segoe UI" w:cs="Segoe UI"/>
          <w:kern w:val="0"/>
          <w:sz w:val="21"/>
          <w:szCs w:val="21"/>
          <w14:ligatures w14:val="none"/>
        </w:rPr>
        <w:br/>
      </w:r>
      <w:r w:rsidRPr="005E2EFA">
        <w:rPr>
          <w:rFonts w:ascii="Segoe UI" w:eastAsia="Times New Roman" w:hAnsi="Segoe UI" w:cs="Segoe UI"/>
          <w:b/>
          <w:bCs/>
          <w:kern w:val="0"/>
          <w:sz w:val="21"/>
          <w:szCs w:val="21"/>
          <w14:ligatures w14:val="none"/>
        </w:rPr>
        <w:t>Decision Date:</w:t>
      </w:r>
      <w:r w:rsidRPr="005E2EFA">
        <w:rPr>
          <w:rFonts w:ascii="Segoe UI" w:eastAsia="Times New Roman" w:hAnsi="Segoe UI" w:cs="Segoe UI"/>
          <w:kern w:val="0"/>
          <w:sz w:val="21"/>
          <w:szCs w:val="21"/>
          <w14:ligatures w14:val="none"/>
        </w:rPr>
        <w:t> 2026-10-14</w:t>
      </w:r>
      <w:r w:rsidRPr="005E2EFA">
        <w:rPr>
          <w:rFonts w:ascii="Segoe UI" w:eastAsia="Times New Roman" w:hAnsi="Segoe UI" w:cs="Segoe UI"/>
          <w:kern w:val="0"/>
          <w:sz w:val="21"/>
          <w:szCs w:val="21"/>
          <w14:ligatures w14:val="none"/>
        </w:rPr>
        <w:br/>
      </w:r>
      <w:r w:rsidRPr="005E2EFA">
        <w:rPr>
          <w:rFonts w:ascii="Segoe UI" w:eastAsia="Times New Roman" w:hAnsi="Segoe UI" w:cs="Segoe UI"/>
          <w:b/>
          <w:bCs/>
          <w:kern w:val="0"/>
          <w:sz w:val="21"/>
          <w:szCs w:val="21"/>
          <w14:ligatures w14:val="none"/>
        </w:rPr>
        <w:t>Status:</w:t>
      </w:r>
      <w:r w:rsidRPr="005E2EFA">
        <w:rPr>
          <w:rFonts w:ascii="Segoe UI" w:eastAsia="Times New Roman" w:hAnsi="Segoe UI" w:cs="Segoe UI"/>
          <w:kern w:val="0"/>
          <w:sz w:val="21"/>
          <w:szCs w:val="21"/>
          <w14:ligatures w14:val="none"/>
        </w:rPr>
        <w:t> Decisions for Executive Approval</w:t>
      </w:r>
    </w:p>
    <w:p w14:paraId="3B3A4DBC"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077F0542">
          <v:rect id="_x0000_i1025" style="width:0;height:.75pt" o:hralign="center" o:hrstd="t" o:hr="t" fillcolor="#a0a0a0" stroked="f"/>
        </w:pict>
      </w:r>
    </w:p>
    <w:p w14:paraId="46C50BB9"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 Provisioning Lifecycle States</w:t>
      </w:r>
    </w:p>
    <w:p w14:paraId="105F9DAA"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are the defined states for the Moodle provisioning Celery task lifecycle?</w:t>
      </w:r>
    </w:p>
    <w:p w14:paraId="3F3033F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Adopt </w:t>
      </w:r>
      <w:r w:rsidRPr="005E2EFA">
        <w:rPr>
          <w:rFonts w:ascii="Consolas" w:eastAsia="Times New Roman" w:hAnsi="Consolas" w:cs="Courier New"/>
          <w:kern w:val="0"/>
          <w:sz w:val="21"/>
          <w:szCs w:val="21"/>
          <w14:ligatures w14:val="none"/>
        </w:rPr>
        <w:t>pending</w:t>
      </w:r>
      <w:r w:rsidRPr="005E2EFA">
        <w:rPr>
          <w:rFonts w:ascii="Segoe UI" w:eastAsia="Times New Roman" w:hAnsi="Segoe UI" w:cs="Segoe UI"/>
          <w:kern w:val="0"/>
          <w:sz w:val="21"/>
          <w:szCs w:val="21"/>
          <w14:ligatures w14:val="none"/>
        </w:rPr>
        <w:t>, </w:t>
      </w:r>
      <w:r w:rsidRPr="005E2EFA">
        <w:rPr>
          <w:rFonts w:ascii="Consolas" w:eastAsia="Times New Roman" w:hAnsi="Consolas" w:cs="Courier New"/>
          <w:kern w:val="0"/>
          <w:sz w:val="21"/>
          <w:szCs w:val="21"/>
          <w14:ligatures w14:val="none"/>
        </w:rPr>
        <w:t>processing</w:t>
      </w:r>
      <w:r w:rsidRPr="005E2EFA">
        <w:rPr>
          <w:rFonts w:ascii="Segoe UI" w:eastAsia="Times New Roman" w:hAnsi="Segoe UI" w:cs="Segoe UI"/>
          <w:kern w:val="0"/>
          <w:sz w:val="21"/>
          <w:szCs w:val="21"/>
          <w14:ligatures w14:val="none"/>
        </w:rPr>
        <w:t>, </w:t>
      </w:r>
      <w:r w:rsidRPr="005E2EFA">
        <w:rPr>
          <w:rFonts w:ascii="Consolas" w:eastAsia="Times New Roman" w:hAnsi="Consolas" w:cs="Courier New"/>
          <w:kern w:val="0"/>
          <w:sz w:val="21"/>
          <w:szCs w:val="21"/>
          <w14:ligatures w14:val="none"/>
        </w:rPr>
        <w:t>succeeded</w:t>
      </w:r>
      <w:r w:rsidRPr="005E2EFA">
        <w:rPr>
          <w:rFonts w:ascii="Segoe UI" w:eastAsia="Times New Roman" w:hAnsi="Segoe UI" w:cs="Segoe UI"/>
          <w:kern w:val="0"/>
          <w:sz w:val="21"/>
          <w:szCs w:val="21"/>
          <w14:ligatures w14:val="none"/>
        </w:rPr>
        <w:t>, </w:t>
      </w:r>
      <w:r w:rsidRPr="005E2EFA">
        <w:rPr>
          <w:rFonts w:ascii="Consolas" w:eastAsia="Times New Roman" w:hAnsi="Consolas" w:cs="Courier New"/>
          <w:kern w:val="0"/>
          <w:sz w:val="21"/>
          <w:szCs w:val="21"/>
          <w14:ligatures w14:val="none"/>
        </w:rPr>
        <w:t>failed</w:t>
      </w:r>
      <w:r w:rsidRPr="005E2EFA">
        <w:rPr>
          <w:rFonts w:ascii="Segoe UI" w:eastAsia="Times New Roman" w:hAnsi="Segoe UI" w:cs="Segoe UI"/>
          <w:kern w:val="0"/>
          <w:sz w:val="21"/>
          <w:szCs w:val="21"/>
          <w14:ligatures w14:val="none"/>
        </w:rPr>
        <w:t>, </w:t>
      </w:r>
      <w:r w:rsidRPr="005E2EFA">
        <w:rPr>
          <w:rFonts w:ascii="Consolas" w:eastAsia="Times New Roman" w:hAnsi="Consolas" w:cs="Courier New"/>
          <w:kern w:val="0"/>
          <w:sz w:val="21"/>
          <w:szCs w:val="21"/>
          <w14:ligatures w14:val="none"/>
        </w:rPr>
        <w:t>dead_lettered</w:t>
      </w:r>
      <w:r w:rsidRPr="005E2EFA">
        <w:rPr>
          <w:rFonts w:ascii="Segoe UI" w:eastAsia="Times New Roman" w:hAnsi="Segoe UI" w:cs="Segoe UI"/>
          <w:kern w:val="0"/>
          <w:sz w:val="21"/>
          <w:szCs w:val="21"/>
          <w14:ligatures w14:val="none"/>
        </w:rPr>
        <w:t> with max 3 retries at exponential backoff (1s, 5s, 25s) before dead-lettering.</w:t>
      </w:r>
    </w:p>
    <w:p w14:paraId="37473159"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Three states (pending/processing/succeeded) cover the happy path; failed/</w:t>
      </w:r>
      <w:proofErr w:type="spellStart"/>
      <w:r w:rsidRPr="005E2EFA">
        <w:rPr>
          <w:rFonts w:ascii="Segoe UI" w:eastAsia="Times New Roman" w:hAnsi="Segoe UI" w:cs="Segoe UI"/>
          <w:kern w:val="0"/>
          <w:sz w:val="21"/>
          <w:szCs w:val="21"/>
          <w14:ligatures w14:val="none"/>
        </w:rPr>
        <w:t>dead_lettered</w:t>
      </w:r>
      <w:proofErr w:type="spellEnd"/>
      <w:r w:rsidRPr="005E2EFA">
        <w:rPr>
          <w:rFonts w:ascii="Segoe UI" w:eastAsia="Times New Roman" w:hAnsi="Segoe UI" w:cs="Segoe UI"/>
          <w:kern w:val="0"/>
          <w:sz w:val="21"/>
          <w:szCs w:val="21"/>
          <w14:ligatures w14:val="none"/>
        </w:rPr>
        <w:t xml:space="preserve"> handle errors with explicit visibility. Three retries at exponential backoff provides sufficient fault tolerance for transient API failures while bounding the failure surface.</w:t>
      </w:r>
    </w:p>
    <w:p w14:paraId="5CFFC4B0"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2EF975B7">
          <v:rect id="_x0000_i1026" style="width:0;height:.75pt" o:hralign="center" o:hrstd="t" o:hr="t" fillcolor="#a0a0a0" stroked="f"/>
        </w:pict>
      </w:r>
    </w:p>
    <w:p w14:paraId="5B297C9C"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D2: AI Allowance Exhaustion Response</w:t>
      </w:r>
    </w:p>
    <w:p w14:paraId="619E635B"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When a student or institution exhausts their monthly interaction allowance, what is the user-facing response?</w:t>
      </w:r>
    </w:p>
    <w:p w14:paraId="14568F79"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Graceful downgrade to read-only static hints with a visible upsell/notify banner.</w:t>
      </w:r>
    </w:p>
    <w:p w14:paraId="57CAE0A2"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Maintains learning continuity (NFR-02 uptime implication) while clearly signaling fair-use limit. Students can continue learning without interruption but are prompted to upgrade or wait for the monthly reset.</w:t>
      </w:r>
    </w:p>
    <w:p w14:paraId="52AE79B6"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3325C4EC">
          <v:rect id="_x0000_i1027" style="width:0;height:.75pt" o:hralign="center" o:hrstd="t" o:hr="t" fillcolor="#a0a0a0" stroked="f"/>
        </w:pict>
      </w:r>
    </w:p>
    <w:p w14:paraId="0A800F44"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D3: Interaction-to-Token Reconciliation</w:t>
      </w:r>
    </w:p>
    <w:p w14:paraId="6DD65681"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How are customer-facing interactions mapped to provider tokens, and when is the ledger reconciled?</w:t>
      </w:r>
    </w:p>
    <w:p w14:paraId="52C1728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Pre-reserve 1 interaction = 5,000 tokens upfront, reconcile post-call.</w:t>
      </w:r>
    </w:p>
    <w:p w14:paraId="62543D0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lastRenderedPageBreak/>
        <w:t>Rationale:</w:t>
      </w:r>
      <w:r w:rsidRPr="005E2EFA">
        <w:rPr>
          <w:rFonts w:ascii="Segoe UI" w:eastAsia="Times New Roman" w:hAnsi="Segoe UI" w:cs="Segoe UI"/>
          <w:kern w:val="0"/>
          <w:sz w:val="21"/>
          <w:szCs w:val="21"/>
          <w14:ligatures w14:val="none"/>
        </w:rPr>
        <w:t> Prevents race conditions on pooled institutional allowances. Atomic ledger reservation before LLM call ensures concurrent requests don't exceed shared budget. Post-call reconciliation adjusts for actual consumption drift.</w:t>
      </w:r>
    </w:p>
    <w:p w14:paraId="08C3D4D3"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4B006A99">
          <v:rect id="_x0000_i1028" style="width:0;height:.75pt" o:hralign="center" o:hrstd="t" o:hr="t" fillcolor="#a0a0a0" stroked="f"/>
        </w:pict>
      </w:r>
    </w:p>
    <w:p w14:paraId="5BC868A2"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D4: Critical vs. Non-Critical AI Classification</w:t>
      </w:r>
    </w:p>
    <w:p w14:paraId="326301B8"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Which AI interactions downgrade when quotas are reached, and which error out?</w:t>
      </w:r>
    </w:p>
    <w:p w14:paraId="1B45B4C8"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By endpoint: </w:t>
      </w:r>
      <w:r w:rsidRPr="005E2EFA">
        <w:rPr>
          <w:rFonts w:ascii="Consolas" w:eastAsia="Times New Roman" w:hAnsi="Consolas" w:cs="Courier New"/>
          <w:kern w:val="0"/>
          <w:sz w:val="21"/>
          <w:szCs w:val="21"/>
          <w14:ligatures w14:val="none"/>
        </w:rPr>
        <w:t>/</w:t>
      </w:r>
      <w:proofErr w:type="spellStart"/>
      <w:r w:rsidRPr="005E2EFA">
        <w:rPr>
          <w:rFonts w:ascii="Consolas" w:eastAsia="Times New Roman" w:hAnsi="Consolas" w:cs="Courier New"/>
          <w:kern w:val="0"/>
          <w:sz w:val="21"/>
          <w:szCs w:val="21"/>
          <w14:ligatures w14:val="none"/>
        </w:rPr>
        <w:t>api</w:t>
      </w:r>
      <w:proofErr w:type="spellEnd"/>
      <w:r w:rsidRPr="005E2EFA">
        <w:rPr>
          <w:rFonts w:ascii="Consolas" w:eastAsia="Times New Roman" w:hAnsi="Consolas" w:cs="Courier New"/>
          <w:kern w:val="0"/>
          <w:sz w:val="21"/>
          <w:szCs w:val="21"/>
          <w14:ligatures w14:val="none"/>
        </w:rPr>
        <w:t>/v1/</w:t>
      </w:r>
      <w:proofErr w:type="spellStart"/>
      <w:r w:rsidRPr="005E2EFA">
        <w:rPr>
          <w:rFonts w:ascii="Consolas" w:eastAsia="Times New Roman" w:hAnsi="Consolas" w:cs="Courier New"/>
          <w:kern w:val="0"/>
          <w:sz w:val="21"/>
          <w:szCs w:val="21"/>
          <w14:ligatures w14:val="none"/>
        </w:rPr>
        <w:t>socratic</w:t>
      </w:r>
      <w:proofErr w:type="spellEnd"/>
      <w:r w:rsidRPr="005E2EFA">
        <w:rPr>
          <w:rFonts w:ascii="Consolas" w:eastAsia="Times New Roman" w:hAnsi="Consolas" w:cs="Courier New"/>
          <w:kern w:val="0"/>
          <w:sz w:val="21"/>
          <w:szCs w:val="21"/>
          <w14:ligatures w14:val="none"/>
        </w:rPr>
        <w:t>-eval</w:t>
      </w:r>
      <w:r w:rsidRPr="005E2EFA">
        <w:rPr>
          <w:rFonts w:ascii="Segoe UI" w:eastAsia="Times New Roman" w:hAnsi="Segoe UI" w:cs="Segoe UI"/>
          <w:kern w:val="0"/>
          <w:sz w:val="21"/>
          <w:szCs w:val="21"/>
          <w14:ligatures w14:val="none"/>
        </w:rPr>
        <w:t> (critical) errors with clear message; </w:t>
      </w:r>
      <w:r w:rsidRPr="005E2EFA">
        <w:rPr>
          <w:rFonts w:ascii="Consolas" w:eastAsia="Times New Roman" w:hAnsi="Consolas" w:cs="Courier New"/>
          <w:kern w:val="0"/>
          <w:sz w:val="21"/>
          <w:szCs w:val="21"/>
          <w14:ligatures w14:val="none"/>
        </w:rPr>
        <w:t>/</w:t>
      </w:r>
      <w:proofErr w:type="spellStart"/>
      <w:r w:rsidRPr="005E2EFA">
        <w:rPr>
          <w:rFonts w:ascii="Consolas" w:eastAsia="Times New Roman" w:hAnsi="Consolas" w:cs="Courier New"/>
          <w:kern w:val="0"/>
          <w:sz w:val="21"/>
          <w:szCs w:val="21"/>
          <w14:ligatures w14:val="none"/>
        </w:rPr>
        <w:t>api</w:t>
      </w:r>
      <w:proofErr w:type="spellEnd"/>
      <w:r w:rsidRPr="005E2EFA">
        <w:rPr>
          <w:rFonts w:ascii="Consolas" w:eastAsia="Times New Roman" w:hAnsi="Consolas" w:cs="Courier New"/>
          <w:kern w:val="0"/>
          <w:sz w:val="21"/>
          <w:szCs w:val="21"/>
          <w14:ligatures w14:val="none"/>
        </w:rPr>
        <w:t>/v1/hint</w:t>
      </w:r>
      <w:r w:rsidRPr="005E2EFA">
        <w:rPr>
          <w:rFonts w:ascii="Segoe UI" w:eastAsia="Times New Roman" w:hAnsi="Segoe UI" w:cs="Segoe UI"/>
          <w:kern w:val="0"/>
          <w:sz w:val="21"/>
          <w:szCs w:val="21"/>
          <w14:ligatures w14:val="none"/>
        </w:rPr>
        <w:t> and similar ancillary endpoints downgrade to lightweight models.</w:t>
      </w:r>
    </w:p>
    <w:p w14:paraId="5C351454"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The Socratic coaching endpoint is core learning functionality — students must understand when the feature is unavailable rather than receiving degraded service. Ancillary hint endpoints provide value-add and can gracefully degrade.</w:t>
      </w:r>
    </w:p>
    <w:p w14:paraId="3B2C7B72"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6A0659C1">
          <v:rect id="_x0000_i1029" style="width:0;height:.75pt" o:hralign="center" o:hrstd="t" o:hr="t" fillcolor="#a0a0a0" stroked="f"/>
        </w:pict>
      </w:r>
    </w:p>
    <w:p w14:paraId="3488A7B2"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D5: Mastery Score Sourcing</w:t>
      </w:r>
    </w:p>
    <w:p w14:paraId="799624FD"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Where does the student's "topic mastery score" come from, and how is it updated?</w:t>
      </w:r>
    </w:p>
    <w:p w14:paraId="1015E923"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Sourced from Moodle gradebook API at request time per topic; historical quiz scores per topic provide mastery context.</w:t>
      </w:r>
    </w:p>
    <w:p w14:paraId="339D947F"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Single source of truth for mastery is learning performance data. Avoids circular dependency between AI usage tracking and mastery scoring. Eliminates need for separate mastery update logic.</w:t>
      </w:r>
    </w:p>
    <w:p w14:paraId="75D78B48"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10AE29B7">
          <v:rect id="_x0000_i1030" style="width:0;height:.75pt" o:hralign="center" o:hrstd="t" o:hr="t" fillcolor="#a0a0a0" stroked="f"/>
        </w:pict>
      </w:r>
    </w:p>
    <w:p w14:paraId="69073041"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D6: Webhook Retry Cap and Dead-Letter Handling</w:t>
      </w:r>
    </w:p>
    <w:p w14:paraId="53D32B6B"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xml:space="preserve"> What </w:t>
      </w:r>
      <w:proofErr w:type="gramStart"/>
      <w:r w:rsidRPr="005E2EFA">
        <w:rPr>
          <w:rFonts w:ascii="Segoe UI" w:eastAsia="Times New Roman" w:hAnsi="Segoe UI" w:cs="Segoe UI"/>
          <w:kern w:val="0"/>
          <w:sz w:val="21"/>
          <w:szCs w:val="21"/>
          <w14:ligatures w14:val="none"/>
        </w:rPr>
        <w:t>is</w:t>
      </w:r>
      <w:proofErr w:type="gramEnd"/>
      <w:r w:rsidRPr="005E2EFA">
        <w:rPr>
          <w:rFonts w:ascii="Segoe UI" w:eastAsia="Times New Roman" w:hAnsi="Segoe UI" w:cs="Segoe UI"/>
          <w:kern w:val="0"/>
          <w:sz w:val="21"/>
          <w:szCs w:val="21"/>
          <w14:ligatures w14:val="none"/>
        </w:rPr>
        <w:t xml:space="preserve"> the maximum retry count for failed webhooks, and what happens to dead-lettered events?</w:t>
      </w:r>
    </w:p>
    <w:p w14:paraId="673580B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Max 5 retries with exponential backoff (5s, 15s, 45s, 2m, 6m). Dead-lettered events are written to a </w:t>
      </w:r>
      <w:proofErr w:type="spellStart"/>
      <w:r w:rsidRPr="005E2EFA">
        <w:rPr>
          <w:rFonts w:ascii="Consolas" w:eastAsia="Times New Roman" w:hAnsi="Consolas" w:cs="Courier New"/>
          <w:kern w:val="0"/>
          <w:sz w:val="21"/>
          <w:szCs w:val="21"/>
          <w14:ligatures w14:val="none"/>
        </w:rPr>
        <w:t>webhook_dlq</w:t>
      </w:r>
      <w:proofErr w:type="spellEnd"/>
      <w:r w:rsidRPr="005E2EFA">
        <w:rPr>
          <w:rFonts w:ascii="Segoe UI" w:eastAsia="Times New Roman" w:hAnsi="Segoe UI" w:cs="Segoe UI"/>
          <w:kern w:val="0"/>
          <w:sz w:val="21"/>
          <w:szCs w:val="21"/>
          <w14:ligatures w14:val="none"/>
        </w:rPr>
        <w:t> table; platform operations team is alerted with 2-hour SLA for manual review.</w:t>
      </w:r>
    </w:p>
    <w:p w14:paraId="0A989679"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Payment webhooks are critical; 5 retries provides 7+ minute window for recovery. Consistent policy across all webhook types reduces operational complexity. Dead-letter queue provides audit trail; 2-hour SLA ensures timely intervention.</w:t>
      </w:r>
    </w:p>
    <w:p w14:paraId="6DB0E184"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lastRenderedPageBreak/>
        <w:pict w14:anchorId="04831AD7">
          <v:rect id="_x0000_i1031" style="width:0;height:.75pt" o:hralign="center" o:hrstd="t" o:hr="t" fillcolor="#a0a0a0" stroked="f"/>
        </w:pict>
      </w:r>
    </w:p>
    <w:p w14:paraId="35C87E7D"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D7: Idempotency Key Scope and TTL</w:t>
      </w:r>
    </w:p>
    <w:p w14:paraId="67A94CD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is the idempotency key scope and how long are duplicate requests rejected?</w:t>
      </w:r>
    </w:p>
    <w:p w14:paraId="64F690C0"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Per-endpoint, 24-hour TTL.</w:t>
      </w:r>
    </w:p>
    <w:p w14:paraId="621C071D"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Standard industry practice. 24 hours accounts for typical retry windows while bounding storage growth. Per-endpoint scope prevents cross-endpoint collisions while enabling granular retry policies.</w:t>
      </w:r>
    </w:p>
    <w:p w14:paraId="74AD0719"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34A956EA">
          <v:rect id="_x0000_i1032" style="width:0;height:.75pt" o:hralign="center" o:hrstd="t" o:hr="t" fillcolor="#a0a0a0" stroked="f"/>
        </w:pict>
      </w:r>
    </w:p>
    <w:p w14:paraId="2CF64138"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D8: Payment Reconciliation</w:t>
      </w:r>
    </w:p>
    <w:p w14:paraId="7E30D3F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How is payment status reconciled against license activation for edge cases?</w:t>
      </w:r>
    </w:p>
    <w:p w14:paraId="3241782A"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License activates on </w:t>
      </w:r>
      <w:r w:rsidRPr="005E2EFA">
        <w:rPr>
          <w:rFonts w:ascii="Consolas" w:eastAsia="Times New Roman" w:hAnsi="Consolas" w:cs="Courier New"/>
          <w:kern w:val="0"/>
          <w:sz w:val="21"/>
          <w:szCs w:val="21"/>
          <w14:ligatures w14:val="none"/>
        </w:rPr>
        <w:t>succeeded</w:t>
      </w:r>
      <w:r w:rsidRPr="005E2EFA">
        <w:rPr>
          <w:rFonts w:ascii="Segoe UI" w:eastAsia="Times New Roman" w:hAnsi="Segoe UI" w:cs="Segoe UI"/>
          <w:kern w:val="0"/>
          <w:sz w:val="21"/>
          <w:szCs w:val="21"/>
          <w14:ligatures w14:val="none"/>
        </w:rPr>
        <w:t> webhook; </w:t>
      </w:r>
      <w:r w:rsidRPr="005E2EFA">
        <w:rPr>
          <w:rFonts w:ascii="Consolas" w:eastAsia="Times New Roman" w:hAnsi="Consolas" w:cs="Courier New"/>
          <w:kern w:val="0"/>
          <w:sz w:val="21"/>
          <w:szCs w:val="21"/>
          <w14:ligatures w14:val="none"/>
        </w:rPr>
        <w:t>failed</w:t>
      </w:r>
      <w:r w:rsidRPr="005E2EFA">
        <w:rPr>
          <w:rFonts w:ascii="Segoe UI" w:eastAsia="Times New Roman" w:hAnsi="Segoe UI" w:cs="Segoe UI"/>
          <w:kern w:val="0"/>
          <w:sz w:val="21"/>
          <w:szCs w:val="21"/>
          <w14:ligatures w14:val="none"/>
        </w:rPr>
        <w:t> or </w:t>
      </w:r>
      <w:r w:rsidRPr="005E2EFA">
        <w:rPr>
          <w:rFonts w:ascii="Consolas" w:eastAsia="Times New Roman" w:hAnsi="Consolas" w:cs="Courier New"/>
          <w:kern w:val="0"/>
          <w:sz w:val="21"/>
          <w:szCs w:val="21"/>
          <w14:ligatures w14:val="none"/>
        </w:rPr>
        <w:t>expired</w:t>
      </w:r>
      <w:r w:rsidRPr="005E2EFA">
        <w:rPr>
          <w:rFonts w:ascii="Segoe UI" w:eastAsia="Times New Roman" w:hAnsi="Segoe UI" w:cs="Segoe UI"/>
          <w:kern w:val="0"/>
          <w:sz w:val="21"/>
          <w:szCs w:val="21"/>
          <w14:ligatures w14:val="none"/>
        </w:rPr>
        <w:t> triggers immediate license suspension; daily batch reconciliation job compares gateway status to local ledger; 24-hour grace period allowed for settlement delays.</w:t>
      </w:r>
    </w:p>
    <w:p w14:paraId="14ABA26D"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Matches PRD §7.3 recommended model. Daily batch provides safety net for missed webhooks while 24-hour grace period accommodates settlement delays for card payments.</w:t>
      </w:r>
    </w:p>
    <w:p w14:paraId="1403396E"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5F781A4F">
          <v:rect id="_x0000_i1033" style="width:0;height:.75pt" o:hralign="center" o:hrstd="t" o:hr="t" fillcolor="#a0a0a0" stroked="f"/>
        </w:pict>
      </w:r>
    </w:p>
    <w:p w14:paraId="5ABEECE7"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D9: SLOs with Concrete Targets</w:t>
      </w:r>
    </w:p>
    <w:p w14:paraId="69933FBE"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are the concrete SLOs and percentiles?</w:t>
      </w:r>
    </w:p>
    <w:p w14:paraId="51015675"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Targets:</w:t>
      </w:r>
    </w:p>
    <w:tbl>
      <w:tblPr>
        <w:tblStyle w:val="PlainTable2"/>
        <w:tblW w:w="0" w:type="auto"/>
        <w:tblLook w:val="04A0" w:firstRow="1" w:lastRow="0" w:firstColumn="1" w:lastColumn="0" w:noHBand="0" w:noVBand="1"/>
      </w:tblPr>
      <w:tblGrid>
        <w:gridCol w:w="3972"/>
        <w:gridCol w:w="1498"/>
        <w:gridCol w:w="1693"/>
      </w:tblGrid>
      <w:tr w:rsidR="005E2EFA" w:rsidRPr="005E2EFA" w14:paraId="646B28A3" w14:textId="77777777" w:rsidTr="00DA0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E98B3"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Metric</w:t>
            </w:r>
          </w:p>
        </w:tc>
        <w:tc>
          <w:tcPr>
            <w:tcW w:w="0" w:type="auto"/>
            <w:hideMark/>
          </w:tcPr>
          <w:p w14:paraId="3714EED5" w14:textId="77777777" w:rsidR="005E2EFA" w:rsidRPr="005E2EFA" w:rsidRDefault="005E2EFA" w:rsidP="005E2EFA">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Target</w:t>
            </w:r>
          </w:p>
        </w:tc>
        <w:tc>
          <w:tcPr>
            <w:tcW w:w="0" w:type="auto"/>
            <w:hideMark/>
          </w:tcPr>
          <w:p w14:paraId="391B391F" w14:textId="77777777" w:rsidR="005E2EFA" w:rsidRPr="005E2EFA" w:rsidRDefault="005E2EFA" w:rsidP="005E2EFA">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Percentile</w:t>
            </w:r>
          </w:p>
        </w:tc>
      </w:tr>
      <w:tr w:rsidR="005E2EFA" w:rsidRPr="005E2EFA" w14:paraId="47EF9678" w14:textId="77777777" w:rsidTr="00DA0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2CEE7"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Payment-to-Moodle provisioning</w:t>
            </w:r>
          </w:p>
        </w:tc>
        <w:tc>
          <w:tcPr>
            <w:tcW w:w="0" w:type="auto"/>
            <w:hideMark/>
          </w:tcPr>
          <w:p w14:paraId="4CC85E04" w14:textId="77777777" w:rsidR="005E2EFA" w:rsidRPr="005E2EFA" w:rsidRDefault="005E2EFA" w:rsidP="005E2EFA">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&lt; 3 seconds</w:t>
            </w:r>
          </w:p>
        </w:tc>
        <w:tc>
          <w:tcPr>
            <w:tcW w:w="0" w:type="auto"/>
            <w:hideMark/>
          </w:tcPr>
          <w:p w14:paraId="3DCBA116" w14:textId="77777777" w:rsidR="005E2EFA" w:rsidRPr="005E2EFA" w:rsidRDefault="005E2EFA" w:rsidP="005E2EFA">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p95</w:t>
            </w:r>
          </w:p>
        </w:tc>
      </w:tr>
      <w:tr w:rsidR="005E2EFA" w:rsidRPr="005E2EFA" w14:paraId="3CF121B5" w14:textId="77777777" w:rsidTr="00DA0638">
        <w:tc>
          <w:tcPr>
            <w:cnfStyle w:val="001000000000" w:firstRow="0" w:lastRow="0" w:firstColumn="1" w:lastColumn="0" w:oddVBand="0" w:evenVBand="0" w:oddHBand="0" w:evenHBand="0" w:firstRowFirstColumn="0" w:firstRowLastColumn="0" w:lastRowFirstColumn="0" w:lastRowLastColumn="0"/>
            <w:tcW w:w="0" w:type="auto"/>
            <w:hideMark/>
          </w:tcPr>
          <w:p w14:paraId="4D6C4C64"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AI first-token latency</w:t>
            </w:r>
          </w:p>
        </w:tc>
        <w:tc>
          <w:tcPr>
            <w:tcW w:w="0" w:type="auto"/>
            <w:hideMark/>
          </w:tcPr>
          <w:p w14:paraId="4EBB6727" w14:textId="77777777" w:rsidR="005E2EFA" w:rsidRPr="005E2EFA" w:rsidRDefault="005E2EFA" w:rsidP="005E2EFA">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&lt; 1.5 seconds</w:t>
            </w:r>
          </w:p>
        </w:tc>
        <w:tc>
          <w:tcPr>
            <w:tcW w:w="0" w:type="auto"/>
            <w:hideMark/>
          </w:tcPr>
          <w:p w14:paraId="0671204F" w14:textId="77777777" w:rsidR="005E2EFA" w:rsidRPr="005E2EFA" w:rsidRDefault="005E2EFA" w:rsidP="005E2EFA">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p95</w:t>
            </w:r>
          </w:p>
        </w:tc>
      </w:tr>
      <w:tr w:rsidR="005E2EFA" w:rsidRPr="005E2EFA" w14:paraId="1050C7BE" w14:textId="77777777" w:rsidTr="00DA0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700A3"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System uptime (VPS prototype phase)</w:t>
            </w:r>
          </w:p>
        </w:tc>
        <w:tc>
          <w:tcPr>
            <w:tcW w:w="0" w:type="auto"/>
            <w:hideMark/>
          </w:tcPr>
          <w:p w14:paraId="66D0258F" w14:textId="77777777" w:rsidR="005E2EFA" w:rsidRPr="005E2EFA" w:rsidRDefault="005E2EFA" w:rsidP="005E2EFA">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99.5%</w:t>
            </w:r>
          </w:p>
        </w:tc>
        <w:tc>
          <w:tcPr>
            <w:tcW w:w="0" w:type="auto"/>
            <w:hideMark/>
          </w:tcPr>
          <w:p w14:paraId="5A3DCF91" w14:textId="77777777" w:rsidR="005E2EFA" w:rsidRPr="005E2EFA" w:rsidRDefault="005E2EFA" w:rsidP="005E2EFA">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monthly</w:t>
            </w:r>
          </w:p>
        </w:tc>
      </w:tr>
      <w:tr w:rsidR="005E2EFA" w:rsidRPr="005E2EFA" w14:paraId="18EFD393" w14:textId="77777777" w:rsidTr="00DA0638">
        <w:tc>
          <w:tcPr>
            <w:cnfStyle w:val="001000000000" w:firstRow="0" w:lastRow="0" w:firstColumn="1" w:lastColumn="0" w:oddVBand="0" w:evenVBand="0" w:oddHBand="0" w:evenHBand="0" w:firstRowFirstColumn="0" w:firstRowLastColumn="0" w:lastRowFirstColumn="0" w:lastRowLastColumn="0"/>
            <w:tcW w:w="0" w:type="auto"/>
            <w:hideMark/>
          </w:tcPr>
          <w:p w14:paraId="060B843E"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Backup completion</w:t>
            </w:r>
          </w:p>
        </w:tc>
        <w:tc>
          <w:tcPr>
            <w:tcW w:w="0" w:type="auto"/>
            <w:hideMark/>
          </w:tcPr>
          <w:p w14:paraId="02DCE531" w14:textId="77777777" w:rsidR="005E2EFA" w:rsidRPr="005E2EFA" w:rsidRDefault="005E2EFA" w:rsidP="005E2EFA">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&lt; 2 hours</w:t>
            </w:r>
          </w:p>
        </w:tc>
        <w:tc>
          <w:tcPr>
            <w:tcW w:w="0" w:type="auto"/>
            <w:hideMark/>
          </w:tcPr>
          <w:p w14:paraId="6F5131C9" w14:textId="77777777" w:rsidR="005E2EFA" w:rsidRPr="005E2EFA" w:rsidRDefault="005E2EFA" w:rsidP="005E2EFA">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p100</w:t>
            </w:r>
          </w:p>
        </w:tc>
      </w:tr>
      <w:tr w:rsidR="005E2EFA" w:rsidRPr="005E2EFA" w14:paraId="72FACE48" w14:textId="77777777" w:rsidTr="00DA0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7A01"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Restore test</w:t>
            </w:r>
          </w:p>
        </w:tc>
        <w:tc>
          <w:tcPr>
            <w:tcW w:w="0" w:type="auto"/>
            <w:hideMark/>
          </w:tcPr>
          <w:p w14:paraId="32195CC5" w14:textId="77777777" w:rsidR="005E2EFA" w:rsidRPr="005E2EFA" w:rsidRDefault="005E2EFA" w:rsidP="005E2EFA">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&lt; 4 hours</w:t>
            </w:r>
          </w:p>
        </w:tc>
        <w:tc>
          <w:tcPr>
            <w:tcW w:w="0" w:type="auto"/>
            <w:hideMark/>
          </w:tcPr>
          <w:p w14:paraId="1208B455" w14:textId="77777777" w:rsidR="005E2EFA" w:rsidRPr="005E2EFA" w:rsidRDefault="005E2EFA" w:rsidP="005E2EFA">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p100 (quarterly)</w:t>
            </w:r>
          </w:p>
        </w:tc>
      </w:tr>
      <w:tr w:rsidR="005E2EFA" w:rsidRPr="005E2EFA" w14:paraId="00CE8EFF" w14:textId="77777777" w:rsidTr="00DA0638">
        <w:tc>
          <w:tcPr>
            <w:cnfStyle w:val="001000000000" w:firstRow="0" w:lastRow="0" w:firstColumn="1" w:lastColumn="0" w:oddVBand="0" w:evenVBand="0" w:oddHBand="0" w:evenHBand="0" w:firstRowFirstColumn="0" w:firstRowLastColumn="0" w:lastRowFirstColumn="0" w:lastRowLastColumn="0"/>
            <w:tcW w:w="0" w:type="auto"/>
            <w:hideMark/>
          </w:tcPr>
          <w:p w14:paraId="1AC8A335" w14:textId="77777777" w:rsidR="005E2EFA" w:rsidRPr="005E2EFA" w:rsidRDefault="005E2EFA" w:rsidP="005E2EFA">
            <w:pPr>
              <w:spacing w:after="168"/>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RLS tenant isolation test suite</w:t>
            </w:r>
          </w:p>
        </w:tc>
        <w:tc>
          <w:tcPr>
            <w:tcW w:w="0" w:type="auto"/>
            <w:hideMark/>
          </w:tcPr>
          <w:p w14:paraId="1E29F642" w14:textId="77777777" w:rsidR="005E2EFA" w:rsidRPr="005E2EFA" w:rsidRDefault="005E2EFA" w:rsidP="005E2EFA">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100% pass</w:t>
            </w:r>
          </w:p>
        </w:tc>
        <w:tc>
          <w:tcPr>
            <w:tcW w:w="0" w:type="auto"/>
            <w:hideMark/>
          </w:tcPr>
          <w:p w14:paraId="4AD8F8D3" w14:textId="77777777" w:rsidR="005E2EFA" w:rsidRPr="005E2EFA" w:rsidRDefault="005E2EFA" w:rsidP="005E2EFA">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every build</w:t>
            </w:r>
          </w:p>
        </w:tc>
      </w:tr>
    </w:tbl>
    <w:p w14:paraId="0F508609"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lastRenderedPageBreak/>
        <w:t>Rationale:</w:t>
      </w:r>
      <w:r w:rsidRPr="005E2EFA">
        <w:rPr>
          <w:rFonts w:ascii="Segoe UI" w:eastAsia="Times New Roman" w:hAnsi="Segoe UI" w:cs="Segoe UI"/>
          <w:kern w:val="0"/>
          <w:sz w:val="21"/>
          <w:szCs w:val="21"/>
          <w14:ligatures w14:val="none"/>
        </w:rPr>
        <w:t> Measurable targets enable objective pass/fail criteria. Provisioning latency directly impacts user experience; AI latency is core value proposition. Backup/restore SLAs ensure disaster recovery capability. RLS test suite is non-negotiable for multi-tenant data integrity.</w:t>
      </w:r>
    </w:p>
    <w:p w14:paraId="78FC4581"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1D963798">
          <v:rect id="_x0000_i1034" style="width:0;height:.75pt" o:hralign="center" o:hrstd="t" o:hr="t" fillcolor="#a0a0a0" stroked="f"/>
        </w:pict>
      </w:r>
    </w:p>
    <w:p w14:paraId="01036056"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D10: VPS Sizing</w:t>
      </w:r>
    </w:p>
    <w:p w14:paraId="799385DA"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are the minimum VPS specs to support 500 concurrent quiz takers?</w:t>
      </w:r>
    </w:p>
    <w:p w14:paraId="2B82E865"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xml:space="preserve"> 8 vCPUs, 16 GB RAM, 200 GB SSD </w:t>
      </w:r>
      <w:proofErr w:type="spellStart"/>
      <w:r w:rsidRPr="005E2EFA">
        <w:rPr>
          <w:rFonts w:ascii="Segoe UI" w:eastAsia="Times New Roman" w:hAnsi="Segoe UI" w:cs="Segoe UI"/>
          <w:kern w:val="0"/>
          <w:sz w:val="21"/>
          <w:szCs w:val="21"/>
          <w14:ligatures w14:val="none"/>
        </w:rPr>
        <w:t>NVMe</w:t>
      </w:r>
      <w:proofErr w:type="spellEnd"/>
      <w:r w:rsidRPr="005E2EFA">
        <w:rPr>
          <w:rFonts w:ascii="Segoe UI" w:eastAsia="Times New Roman" w:hAnsi="Segoe UI" w:cs="Segoe UI"/>
          <w:kern w:val="0"/>
          <w:sz w:val="21"/>
          <w:szCs w:val="21"/>
          <w14:ligatures w14:val="none"/>
        </w:rPr>
        <w:t>.</w:t>
      </w:r>
    </w:p>
    <w:p w14:paraId="581A34CB"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xml:space="preserve"> Each concurrent quiz session with AI streaming requires ~20-30 MB RAM; 500 sessions ≈ 15 GB RAM. 8 vCPUs handle async </w:t>
      </w:r>
      <w:proofErr w:type="spellStart"/>
      <w:r w:rsidRPr="005E2EFA">
        <w:rPr>
          <w:rFonts w:ascii="Segoe UI" w:eastAsia="Times New Roman" w:hAnsi="Segoe UI" w:cs="Segoe UI"/>
          <w:kern w:val="0"/>
          <w:sz w:val="21"/>
          <w:szCs w:val="21"/>
          <w14:ligatures w14:val="none"/>
        </w:rPr>
        <w:t>FastAPI</w:t>
      </w:r>
      <w:proofErr w:type="spellEnd"/>
      <w:r w:rsidRPr="005E2EFA">
        <w:rPr>
          <w:rFonts w:ascii="Segoe UI" w:eastAsia="Times New Roman" w:hAnsi="Segoe UI" w:cs="Segoe UI"/>
          <w:kern w:val="0"/>
          <w:sz w:val="21"/>
          <w:szCs w:val="21"/>
          <w14:ligatures w14:val="none"/>
        </w:rPr>
        <w:t xml:space="preserve"> + Django + Celery workers. 200 GB storage accommodates OS, containers, logs, and room for growth.</w:t>
      </w:r>
    </w:p>
    <w:p w14:paraId="3AC1E69E"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26DF9577">
          <v:rect id="_x0000_i1035" style="width:0;height:.75pt" o:hralign="center" o:hrstd="t" o:hr="t" fillcolor="#a0a0a0" stroked="f"/>
        </w:pict>
      </w:r>
    </w:p>
    <w:p w14:paraId="3BB907AD"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D11: Backup, Restore, Rollback Procedures</w:t>
      </w:r>
    </w:p>
    <w:p w14:paraId="44685CA0"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xml:space="preserve"> What </w:t>
      </w:r>
      <w:proofErr w:type="gramStart"/>
      <w:r w:rsidRPr="005E2EFA">
        <w:rPr>
          <w:rFonts w:ascii="Segoe UI" w:eastAsia="Times New Roman" w:hAnsi="Segoe UI" w:cs="Segoe UI"/>
          <w:kern w:val="0"/>
          <w:sz w:val="21"/>
          <w:szCs w:val="21"/>
          <w14:ligatures w14:val="none"/>
        </w:rPr>
        <w:t>are</w:t>
      </w:r>
      <w:proofErr w:type="gramEnd"/>
      <w:r w:rsidRPr="005E2EFA">
        <w:rPr>
          <w:rFonts w:ascii="Segoe UI" w:eastAsia="Times New Roman" w:hAnsi="Segoe UI" w:cs="Segoe UI"/>
          <w:kern w:val="0"/>
          <w:sz w:val="21"/>
          <w:szCs w:val="21"/>
          <w14:ligatures w14:val="none"/>
        </w:rPr>
        <w:t xml:space="preserve"> the specific backup, restore, and rollback procedures?</w:t>
      </w:r>
    </w:p>
    <w:p w14:paraId="72B64BBA"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p>
    <w:p w14:paraId="56840419" w14:textId="77777777" w:rsidR="005E2EFA" w:rsidRPr="005E2EFA" w:rsidRDefault="005E2EFA" w:rsidP="005E2EF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Backup:</w:t>
      </w:r>
      <w:r w:rsidRPr="005E2EFA">
        <w:rPr>
          <w:rFonts w:ascii="Segoe UI" w:eastAsia="Times New Roman" w:hAnsi="Segoe UI" w:cs="Segoe UI"/>
          <w:kern w:val="0"/>
          <w:sz w:val="21"/>
          <w:szCs w:val="21"/>
          <w14:ligatures w14:val="none"/>
        </w:rPr>
        <w:t> Daily full DB dump at 02:00 UTC; continuous WAL archiving every 15 min; 30-day retention.</w:t>
      </w:r>
    </w:p>
    <w:p w14:paraId="219E11B8" w14:textId="77777777" w:rsidR="005E2EFA" w:rsidRPr="005E2EFA" w:rsidRDefault="005E2EFA" w:rsidP="005E2EF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Restore:</w:t>
      </w:r>
      <w:r w:rsidRPr="005E2EFA">
        <w:rPr>
          <w:rFonts w:ascii="Segoe UI" w:eastAsia="Times New Roman" w:hAnsi="Segoe UI" w:cs="Segoe UI"/>
          <w:kern w:val="0"/>
          <w:sz w:val="21"/>
          <w:szCs w:val="21"/>
          <w14:ligatures w14:val="none"/>
        </w:rPr>
        <w:t> Documented restore procedure tested quarterly; RTO &lt; 4 hours, RPO &lt; 15 minutes.</w:t>
      </w:r>
    </w:p>
    <w:p w14:paraId="481A8321" w14:textId="77777777" w:rsidR="005E2EFA" w:rsidRPr="005E2EFA" w:rsidRDefault="005E2EFA" w:rsidP="005E2EF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Rollback:</w:t>
      </w:r>
      <w:r w:rsidRPr="005E2EFA">
        <w:rPr>
          <w:rFonts w:ascii="Segoe UI" w:eastAsia="Times New Roman" w:hAnsi="Segoe UI" w:cs="Segoe UI"/>
          <w:kern w:val="0"/>
          <w:sz w:val="21"/>
          <w:szCs w:val="21"/>
          <w14:ligatures w14:val="none"/>
        </w:rPr>
        <w:t> Application-level rollback via Docker tag pinning; database rollback via latest pre-change backup; rollback window 2 hours.</w:t>
      </w:r>
    </w:p>
    <w:p w14:paraId="3C25672C"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Daily full + 15-min WAL achieves 15-minute RPO. Quarterly restore tests verify recoverability. 2-hour rollback window balances safety with operational overhead.</w:t>
      </w:r>
    </w:p>
    <w:p w14:paraId="0545A6FD"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6A75C880">
          <v:rect id="_x0000_i1036" style="width:0;height:.75pt" o:hralign="center" o:hrstd="t" o:hr="t" fillcolor="#a0a0a0" stroked="f"/>
        </w:pict>
      </w:r>
    </w:p>
    <w:p w14:paraId="5C23F581"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D12: Monitoring and Alerting</w:t>
      </w:r>
    </w:p>
    <w:p w14:paraId="6A8E2C2B"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metrics are monitored and what are alert thresholds?</w:t>
      </w:r>
    </w:p>
    <w:p w14:paraId="6B416820"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p>
    <w:p w14:paraId="47449327" w14:textId="77777777" w:rsidR="005E2EFA" w:rsidRPr="005E2EFA" w:rsidRDefault="005E2EFA" w:rsidP="005E2EF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Critical alerts (page immediately):</w:t>
      </w:r>
      <w:r w:rsidRPr="005E2EFA">
        <w:rPr>
          <w:rFonts w:ascii="Segoe UI" w:eastAsia="Times New Roman" w:hAnsi="Segoe UI" w:cs="Segoe UI"/>
          <w:kern w:val="0"/>
          <w:sz w:val="21"/>
          <w:szCs w:val="21"/>
          <w14:ligatures w14:val="none"/>
        </w:rPr>
        <w:t> System down, DB unreachable, payment webhook failure rate &gt; 5%.</w:t>
      </w:r>
    </w:p>
    <w:p w14:paraId="2CCE1F01" w14:textId="77777777" w:rsidR="005E2EFA" w:rsidRPr="005E2EFA" w:rsidRDefault="005E2EFA" w:rsidP="005E2EF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Warning alerts (notify within 4h):</w:t>
      </w:r>
      <w:r w:rsidRPr="005E2EFA">
        <w:rPr>
          <w:rFonts w:ascii="Segoe UI" w:eastAsia="Times New Roman" w:hAnsi="Segoe UI" w:cs="Segoe UI"/>
          <w:kern w:val="0"/>
          <w:sz w:val="21"/>
          <w:szCs w:val="21"/>
          <w14:ligatures w14:val="none"/>
        </w:rPr>
        <w:t xml:space="preserve"> Provisioning latency &gt; 5s, AI </w:t>
      </w:r>
      <w:proofErr w:type="gramStart"/>
      <w:r w:rsidRPr="005E2EFA">
        <w:rPr>
          <w:rFonts w:ascii="Segoe UI" w:eastAsia="Times New Roman" w:hAnsi="Segoe UI" w:cs="Segoe UI"/>
          <w:kern w:val="0"/>
          <w:sz w:val="21"/>
          <w:szCs w:val="21"/>
          <w14:ligatures w14:val="none"/>
        </w:rPr>
        <w:t>first-token</w:t>
      </w:r>
      <w:proofErr w:type="gramEnd"/>
      <w:r w:rsidRPr="005E2EFA">
        <w:rPr>
          <w:rFonts w:ascii="Segoe UI" w:eastAsia="Times New Roman" w:hAnsi="Segoe UI" w:cs="Segoe UI"/>
          <w:kern w:val="0"/>
          <w:sz w:val="21"/>
          <w:szCs w:val="21"/>
          <w14:ligatures w14:val="none"/>
        </w:rPr>
        <w:t xml:space="preserve"> &gt; 3s, disk usage &gt; 80%.</w:t>
      </w:r>
    </w:p>
    <w:p w14:paraId="7A88290D" w14:textId="77777777" w:rsidR="005E2EFA" w:rsidRPr="005E2EFA" w:rsidRDefault="005E2EFA" w:rsidP="005E2EF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lastRenderedPageBreak/>
        <w:t>Notification channel:</w:t>
      </w:r>
      <w:r w:rsidRPr="005E2EFA">
        <w:rPr>
          <w:rFonts w:ascii="Segoe UI" w:eastAsia="Times New Roman" w:hAnsi="Segoe UI" w:cs="Segoe UI"/>
          <w:kern w:val="0"/>
          <w:sz w:val="21"/>
          <w:szCs w:val="21"/>
          <w14:ligatures w14:val="none"/>
        </w:rPr>
        <w:t> Slack #platform-ops channel + email to on-call.</w:t>
      </w:r>
    </w:p>
    <w:p w14:paraId="549BC0B2" w14:textId="77777777" w:rsidR="005E2EFA" w:rsidRPr="005E2EFA" w:rsidRDefault="005E2EFA" w:rsidP="005E2EF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Alert owner:</w:t>
      </w:r>
      <w:r w:rsidRPr="005E2EFA">
        <w:rPr>
          <w:rFonts w:ascii="Segoe UI" w:eastAsia="Times New Roman" w:hAnsi="Segoe UI" w:cs="Segoe UI"/>
          <w:kern w:val="0"/>
          <w:sz w:val="21"/>
          <w:szCs w:val="21"/>
          <w14:ligatures w14:val="none"/>
        </w:rPr>
        <w:t> Platform operations engineer (to be named at Phase 5).</w:t>
      </w:r>
    </w:p>
    <w:p w14:paraId="763C58EF"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Critical alerts require immediate human intervention. Warnings provide early warning for degradation. Multiple notification channels ensure alert delivery. On-call ownership rotates during pilot.</w:t>
      </w:r>
    </w:p>
    <w:p w14:paraId="421DE643"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4399C146">
          <v:rect id="_x0000_i1037" style="width:0;height:.75pt" o:hralign="center" o:hrstd="t" o:hr="t" fillcolor="#a0a0a0" stroked="f"/>
        </w:pict>
      </w:r>
    </w:p>
    <w:p w14:paraId="10177601"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D13: Log Retention</w:t>
      </w:r>
    </w:p>
    <w:p w14:paraId="6F16B9C9"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How long are logs retained and where are they stored?</w:t>
      </w:r>
    </w:p>
    <w:p w14:paraId="55E2416A"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r w:rsidRPr="005E2EFA">
        <w:rPr>
          <w:rFonts w:ascii="Segoe UI" w:eastAsia="Times New Roman" w:hAnsi="Segoe UI" w:cs="Segoe UI"/>
          <w:kern w:val="0"/>
          <w:sz w:val="21"/>
          <w:szCs w:val="21"/>
          <w14:ligatures w14:val="none"/>
        </w:rPr>
        <w:t> 90 days in local volume </w:t>
      </w:r>
      <w:r w:rsidRPr="005E2EFA">
        <w:rPr>
          <w:rFonts w:ascii="Consolas" w:eastAsia="Times New Roman" w:hAnsi="Consolas" w:cs="Courier New"/>
          <w:kern w:val="0"/>
          <w:sz w:val="21"/>
          <w:szCs w:val="21"/>
          <w14:ligatures w14:val="none"/>
        </w:rPr>
        <w:t>/var/log/</w:t>
      </w:r>
      <w:proofErr w:type="spellStart"/>
      <w:r w:rsidRPr="005E2EFA">
        <w:rPr>
          <w:rFonts w:ascii="Consolas" w:eastAsia="Times New Roman" w:hAnsi="Consolas" w:cs="Courier New"/>
          <w:kern w:val="0"/>
          <w:sz w:val="21"/>
          <w:szCs w:val="21"/>
          <w14:ligatures w14:val="none"/>
        </w:rPr>
        <w:t>inovexa</w:t>
      </w:r>
      <w:proofErr w:type="spellEnd"/>
      <w:r w:rsidRPr="005E2EFA">
        <w:rPr>
          <w:rFonts w:ascii="Consolas" w:eastAsia="Times New Roman" w:hAnsi="Consolas" w:cs="Courier New"/>
          <w:kern w:val="0"/>
          <w:sz w:val="21"/>
          <w:szCs w:val="21"/>
          <w14:ligatures w14:val="none"/>
        </w:rPr>
        <w:t>/</w:t>
      </w:r>
      <w:r w:rsidRPr="005E2EFA">
        <w:rPr>
          <w:rFonts w:ascii="Segoe UI" w:eastAsia="Times New Roman" w:hAnsi="Segoe UI" w:cs="Segoe UI"/>
          <w:kern w:val="0"/>
          <w:sz w:val="21"/>
          <w:szCs w:val="21"/>
          <w14:ligatures w14:val="none"/>
        </w:rPr>
        <w:t xml:space="preserve"> with </w:t>
      </w:r>
      <w:proofErr w:type="spellStart"/>
      <w:r w:rsidRPr="005E2EFA">
        <w:rPr>
          <w:rFonts w:ascii="Segoe UI" w:eastAsia="Times New Roman" w:hAnsi="Segoe UI" w:cs="Segoe UI"/>
          <w:kern w:val="0"/>
          <w:sz w:val="21"/>
          <w:szCs w:val="21"/>
          <w14:ligatures w14:val="none"/>
        </w:rPr>
        <w:t>logrotate</w:t>
      </w:r>
      <w:proofErr w:type="spellEnd"/>
      <w:r w:rsidRPr="005E2EFA">
        <w:rPr>
          <w:rFonts w:ascii="Segoe UI" w:eastAsia="Times New Roman" w:hAnsi="Segoe UI" w:cs="Segoe UI"/>
          <w:kern w:val="0"/>
          <w:sz w:val="21"/>
          <w:szCs w:val="21"/>
          <w14:ligatures w14:val="none"/>
        </w:rPr>
        <w:t>; 365 days for audit/security events (payment webhooks, RLS access denials, AI allowance exhaustion).</w:t>
      </w:r>
    </w:p>
    <w:p w14:paraId="63F460D6"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90-day operational window supports troubleshooting. 365-day retention satisfies audit/compliance requirements for financial and security events. Centralized log directory simplifies management.</w:t>
      </w:r>
    </w:p>
    <w:p w14:paraId="308DC5D2"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7C986E0C">
          <v:rect id="_x0000_i1038" style="width:0;height:.75pt" o:hralign="center" o:hrstd="t" o:hr="t" fillcolor="#a0a0a0" stroked="f"/>
        </w:pict>
      </w:r>
    </w:p>
    <w:p w14:paraId="49EAD69D"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D14: Secrets Rotation</w:t>
      </w:r>
    </w:p>
    <w:p w14:paraId="51383042"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is the secrets rotation cadence and process?</w:t>
      </w:r>
    </w:p>
    <w:p w14:paraId="73A02B0A"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p>
    <w:p w14:paraId="62A02162" w14:textId="77777777" w:rsidR="005E2EFA" w:rsidRPr="005E2EFA" w:rsidRDefault="005E2EFA" w:rsidP="005E2EF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LLM provider API keys: 90-day rotation with 14-day overlap.</w:t>
      </w:r>
    </w:p>
    <w:p w14:paraId="342D8518" w14:textId="77777777" w:rsidR="005E2EFA" w:rsidRPr="005E2EFA" w:rsidRDefault="005E2EFA" w:rsidP="005E2EF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JWT signing secret: 30-day rotation with 7-day overlap (supporting key versioning for graceful transition).</w:t>
      </w:r>
    </w:p>
    <w:p w14:paraId="5157B10D" w14:textId="77777777" w:rsidR="005E2EFA" w:rsidRPr="005E2EFA" w:rsidRDefault="005E2EFA" w:rsidP="005E2EF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kern w:val="0"/>
          <w:sz w:val="21"/>
          <w:szCs w:val="21"/>
          <w14:ligatures w14:val="none"/>
        </w:rPr>
        <w:t>Payment gateway keys: 180-day rotation.</w:t>
      </w:r>
    </w:p>
    <w:p w14:paraId="2C301691"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LLM keys have highest exposure due to cost; 90-day rotation balances security with operational overhead. JWT rotation at 30 days aligns with common security standards. Payment keys rotate less frequently as they are merchant keys with external rotation processes.</w:t>
      </w:r>
    </w:p>
    <w:p w14:paraId="31E76350"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7EC2B778">
          <v:rect id="_x0000_i1039" style="width:0;height:.75pt" o:hralign="center" o:hrstd="t" o:hr="t" fillcolor="#a0a0a0" stroked="f"/>
        </w:pict>
      </w:r>
    </w:p>
    <w:p w14:paraId="14D9B34E"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D15: Provisioning SLO Measurement Boundaries</w:t>
      </w:r>
    </w:p>
    <w:p w14:paraId="7EC0767F"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are the exact start and end points for measuring the "Payment-to-Moodle provisioning &lt; 3 seconds" SLO?</w:t>
      </w:r>
    </w:p>
    <w:p w14:paraId="388EEB0F"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p>
    <w:p w14:paraId="5DDC8147" w14:textId="77777777" w:rsidR="005E2EFA" w:rsidRPr="005E2EFA" w:rsidRDefault="005E2EFA" w:rsidP="005E2EF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lastRenderedPageBreak/>
        <w:t>Start:</w:t>
      </w:r>
      <w:r w:rsidRPr="005E2EFA">
        <w:rPr>
          <w:rFonts w:ascii="Segoe UI" w:eastAsia="Times New Roman" w:hAnsi="Segoe UI" w:cs="Segoe UI"/>
          <w:kern w:val="0"/>
          <w:sz w:val="21"/>
          <w:szCs w:val="21"/>
          <w14:ligatures w14:val="none"/>
        </w:rPr>
        <w:t> Django receives and validates payment webhook, license status transitions to </w:t>
      </w:r>
      <w:r w:rsidRPr="005E2EFA">
        <w:rPr>
          <w:rFonts w:ascii="Consolas" w:eastAsia="Times New Roman" w:hAnsi="Consolas" w:cs="Courier New"/>
          <w:kern w:val="0"/>
          <w:sz w:val="21"/>
          <w:szCs w:val="21"/>
          <w14:ligatures w14:val="none"/>
        </w:rPr>
        <w:t>succeeded</w:t>
      </w:r>
    </w:p>
    <w:p w14:paraId="6F587108" w14:textId="77777777" w:rsidR="005E2EFA" w:rsidRPr="005E2EFA" w:rsidRDefault="005E2EFA" w:rsidP="005E2EF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End:</w:t>
      </w:r>
      <w:r w:rsidRPr="005E2EFA">
        <w:rPr>
          <w:rFonts w:ascii="Segoe UI" w:eastAsia="Times New Roman" w:hAnsi="Segoe UI" w:cs="Segoe UI"/>
          <w:kern w:val="0"/>
          <w:sz w:val="21"/>
          <w:szCs w:val="21"/>
          <w14:ligatures w14:val="none"/>
        </w:rPr>
        <w:t> Celery task completes Moodle user creation + cohort assignment (if institutional) + Django issues signed SSO JWT returned to client</w:t>
      </w:r>
    </w:p>
    <w:p w14:paraId="2EF543DB" w14:textId="77777777" w:rsidR="005E2EFA" w:rsidRPr="005E2EFA" w:rsidRDefault="005E2EFA" w:rsidP="005E2EF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Included:</w:t>
      </w:r>
      <w:r w:rsidRPr="005E2EFA">
        <w:rPr>
          <w:rFonts w:ascii="Segoe UI" w:eastAsia="Times New Roman" w:hAnsi="Segoe UI" w:cs="Segoe UI"/>
          <w:kern w:val="0"/>
          <w:sz w:val="21"/>
          <w:szCs w:val="21"/>
          <w14:ligatures w14:val="none"/>
        </w:rPr>
        <w:t> Payment validation, Celery task queuing/execution, Moodle REST API calls, JWT generation</w:t>
      </w:r>
    </w:p>
    <w:p w14:paraId="1238FD75" w14:textId="77777777" w:rsidR="005E2EFA" w:rsidRPr="005E2EFA" w:rsidRDefault="005E2EFA" w:rsidP="005E2EF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Excluded:</w:t>
      </w:r>
      <w:r w:rsidRPr="005E2EFA">
        <w:rPr>
          <w:rFonts w:ascii="Segoe UI" w:eastAsia="Times New Roman" w:hAnsi="Segoe UI" w:cs="Segoe UI"/>
          <w:kern w:val="0"/>
          <w:sz w:val="21"/>
          <w:szCs w:val="21"/>
          <w14:ligatures w14:val="none"/>
        </w:rPr>
        <w:t> Payment gateway processing time, user browser redirect, Moodle session creation/render</w:t>
      </w:r>
    </w:p>
    <w:p w14:paraId="2F601D43" w14:textId="77777777" w:rsidR="005E2EFA" w:rsidRPr="005E2EFA" w:rsidRDefault="005E2EFA" w:rsidP="005E2EF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Retry handling:</w:t>
      </w:r>
      <w:r w:rsidRPr="005E2EFA">
        <w:rPr>
          <w:rFonts w:ascii="Segoe UI" w:eastAsia="Times New Roman" w:hAnsi="Segoe UI" w:cs="Segoe UI"/>
          <w:kern w:val="0"/>
          <w:sz w:val="21"/>
          <w:szCs w:val="21"/>
          <w14:ligatures w14:val="none"/>
        </w:rPr>
        <w:t xml:space="preserve"> Timer runs continuously through Celery retries (3x, 1s/5s/25s); SLO violation recorded if all retries </w:t>
      </w:r>
      <w:proofErr w:type="gramStart"/>
      <w:r w:rsidRPr="005E2EFA">
        <w:rPr>
          <w:rFonts w:ascii="Segoe UI" w:eastAsia="Times New Roman" w:hAnsi="Segoe UI" w:cs="Segoe UI"/>
          <w:kern w:val="0"/>
          <w:sz w:val="21"/>
          <w:szCs w:val="21"/>
          <w14:ligatures w14:val="none"/>
        </w:rPr>
        <w:t>fail</w:t>
      </w:r>
      <w:proofErr w:type="gramEnd"/>
    </w:p>
    <w:p w14:paraId="154F702E"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Measures end-to-end user-perceived latency from confirmed payment to learnable access. Excludes external factors (payment gateway, network) while capturing all system-controlled steps. Continuous timer through retries reflects actual user experience.</w:t>
      </w:r>
    </w:p>
    <w:p w14:paraId="4B1EC79E" w14:textId="77777777" w:rsidR="005E2EFA" w:rsidRPr="005E2EFA" w:rsidRDefault="005E2EFA" w:rsidP="005E2EFA">
      <w:pPr>
        <w:spacing w:after="0" w:line="240" w:lineRule="auto"/>
        <w:rPr>
          <w:rFonts w:ascii="Segoe UI" w:eastAsia="Times New Roman" w:hAnsi="Segoe UI" w:cs="Segoe UI"/>
          <w:kern w:val="0"/>
          <w:sz w:val="21"/>
          <w:szCs w:val="21"/>
          <w14:ligatures w14:val="none"/>
        </w:rPr>
      </w:pPr>
      <w:r w:rsidRPr="005E2EFA">
        <w:rPr>
          <w:rFonts w:ascii="Times New Roman" w:eastAsia="Times New Roman" w:hAnsi="Times New Roman" w:cs="Times New Roman"/>
          <w:kern w:val="0"/>
          <w:sz w:val="24"/>
          <w:szCs w:val="24"/>
          <w14:ligatures w14:val="none"/>
        </w:rPr>
        <w:pict w14:anchorId="0F057334">
          <v:rect id="_x0000_i1040" style="width:0;height:.75pt" o:hralign="center" o:hrstd="t" o:hr="t" fillcolor="#a0a0a0" stroked="f"/>
        </w:pict>
      </w:r>
    </w:p>
    <w:p w14:paraId="76DCD59B" w14:textId="77777777" w:rsidR="005E2EFA" w:rsidRPr="005E2EFA" w:rsidRDefault="005E2EFA" w:rsidP="005E2EFA">
      <w:pPr>
        <w:spacing w:before="360" w:after="240" w:line="240" w:lineRule="auto"/>
        <w:outlineLvl w:val="1"/>
        <w:rPr>
          <w:rFonts w:ascii="Segoe UI" w:eastAsia="Times New Roman" w:hAnsi="Segoe UI" w:cs="Segoe UI"/>
          <w:b/>
          <w:bCs/>
          <w:kern w:val="0"/>
          <w:sz w:val="36"/>
          <w:szCs w:val="36"/>
          <w14:ligatures w14:val="none"/>
        </w:rPr>
      </w:pPr>
      <w:r w:rsidRPr="005E2EFA">
        <w:rPr>
          <w:rFonts w:ascii="Segoe UI" w:eastAsia="Times New Roman" w:hAnsi="Segoe UI" w:cs="Segoe UI"/>
          <w:b/>
          <w:bCs/>
          <w:kern w:val="0"/>
          <w:sz w:val="36"/>
          <w:szCs w:val="36"/>
          <w14:ligatures w14:val="none"/>
        </w:rPr>
        <w:t>D16: AI First-Token Latency SLO Measurement Boundaries</w:t>
      </w:r>
    </w:p>
    <w:p w14:paraId="10FB9A04"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Question:</w:t>
      </w:r>
      <w:r w:rsidRPr="005E2EFA">
        <w:rPr>
          <w:rFonts w:ascii="Segoe UI" w:eastAsia="Times New Roman" w:hAnsi="Segoe UI" w:cs="Segoe UI"/>
          <w:kern w:val="0"/>
          <w:sz w:val="21"/>
          <w:szCs w:val="21"/>
          <w14:ligatures w14:val="none"/>
        </w:rPr>
        <w:t> What are the exact start and end points for measuring the "AI first-token latency &lt; 1.5 seconds" SLO?</w:t>
      </w:r>
    </w:p>
    <w:p w14:paraId="1F5044ED" w14:textId="77777777" w:rsidR="005E2EFA" w:rsidRPr="005E2EFA" w:rsidRDefault="005E2EFA" w:rsidP="005E2EF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Approved Answer:</w:t>
      </w:r>
    </w:p>
    <w:p w14:paraId="6570F7C9" w14:textId="77777777" w:rsidR="005E2EFA" w:rsidRPr="005E2EFA" w:rsidRDefault="005E2EFA" w:rsidP="005E2EF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Start:</w:t>
      </w:r>
      <w:r w:rsidRPr="005E2EFA">
        <w:rPr>
          <w:rFonts w:ascii="Segoe UI" w:eastAsia="Times New Roman" w:hAnsi="Segoe UI" w:cs="Segoe UI"/>
          <w:kern w:val="0"/>
          <w:sz w:val="21"/>
          <w:szCs w:val="21"/>
          <w14:ligatures w14:val="none"/>
        </w:rPr>
        <w:t> </w:t>
      </w:r>
      <w:proofErr w:type="spellStart"/>
      <w:r w:rsidRPr="005E2EFA">
        <w:rPr>
          <w:rFonts w:ascii="Segoe UI" w:eastAsia="Times New Roman" w:hAnsi="Segoe UI" w:cs="Segoe UI"/>
          <w:kern w:val="0"/>
          <w:sz w:val="21"/>
          <w:szCs w:val="21"/>
          <w14:ligatures w14:val="none"/>
        </w:rPr>
        <w:t>FastAPI</w:t>
      </w:r>
      <w:proofErr w:type="spellEnd"/>
      <w:r w:rsidRPr="005E2EFA">
        <w:rPr>
          <w:rFonts w:ascii="Segoe UI" w:eastAsia="Times New Roman" w:hAnsi="Segoe UI" w:cs="Segoe UI"/>
          <w:kern w:val="0"/>
          <w:sz w:val="21"/>
          <w:szCs w:val="21"/>
          <w14:ligatures w14:val="none"/>
        </w:rPr>
        <w:t xml:space="preserve"> receives the Socratic evaluation request from Moodle (includes question stem, rubric solution, student response/working, topic mastery context)</w:t>
      </w:r>
    </w:p>
    <w:p w14:paraId="39DEC2FF" w14:textId="77777777" w:rsidR="005E2EFA" w:rsidRPr="005E2EFA" w:rsidRDefault="005E2EFA" w:rsidP="005E2EF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End:</w:t>
      </w:r>
      <w:r w:rsidRPr="005E2EFA">
        <w:rPr>
          <w:rFonts w:ascii="Segoe UI" w:eastAsia="Times New Roman" w:hAnsi="Segoe UI" w:cs="Segoe UI"/>
          <w:kern w:val="0"/>
          <w:sz w:val="21"/>
          <w:szCs w:val="21"/>
          <w14:ligatures w14:val="none"/>
        </w:rPr>
        <w:t> </w:t>
      </w:r>
      <w:proofErr w:type="spellStart"/>
      <w:r w:rsidRPr="005E2EFA">
        <w:rPr>
          <w:rFonts w:ascii="Segoe UI" w:eastAsia="Times New Roman" w:hAnsi="Segoe UI" w:cs="Segoe UI"/>
          <w:kern w:val="0"/>
          <w:sz w:val="21"/>
          <w:szCs w:val="21"/>
          <w14:ligatures w14:val="none"/>
        </w:rPr>
        <w:t>FastAPI</w:t>
      </w:r>
      <w:proofErr w:type="spellEnd"/>
      <w:r w:rsidRPr="005E2EFA">
        <w:rPr>
          <w:rFonts w:ascii="Segoe UI" w:eastAsia="Times New Roman" w:hAnsi="Segoe UI" w:cs="Segoe UI"/>
          <w:kern w:val="0"/>
          <w:sz w:val="21"/>
          <w:szCs w:val="21"/>
          <w14:ligatures w14:val="none"/>
        </w:rPr>
        <w:t xml:space="preserve"> sends the first byte of the AI-generated response to Moodle via the Server-Sent Events (SSE) connection</w:t>
      </w:r>
    </w:p>
    <w:p w14:paraId="31EB7679" w14:textId="77777777" w:rsidR="005E2EFA" w:rsidRPr="005E2EFA" w:rsidRDefault="005E2EFA" w:rsidP="005E2EF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Included:</w:t>
      </w:r>
      <w:r w:rsidRPr="005E2EFA">
        <w:rPr>
          <w:rFonts w:ascii="Segoe UI" w:eastAsia="Times New Roman" w:hAnsi="Segoe UI" w:cs="Segoe UI"/>
          <w:kern w:val="0"/>
          <w:sz w:val="21"/>
          <w:szCs w:val="21"/>
          <w14:ligatures w14:val="none"/>
        </w:rPr>
        <w:t> Request validation, context assembly, model selection, provider API call, first token generation</w:t>
      </w:r>
    </w:p>
    <w:p w14:paraId="312CBE86" w14:textId="77777777" w:rsidR="005E2EFA" w:rsidRPr="005E2EFA" w:rsidRDefault="005E2EFA" w:rsidP="005E2EF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Excluded:</w:t>
      </w:r>
      <w:r w:rsidRPr="005E2EFA">
        <w:rPr>
          <w:rFonts w:ascii="Segoe UI" w:eastAsia="Times New Roman" w:hAnsi="Segoe UI" w:cs="Segoe UI"/>
          <w:kern w:val="0"/>
          <w:sz w:val="21"/>
          <w:szCs w:val="21"/>
          <w14:ligatures w14:val="none"/>
        </w:rPr>
        <w:t> Moodle network transmission time, browser rendering/display time</w:t>
      </w:r>
    </w:p>
    <w:p w14:paraId="1C95E7DC" w14:textId="77777777" w:rsidR="005E2EFA" w:rsidRPr="005E2EFA" w:rsidRDefault="005E2EFA" w:rsidP="005E2EF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Retry handling:</w:t>
      </w:r>
      <w:r w:rsidRPr="005E2EFA">
        <w:rPr>
          <w:rFonts w:ascii="Segoe UI" w:eastAsia="Times New Roman" w:hAnsi="Segoe UI" w:cs="Segoe UI"/>
          <w:kern w:val="0"/>
          <w:sz w:val="21"/>
          <w:szCs w:val="21"/>
          <w14:ligatures w14:val="none"/>
        </w:rPr>
        <w:t xml:space="preserve"> Timer runs continuously through provider retry attempts (if implemented); SLO violation recorded if all retry attempts exceed threshold or fail </w:t>
      </w:r>
      <w:proofErr w:type="gramStart"/>
      <w:r w:rsidRPr="005E2EFA">
        <w:rPr>
          <w:rFonts w:ascii="Segoe UI" w:eastAsia="Times New Roman" w:hAnsi="Segoe UI" w:cs="Segoe UI"/>
          <w:kern w:val="0"/>
          <w:sz w:val="21"/>
          <w:szCs w:val="21"/>
          <w14:ligatures w14:val="none"/>
        </w:rPr>
        <w:t>completely</w:t>
      </w:r>
      <w:proofErr w:type="gramEnd"/>
    </w:p>
    <w:p w14:paraId="5C76EDEB" w14:textId="71A9F358" w:rsidR="00A70E78" w:rsidRPr="00E46A3A" w:rsidRDefault="005E2EFA" w:rsidP="00E46A3A">
      <w:pPr>
        <w:spacing w:after="240" w:line="240" w:lineRule="auto"/>
        <w:rPr>
          <w:rFonts w:ascii="Segoe UI" w:eastAsia="Times New Roman" w:hAnsi="Segoe UI" w:cs="Segoe UI"/>
          <w:kern w:val="0"/>
          <w:sz w:val="21"/>
          <w:szCs w:val="21"/>
          <w14:ligatures w14:val="none"/>
        </w:rPr>
      </w:pPr>
      <w:r w:rsidRPr="005E2EFA">
        <w:rPr>
          <w:rFonts w:ascii="Segoe UI" w:eastAsia="Times New Roman" w:hAnsi="Segoe UI" w:cs="Segoe UI"/>
          <w:b/>
          <w:bCs/>
          <w:kern w:val="0"/>
          <w:sz w:val="21"/>
          <w:szCs w:val="21"/>
          <w14:ligatures w14:val="none"/>
        </w:rPr>
        <w:t>Rationale:</w:t>
      </w:r>
      <w:r w:rsidRPr="005E2EFA">
        <w:rPr>
          <w:rFonts w:ascii="Segoe UI" w:eastAsia="Times New Roman" w:hAnsi="Segoe UI" w:cs="Segoe UI"/>
          <w:kern w:val="0"/>
          <w:sz w:val="21"/>
          <w:szCs w:val="21"/>
          <w14:ligatures w14:val="none"/>
        </w:rPr>
        <w:t> Measures the core AI service latency from request receipt to first token output, matching the PRD's "first token stream" requirement. Excludes external network factors while capturing all AI service-controlled steps. Continuous timer through retries reflects actual user-perceived latency when transient provider failures occur.</w:t>
      </w:r>
    </w:p>
    <w:sectPr w:rsidR="00A70E78" w:rsidRPr="00E46A3A" w:rsidSect="005E2EFA">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D7EBC"/>
    <w:multiLevelType w:val="multilevel"/>
    <w:tmpl w:val="A64E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5BBE"/>
    <w:multiLevelType w:val="multilevel"/>
    <w:tmpl w:val="907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808EC"/>
    <w:multiLevelType w:val="multilevel"/>
    <w:tmpl w:val="0C10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D3E9E"/>
    <w:multiLevelType w:val="multilevel"/>
    <w:tmpl w:val="00E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25102"/>
    <w:multiLevelType w:val="multilevel"/>
    <w:tmpl w:val="0D8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669605">
    <w:abstractNumId w:val="3"/>
  </w:num>
  <w:num w:numId="2" w16cid:durableId="1168061894">
    <w:abstractNumId w:val="2"/>
  </w:num>
  <w:num w:numId="3" w16cid:durableId="1628774649">
    <w:abstractNumId w:val="1"/>
  </w:num>
  <w:num w:numId="4" w16cid:durableId="1828014217">
    <w:abstractNumId w:val="0"/>
  </w:num>
  <w:num w:numId="5" w16cid:durableId="338040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FA"/>
    <w:rsid w:val="00357256"/>
    <w:rsid w:val="00501FB8"/>
    <w:rsid w:val="005E2EFA"/>
    <w:rsid w:val="00A70E78"/>
    <w:rsid w:val="00DA0638"/>
    <w:rsid w:val="00E46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7915"/>
  <w15:chartTrackingRefBased/>
  <w15:docId w15:val="{51E3BAAD-01AD-4973-996D-B6F6A083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2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2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FA"/>
    <w:rPr>
      <w:rFonts w:eastAsiaTheme="majorEastAsia" w:cstheme="majorBidi"/>
      <w:color w:val="272727" w:themeColor="text1" w:themeTint="D8"/>
    </w:rPr>
  </w:style>
  <w:style w:type="paragraph" w:styleId="Title">
    <w:name w:val="Title"/>
    <w:basedOn w:val="Normal"/>
    <w:next w:val="Normal"/>
    <w:link w:val="TitleChar"/>
    <w:uiPriority w:val="10"/>
    <w:qFormat/>
    <w:rsid w:val="005E2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FA"/>
    <w:pPr>
      <w:spacing w:before="160"/>
      <w:jc w:val="center"/>
    </w:pPr>
    <w:rPr>
      <w:i/>
      <w:iCs/>
      <w:color w:val="404040" w:themeColor="text1" w:themeTint="BF"/>
    </w:rPr>
  </w:style>
  <w:style w:type="character" w:customStyle="1" w:styleId="QuoteChar">
    <w:name w:val="Quote Char"/>
    <w:basedOn w:val="DefaultParagraphFont"/>
    <w:link w:val="Quote"/>
    <w:uiPriority w:val="29"/>
    <w:rsid w:val="005E2EFA"/>
    <w:rPr>
      <w:i/>
      <w:iCs/>
      <w:color w:val="404040" w:themeColor="text1" w:themeTint="BF"/>
    </w:rPr>
  </w:style>
  <w:style w:type="paragraph" w:styleId="ListParagraph">
    <w:name w:val="List Paragraph"/>
    <w:basedOn w:val="Normal"/>
    <w:uiPriority w:val="34"/>
    <w:qFormat/>
    <w:rsid w:val="005E2EFA"/>
    <w:pPr>
      <w:ind w:left="720"/>
      <w:contextualSpacing/>
    </w:pPr>
  </w:style>
  <w:style w:type="character" w:styleId="IntenseEmphasis">
    <w:name w:val="Intense Emphasis"/>
    <w:basedOn w:val="DefaultParagraphFont"/>
    <w:uiPriority w:val="21"/>
    <w:qFormat/>
    <w:rsid w:val="005E2EFA"/>
    <w:rPr>
      <w:i/>
      <w:iCs/>
      <w:color w:val="0F4761" w:themeColor="accent1" w:themeShade="BF"/>
    </w:rPr>
  </w:style>
  <w:style w:type="paragraph" w:styleId="IntenseQuote">
    <w:name w:val="Intense Quote"/>
    <w:basedOn w:val="Normal"/>
    <w:next w:val="Normal"/>
    <w:link w:val="IntenseQuoteChar"/>
    <w:uiPriority w:val="30"/>
    <w:qFormat/>
    <w:rsid w:val="005E2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EFA"/>
    <w:rPr>
      <w:i/>
      <w:iCs/>
      <w:color w:val="0F4761" w:themeColor="accent1" w:themeShade="BF"/>
    </w:rPr>
  </w:style>
  <w:style w:type="character" w:styleId="IntenseReference">
    <w:name w:val="Intense Reference"/>
    <w:basedOn w:val="DefaultParagraphFont"/>
    <w:uiPriority w:val="32"/>
    <w:qFormat/>
    <w:rsid w:val="005E2EFA"/>
    <w:rPr>
      <w:b/>
      <w:bCs/>
      <w:smallCaps/>
      <w:color w:val="0F4761" w:themeColor="accent1" w:themeShade="BF"/>
      <w:spacing w:val="5"/>
    </w:rPr>
  </w:style>
  <w:style w:type="paragraph" w:customStyle="1" w:styleId="code-line">
    <w:name w:val="code-line"/>
    <w:basedOn w:val="Normal"/>
    <w:rsid w:val="005E2E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E2EFA"/>
    <w:rPr>
      <w:b/>
      <w:bCs/>
    </w:rPr>
  </w:style>
  <w:style w:type="character" w:styleId="HTMLCode">
    <w:name w:val="HTML Code"/>
    <w:basedOn w:val="DefaultParagraphFont"/>
    <w:uiPriority w:val="99"/>
    <w:semiHidden/>
    <w:unhideWhenUsed/>
    <w:rsid w:val="005E2EFA"/>
    <w:rPr>
      <w:rFonts w:ascii="Courier New" w:eastAsia="Times New Roman" w:hAnsi="Courier New" w:cs="Courier New"/>
      <w:sz w:val="20"/>
      <w:szCs w:val="20"/>
    </w:rPr>
  </w:style>
  <w:style w:type="table" w:styleId="PlainTable2">
    <w:name w:val="Plain Table 2"/>
    <w:basedOn w:val="TableNormal"/>
    <w:uiPriority w:val="42"/>
    <w:rsid w:val="00DA06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95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Medard Niwabiine</dc:creator>
  <cp:keywords/>
  <dc:description/>
  <cp:lastModifiedBy>Medard Niwabiine</cp:lastModifiedBy>
  <cp:revision>3</cp:revision>
  <dcterms:created xsi:type="dcterms:W3CDTF">2026-10-14T11:16:00Z</dcterms:created>
  <dcterms:modified xsi:type="dcterms:W3CDTF">2026-10-14T11:31:00Z</dcterms:modified>
</cp:coreProperties>
</file>