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Dollow Groundwater Observatory</w:t>
      </w:r>
    </w:p>
    <w:p>
      <w:pPr>
        <w:spacing w:after="240"/>
      </w:pPr>
      <w:r>
        <w:rPr>
          <w:i/>
          <w:iCs/>
          <w:color w:val="444444"/>
          <w:sz w:val="26"/>
          <w:szCs w:val="26"/>
        </w:rPr>
        <w:t xml:space="preserve">From site characterisation to utility operations: data requirements and ThingsBoard tool design</w:t>
      </w:r>
    </w:p>
    <w:p>
      <w:pPr>
        <w:pStyle w:val="Heading1"/>
      </w:pPr>
      <w:r>
        <w:t xml:space="preserve">Purpose</w:t>
      </w:r>
    </w:p>
    <w:p>
      <w:pPr>
        <w:spacing w:after="120"/>
      </w:pPr>
      <w:r>
        <w:t xml:space="preserve">The Dollow monitoring network records groundwater levels, river stage and salinity at 23 points in Dollow, Somalia. Measurements combine manual readings and sensor loggers, and part of the record is not yet levelled to metres above sea level (masl). To date, the data have supported site characterisation and the planning of managed aquifer recharge (MAR) infrastructure. Monitoring is planned to be handed over to the water utilities.</w:t>
      </w:r>
    </w:p>
    <w:p>
      <w:pPr>
        <w:spacing w:after="120"/>
      </w:pPr>
      <w:r>
        <w:t xml:space="preserve">The current dashboard answers a planning question: where is the water, and how does it behave? A utility needs answers to different questions, every day: can I pump today, how much, from which well, and is the water safe? The same monitoring data can answer them. That needs three additions: levelling, a few operational data streams, and derived indicators with thresholds.</w:t>
      </w:r>
    </w:p>
    <w:p>
      <w:pPr>
        <w:pStyle w:val="Heading1"/>
      </w:pPr>
      <w:r>
        <w:t xml:space="preserve">What the utility needs to know, and which data answers it</w:t>
      </w:r>
    </w:p>
    <w:p>
      <w:pPr>
        <w:pStyle w:val="Heading2"/>
      </w:pPr>
      <w:r>
        <w:t xml:space="preserve">1. Can each well be pumped safely today?</w:t>
      </w:r>
    </w:p>
    <w:p>
      <w:pPr>
        <w:pStyle w:val="ListParagraph"/>
        <w:numPr>
          <w:ilvl w:val="0"/>
          <w:numId w:val="2"/>
        </w:numPr>
        <w:spacing w:after="60"/>
      </w:pPr>
      <w:r>
        <w:t xml:space="preserve">Dynamic water level against the pump intake depth, giving remaining available drawdown in metres. Running a pump dry is the most common and most expensive operational failure.</w:t>
      </w:r>
    </w:p>
    <w:p>
      <w:pPr>
        <w:pStyle w:val="ListParagraph"/>
        <w:numPr>
          <w:ilvl w:val="0"/>
          <w:numId w:val="2"/>
        </w:numPr>
        <w:spacing w:after="60"/>
      </w:pPr>
      <w:r>
        <w:t xml:space="preserve">Static versus pumping level. The existing </w:t>
      </w:r>
      <w:r>
        <w:rPr>
          <w:rFonts w:ascii="Consolas" w:cs="Consolas" w:eastAsia="Consolas" w:hAnsi="Consolas"/>
          <w:sz w:val="20"/>
          <w:szCs w:val="20"/>
        </w:rPr>
        <w:t xml:space="preserve">Pump?</w:t>
      </w:r>
      <w:r>
        <w:t xml:space="preserve"> flag already distinguishes them. That flag becomes essential.</w:t>
      </w:r>
    </w:p>
    <w:p>
      <w:pPr>
        <w:pStyle w:val="ListParagraph"/>
        <w:numPr>
          <w:ilvl w:val="0"/>
          <w:numId w:val="2"/>
        </w:numPr>
        <w:spacing w:after="60"/>
      </w:pPr>
      <w:r>
        <w:t xml:space="preserve">Required: pump intake depth, screen depth and total depth for every well. That is static asset data, entered once as attributes.</w:t>
      </w:r>
    </w:p>
    <w:p>
      <w:pPr>
        <w:pStyle w:val="Heading2"/>
      </w:pPr>
      <w:r>
        <w:t xml:space="preserve">2. Are the wells deteriorating?</w:t>
      </w:r>
    </w:p>
    <w:p>
      <w:pPr>
        <w:pStyle w:val="ListParagraph"/>
        <w:numPr>
          <w:ilvl w:val="0"/>
          <w:numId w:val="2"/>
        </w:numPr>
        <w:spacing w:after="60"/>
      </w:pPr>
      <w:r>
        <w:t xml:space="preserve">Specific capacity (Q/s, abstraction rate divided by drawdown) over time. A steady decline means clogging, encrustation or pump wear, and tells the utility when to rehabilitate or service a well.</w:t>
      </w:r>
    </w:p>
    <w:p>
      <w:pPr>
        <w:pStyle w:val="ListParagraph"/>
        <w:numPr>
          <w:ilvl w:val="0"/>
          <w:numId w:val="2"/>
        </w:numPr>
        <w:spacing w:after="60"/>
      </w:pPr>
      <w:r>
        <w:t xml:space="preserve">Required: abstraction rate or volume per well. This is the biggest gap in the current dataset. Flow meters, or at least pump hours combined with a rated discharge, turn water levels into operational information.</w:t>
      </w:r>
    </w:p>
    <w:p>
      <w:pPr>
        <w:pStyle w:val="Heading2"/>
      </w:pPr>
      <w:r>
        <w:t xml:space="preserve">3. How much can the wellfield deliver this season?</w:t>
      </w:r>
    </w:p>
    <w:p>
      <w:pPr>
        <w:pStyle w:val="ListParagraph"/>
        <w:numPr>
          <w:ilvl w:val="0"/>
          <w:numId w:val="2"/>
        </w:numPr>
        <w:spacing w:after="60"/>
      </w:pPr>
      <w:r>
        <w:t xml:space="preserve">Current level compared with the same month in previous years, shown as a percentile or a dry/normal/wet band. This is a drought early-warning indicator.</w:t>
      </w:r>
    </w:p>
    <w:p>
      <w:pPr>
        <w:pStyle w:val="ListParagraph"/>
        <w:numPr>
          <w:ilvl w:val="0"/>
          <w:numId w:val="2"/>
        </w:numPr>
        <w:spacing w:after="60"/>
      </w:pPr>
      <w:r>
        <w:t xml:space="preserve">Dawa River stage as the leading signal. River level falls first, groundwater follows, and the lag between them tells the utility how many weeks of warning it has.</w:t>
      </w:r>
    </w:p>
    <w:p>
      <w:pPr>
        <w:pStyle w:val="ListParagraph"/>
        <w:numPr>
          <w:ilvl w:val="0"/>
          <w:numId w:val="2"/>
        </w:numPr>
        <w:spacing w:after="60"/>
      </w:pPr>
      <w:r>
        <w:t xml:space="preserve">River–aquifer head difference at paired points (river gauge versus PSW and DWMC wells nearby). This shows whether the river is currently recharging the aquifer or draining it.</w:t>
      </w:r>
    </w:p>
    <w:p>
      <w:pPr>
        <w:pStyle w:val="ListParagraph"/>
        <w:numPr>
          <w:ilvl w:val="0"/>
          <w:numId w:val="2"/>
        </w:numPr>
        <w:spacing w:after="60"/>
      </w:pPr>
      <w:r>
        <w:t xml:space="preserve">All of this requires masl values. Levelling the reference points (DGPS or a levelling survey) is the precondition for every comparison between wells and between wells and the river.</w:t>
      </w:r>
    </w:p>
    <w:p>
      <w:pPr>
        <w:pStyle w:val="Heading2"/>
      </w:pPr>
      <w:r>
        <w:t xml:space="preserve">4. Is the water safe and acceptable?</w:t>
      </w:r>
    </w:p>
    <w:p>
      <w:pPr>
        <w:pStyle w:val="ListParagraph"/>
        <w:numPr>
          <w:ilvl w:val="0"/>
          <w:numId w:val="2"/>
        </w:numPr>
        <w:spacing w:after="60"/>
      </w:pPr>
      <w:r>
        <w:t xml:space="preserve">EC trend per well and the rate of change, not only the absolute value. Rising EC under pumping indicates upconing or lateral inflow of saline water, and should trigger reduced pumping or rotation to another well.</w:t>
      </w:r>
    </w:p>
    <w:p>
      <w:pPr>
        <w:pStyle w:val="ListParagraph"/>
        <w:numPr>
          <w:ilvl w:val="0"/>
          <w:numId w:val="2"/>
        </w:numPr>
        <w:spacing w:after="60"/>
      </w:pPr>
      <w:r>
        <w:t xml:space="preserve">Indicative acceptability bands derived from the WHO taste thresholds for TDS (about 600 mg/L good, above 1000 mg/L increasingly unpalatable, roughly 900 and 1500 µS/cm). Final limits should be agreed with the utility and the Somali standards.</w:t>
      </w:r>
    </w:p>
    <w:p>
      <w:pPr>
        <w:pStyle w:val="ListParagraph"/>
        <w:numPr>
          <w:ilvl w:val="0"/>
          <w:numId w:val="2"/>
        </w:numPr>
        <w:spacing w:after="60"/>
      </w:pPr>
      <w:r>
        <w:t xml:space="preserve">Turbidity after river floods. In a shallow alluvial aquifer close to the river, flood events are when contamination risk rises.</w:t>
      </w:r>
    </w:p>
    <w:p>
      <w:pPr>
        <w:pStyle w:val="ListParagraph"/>
        <w:numPr>
          <w:ilvl w:val="0"/>
          <w:numId w:val="2"/>
        </w:numPr>
        <w:spacing w:after="60"/>
      </w:pPr>
      <w:r>
        <w:t xml:space="preserve">Microbiology and disinfection: E. coli results and residual chlorine at tanks and kiosks. These are usually manual and laboratory data, but they matter most for a drinking water utility.</w:t>
      </w:r>
    </w:p>
    <w:p>
      <w:pPr>
        <w:pStyle w:val="Heading2"/>
      </w:pPr>
      <w:r>
        <w:t xml:space="preserve">5. Does the system deliver?</w:t>
      </w:r>
    </w:p>
    <w:p>
      <w:pPr>
        <w:pStyle w:val="ListParagraph"/>
        <w:numPr>
          <w:ilvl w:val="0"/>
          <w:numId w:val="2"/>
        </w:numPr>
        <w:spacing w:after="60"/>
      </w:pPr>
      <w:r>
        <w:t xml:space="preserve">Storage tank levels, supply hours per day, volumes sold at kiosks or metered connections. Comparing production with sales gives non-revenue water.</w:t>
      </w:r>
    </w:p>
    <w:p>
      <w:pPr>
        <w:pStyle w:val="ListParagraph"/>
        <w:numPr>
          <w:ilvl w:val="0"/>
          <w:numId w:val="2"/>
        </w:numPr>
        <w:spacing w:after="60"/>
      </w:pPr>
      <w:r>
        <w:t xml:space="preserve">Energy: solar output, generator hours and fuel per m³. In Dollow, energy is often the main operating cost.</w:t>
      </w:r>
    </w:p>
    <w:p>
      <w:pPr>
        <w:pStyle w:val="Heading2"/>
      </w:pPr>
      <w:r>
        <w:t xml:space="preserve">6. Can the data be trusted?</w:t>
      </w:r>
    </w:p>
    <w:p>
      <w:pPr>
        <w:pStyle w:val="ListParagraph"/>
        <w:numPr>
          <w:ilvl w:val="0"/>
          <w:numId w:val="2"/>
        </w:numPr>
        <w:spacing w:after="60"/>
      </w:pPr>
      <w:r>
        <w:t xml:space="preserve">Last reading per point, sensor battery, and whether each value came from a logger or a manual dip. Manual-versus-logger offset checks keep the series consistent.</w:t>
      </w:r>
    </w:p>
    <w:p>
      <w:pPr>
        <w:pStyle w:val="ListParagraph"/>
        <w:numPr>
          <w:ilvl w:val="0"/>
          <w:numId w:val="2"/>
        </w:numPr>
        <w:spacing w:after="60"/>
      </w:pPr>
      <w:r>
        <w:t xml:space="preserve">Overdue manual readings listed as tasks for the field team.</w:t>
      </w:r>
    </w:p>
    <w:p>
      <w:pPr>
        <w:pStyle w:val="Heading2"/>
      </w:pPr>
      <w:r>
        <w:t xml:space="preserve">7. MAR operations, once built</w:t>
      </w:r>
    </w:p>
    <w:p>
      <w:pPr>
        <w:pStyle w:val="ListParagraph"/>
        <w:numPr>
          <w:ilvl w:val="0"/>
          <w:numId w:val="2"/>
        </w:numPr>
        <w:spacing w:after="60"/>
      </w:pPr>
      <w:r>
        <w:t xml:space="preserve">Infiltration rate, water level in the basin, groundwater mounding at nearby wells, clogging trend, and inflow water quality (turbidity before recharge).</w:t>
      </w:r>
    </w:p>
    <w:p>
      <w:pPr>
        <w:pStyle w:val="Heading1"/>
      </w:pPr>
      <w:r>
        <w:t xml:space="preserve">How to build it in ThingsBoard</w:t>
      </w:r>
    </w:p>
    <w:p>
      <w:pPr>
        <w:pStyle w:val="Heading2"/>
      </w:pPr>
      <w:r>
        <w:t xml:space="preserve">Data model</w:t>
      </w:r>
    </w:p>
    <w:p>
      <w:pPr>
        <w:pStyle w:val="ListParagraph"/>
        <w:numPr>
          <w:ilvl w:val="0"/>
          <w:numId w:val="2"/>
        </w:numPr>
        <w:spacing w:after="60"/>
      </w:pPr>
      <w:r>
        <w:t xml:space="preserve">Asset hierarchy: Utility → Wellfield (Dollow town, Qansaxley, Kabasa) → Well, River gauge, Tank, MAR site.</w:t>
      </w:r>
    </w:p>
    <w:p>
      <w:pPr>
        <w:pStyle w:val="ListParagraph"/>
        <w:numPr>
          <w:ilvl w:val="0"/>
          <w:numId w:val="2"/>
        </w:numPr>
        <w:spacing w:after="60"/>
      </w:pPr>
      <w:r>
        <w:t xml:space="preserve">Asset profiles hold static attributes: reference elevation, pump intake depth, screen interval, rated discharge, and thresholds.</w:t>
      </w:r>
    </w:p>
    <w:p>
      <w:pPr>
        <w:pStyle w:val="ListParagraph"/>
        <w:numPr>
          <w:ilvl w:val="0"/>
          <w:numId w:val="2"/>
        </w:numPr>
        <w:spacing w:after="60"/>
      </w:pPr>
      <w:r>
        <w:t xml:space="preserve">Storing thresholds as attributes means the utility can adjust them without editing widgets.</w:t>
      </w:r>
    </w:p>
    <w:p>
      <w:pPr>
        <w:pStyle w:val="Heading2"/>
      </w:pPr>
      <w:r>
        <w:t xml:space="preserve">Derived values</w:t>
      </w:r>
    </w:p>
    <w:p>
      <w:pPr>
        <w:pStyle w:val="ListParagraph"/>
        <w:numPr>
          <w:ilvl w:val="0"/>
          <w:numId w:val="2"/>
        </w:numPr>
        <w:spacing w:after="60"/>
      </w:pPr>
      <w:r>
        <w:t xml:space="preserve">Calculated fields or rule chain scripts compute values on ingestion, not in widget JavaScript:</w:t>
      </w:r>
    </w:p>
    <w:p>
      <w:pPr>
        <w:pStyle w:val="ListParagraph"/>
        <w:numPr>
          <w:ilvl w:val="1"/>
          <w:numId w:val="2"/>
        </w:numPr>
        <w:spacing w:after="60"/>
      </w:pPr>
      <w:r>
        <w:rPr>
          <w:rFonts w:ascii="Consolas" w:cs="Consolas" w:eastAsia="Consolas" w:hAnsi="Consolas"/>
          <w:sz w:val="20"/>
          <w:szCs w:val="20"/>
        </w:rPr>
        <w:t xml:space="preserve">gw_level_masl</w:t>
      </w:r>
      <w:r>
        <w:t xml:space="preserve"> = reference elevation − depth</w:t>
      </w:r>
    </w:p>
    <w:p>
      <w:pPr>
        <w:pStyle w:val="ListParagraph"/>
        <w:numPr>
          <w:ilvl w:val="1"/>
          <w:numId w:val="2"/>
        </w:numPr>
        <w:spacing w:after="60"/>
      </w:pPr>
      <w:r>
        <w:rPr>
          <w:rFonts w:ascii="Consolas" w:cs="Consolas" w:eastAsia="Consolas" w:hAnsi="Consolas"/>
          <w:sz w:val="20"/>
          <w:szCs w:val="20"/>
        </w:rPr>
        <w:t xml:space="preserve">drawdown</w:t>
      </w:r>
      <w:r>
        <w:t xml:space="preserve"> = static level − dynamic level</w:t>
      </w:r>
    </w:p>
    <w:p>
      <w:pPr>
        <w:pStyle w:val="ListParagraph"/>
        <w:numPr>
          <w:ilvl w:val="1"/>
          <w:numId w:val="2"/>
        </w:numPr>
        <w:spacing w:after="60"/>
      </w:pPr>
      <w:r>
        <w:rPr>
          <w:rFonts w:ascii="Consolas" w:cs="Consolas" w:eastAsia="Consolas" w:hAnsi="Consolas"/>
          <w:sz w:val="20"/>
          <w:szCs w:val="20"/>
        </w:rPr>
        <w:t xml:space="preserve">available_drawdown</w:t>
      </w:r>
      <w:r>
        <w:t xml:space="preserve"> = dynamic level − (intake depth + safety margin)</w:t>
      </w:r>
    </w:p>
    <w:p>
      <w:pPr>
        <w:pStyle w:val="ListParagraph"/>
        <w:numPr>
          <w:ilvl w:val="1"/>
          <w:numId w:val="2"/>
        </w:numPr>
        <w:spacing w:after="60"/>
      </w:pPr>
      <w:r>
        <w:rPr>
          <w:rFonts w:ascii="Consolas" w:cs="Consolas" w:eastAsia="Consolas" w:hAnsi="Consolas"/>
          <w:sz w:val="20"/>
          <w:szCs w:val="20"/>
        </w:rPr>
        <w:t xml:space="preserve">specific_capacity</w:t>
      </w:r>
      <w:r>
        <w:t xml:space="preserve"> = Q / drawdown</w:t>
      </w:r>
    </w:p>
    <w:p>
      <w:pPr>
        <w:pStyle w:val="ListParagraph"/>
        <w:numPr>
          <w:ilvl w:val="1"/>
          <w:numId w:val="2"/>
        </w:numPr>
        <w:spacing w:after="60"/>
      </w:pPr>
      <w:r>
        <w:rPr>
          <w:rFonts w:ascii="Consolas" w:cs="Consolas" w:eastAsia="Consolas" w:hAnsi="Consolas"/>
          <w:sz w:val="20"/>
          <w:szCs w:val="20"/>
        </w:rPr>
        <w:t xml:space="preserve">river_gw_head_diff</w:t>
      </w:r>
      <w:r>
        <w:t xml:space="preserve"> = river stage − well level</w:t>
      </w:r>
    </w:p>
    <w:p>
      <w:pPr>
        <w:pStyle w:val="ListParagraph"/>
        <w:numPr>
          <w:ilvl w:val="1"/>
          <w:numId w:val="2"/>
        </w:numPr>
        <w:spacing w:after="60"/>
      </w:pPr>
      <w:r>
        <w:t xml:space="preserve">EC change rate over 7 and 30 days</w:t>
      </w:r>
    </w:p>
    <w:p>
      <w:pPr>
        <w:pStyle w:val="ListParagraph"/>
        <w:numPr>
          <w:ilvl w:val="0"/>
          <w:numId w:val="2"/>
        </w:numPr>
        <w:spacing w:after="60"/>
      </w:pPr>
      <w:r>
        <w:t xml:space="preserve">These values then work in alarms, reports and any widget.</w:t>
      </w:r>
    </w:p>
    <w:p>
      <w:pPr>
        <w:pStyle w:val="Heading2"/>
      </w:pPr>
      <w:r>
        <w:t xml:space="preserve">Alarms and notifications</w:t>
      </w:r>
    </w:p>
    <w:p>
      <w:pPr>
        <w:pStyle w:val="ListParagraph"/>
        <w:numPr>
          <w:ilvl w:val="0"/>
          <w:numId w:val="2"/>
        </w:numPr>
        <w:spacing w:after="60"/>
      </w:pPr>
      <w:r>
        <w:t xml:space="preserve">Rule engine alarms for: low available drawdown, EC above threshold or rising fast, river stage above flood level, overdue reading, sensor offline.</w:t>
      </w:r>
    </w:p>
    <w:p>
      <w:pPr>
        <w:pStyle w:val="ListParagraph"/>
        <w:numPr>
          <w:ilvl w:val="0"/>
          <w:numId w:val="2"/>
        </w:numPr>
        <w:spacing w:after="60"/>
      </w:pPr>
      <w:r>
        <w:t xml:space="preserve">Delivered by SMS or email to the operator on duty. In this setting, notifications are worth more than a dashboard nobody opens.</w:t>
      </w:r>
    </w:p>
    <w:p>
      <w:pPr>
        <w:pStyle w:val="Heading2"/>
      </w:pPr>
      <w:r>
        <w:t xml:space="preserve">Dashboards by user, not by dataset</w:t>
      </w:r>
    </w:p>
    <w:p>
      <w:pPr>
        <w:pStyle w:val="ListParagraph"/>
        <w:numPr>
          <w:ilvl w:val="0"/>
          <w:numId w:val="3"/>
        </w:numPr>
        <w:spacing w:after="80"/>
      </w:pPr>
      <w:r>
        <w:rPr>
          <w:b/>
          <w:bCs/>
        </w:rPr>
        <w:t xml:space="preserve">Operator, daily, on a phone.</w:t>
      </w:r>
      <w:r>
        <w:t xml:space="preserve"> One screen showing every well as a traffic light: can pump / reduce / stop. Each card shows available drawdown, EC status and data age, plus a list of open alarms and overdue readings. It must be light enough for a low-bandwidth mobile connection.</w:t>
      </w:r>
    </w:p>
    <w:p>
      <w:pPr>
        <w:pStyle w:val="ListParagraph"/>
        <w:numPr>
          <w:ilvl w:val="0"/>
          <w:numId w:val="3"/>
        </w:numPr>
        <w:spacing w:after="80"/>
      </w:pPr>
      <w:r>
        <w:rPr>
          <w:b/>
          <w:bCs/>
        </w:rPr>
        <w:t xml:space="preserve">Well detail.</w:t>
      </w:r>
      <w:r>
        <w:t xml:space="preserve"> Level with static and dynamic readings marked, drawdown, specific capacity trend, EC trend, photo, and a maintenance log entered through a form widget.</w:t>
      </w:r>
    </w:p>
    <w:p>
      <w:pPr>
        <w:pStyle w:val="ListParagraph"/>
        <w:numPr>
          <w:ilvl w:val="0"/>
          <w:numId w:val="3"/>
        </w:numPr>
        <w:spacing w:after="80"/>
      </w:pPr>
      <w:r>
        <w:rPr>
          <w:b/>
          <w:bCs/>
        </w:rPr>
        <w:t xml:space="preserve">River and aquifer.</w:t>
      </w:r>
      <w:r>
        <w:t xml:space="preserve"> River stage against nearby well levels in masl, head difference, seasonal percentile bands, and a drought outlook.</w:t>
      </w:r>
    </w:p>
    <w:p>
      <w:pPr>
        <w:pStyle w:val="ListParagraph"/>
        <w:numPr>
          <w:ilvl w:val="0"/>
          <w:numId w:val="3"/>
        </w:numPr>
        <w:spacing w:after="80"/>
      </w:pPr>
      <w:r>
        <w:rPr>
          <w:b/>
          <w:bCs/>
        </w:rPr>
        <w:t xml:space="preserve">Water quality.</w:t>
      </w:r>
      <w:r>
        <w:t xml:space="preserve"> EC, turbidity, E. coli and chlorine results by point and date, with laboratory and field values kept separate.</w:t>
      </w:r>
    </w:p>
    <w:p>
      <w:pPr>
        <w:pStyle w:val="ListParagraph"/>
        <w:numPr>
          <w:ilvl w:val="0"/>
          <w:numId w:val="3"/>
        </w:numPr>
        <w:spacing w:after="80"/>
      </w:pPr>
      <w:r>
        <w:rPr>
          <w:b/>
          <w:bCs/>
        </w:rPr>
        <w:t xml:space="preserve">Manager, monthly.</w:t>
      </w:r>
      <w:r>
        <w:t xml:space="preserve"> Production, supply hours, energy per m³, non-revenue water, well performance ranking, alarm statistics. It can be sent as a scheduled PDF report.</w:t>
      </w:r>
    </w:p>
    <w:p>
      <w:pPr>
        <w:pStyle w:val="ListParagraph"/>
        <w:numPr>
          <w:ilvl w:val="0"/>
          <w:numId w:val="3"/>
        </w:numPr>
        <w:spacing w:after="80"/>
      </w:pPr>
      <w:r>
        <w:rPr>
          <w:b/>
          <w:bCs/>
        </w:rPr>
        <w:t xml:space="preserve">Data quality.</w:t>
      </w:r>
      <w:r>
        <w:t xml:space="preserve"> Sensor health, gaps, and manual-versus-logger checks. The project team keeps this view after handover.</w:t>
      </w:r>
    </w:p>
    <w:p>
      <w:pPr>
        <w:spacing w:after="120"/>
      </w:pPr>
      <w:r>
        <w:t xml:space="preserve">The current map dashboard stays as the public and planning view. The operational dashboards form a separate set with restricted access.</w:t>
      </w:r>
    </w:p>
    <w:p>
      <w:pPr>
        <w:pStyle w:val="Heading1"/>
      </w:pPr>
      <w:r>
        <w:t xml:space="preserve">Before handover</w:t>
      </w:r>
    </w:p>
    <w:p>
      <w:pPr>
        <w:pStyle w:val="ListParagraph"/>
        <w:numPr>
          <w:ilvl w:val="0"/>
          <w:numId w:val="2"/>
        </w:numPr>
        <w:spacing w:after="60"/>
      </w:pPr>
      <w:r>
        <w:t xml:space="preserve">Level all reference points and convert the whole series to masl, including the old/new river gauge offsets already in the configuration.</w:t>
      </w:r>
    </w:p>
    <w:p>
      <w:pPr>
        <w:pStyle w:val="ListParagraph"/>
        <w:numPr>
          <w:ilvl w:val="0"/>
          <w:numId w:val="2"/>
        </w:numPr>
        <w:spacing w:after="60"/>
      </w:pPr>
      <w:r>
        <w:t xml:space="preserve">Collect well construction data and pump intake depths for all 23 points.</w:t>
      </w:r>
    </w:p>
    <w:p>
      <w:pPr>
        <w:pStyle w:val="ListParagraph"/>
        <w:numPr>
          <w:ilvl w:val="0"/>
          <w:numId w:val="2"/>
        </w:numPr>
        <w:spacing w:after="60"/>
      </w:pPr>
      <w:r>
        <w:t xml:space="preserve">Install flow meters or log pump hours on the production wells. Without abstraction data, there is no drawdown analysis and no specific capacity.</w:t>
      </w:r>
    </w:p>
    <w:p>
      <w:pPr>
        <w:pStyle w:val="ListParagraph"/>
        <w:numPr>
          <w:ilvl w:val="0"/>
          <w:numId w:val="2"/>
        </w:numPr>
        <w:spacing w:after="60"/>
      </w:pPr>
      <w:r>
        <w:t xml:space="preserve">Agree thresholds and alarm recipients with the utility, and train staff on the field data entry they will own.</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Dollow Groundwater Observatory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01450"/>
      <w:sz w:val="40"/>
      <w:szCs w:val="40"/>
    </w:rPr>
  </w:style>
  <w:style w:type="paragraph" w:styleId="Heading1">
    <w:name w:val="Heading 1"/>
    <w:basedOn w:val="Normal"/>
    <w:next w:val="Normal"/>
    <w:qFormat/>
    <w:pPr>
      <w:spacing w:after="140" w:before="320"/>
      <w:outlineLvl w:val="0"/>
    </w:pPr>
    <w:rPr>
      <w:b/>
      <w:bCs/>
      <w:color w:val="001450"/>
      <w:sz w:val="30"/>
      <w:szCs w:val="30"/>
    </w:rPr>
  </w:style>
  <w:style w:type="paragraph" w:styleId="Heading2">
    <w:name w:val="Heading 2"/>
    <w:basedOn w:val="Normal"/>
    <w:next w:val="Normal"/>
    <w:qFormat/>
    <w:pPr>
      <w:spacing w:after="100" w:before="220"/>
      <w:outlineLvl w:val="1"/>
    </w:pPr>
    <w:rPr>
      <w:b/>
      <w:bCs/>
      <w:color w:val="0a77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Dollow Groundwater Observatory – utility operations concept</dc:title>
  <dc:creator>Catalin Stefan</dc:creator>
  <cp:lastModifiedBy>Un-named</cp:lastModifiedBy>
  <cp:revision>1</cp:revision>
  <dcterms:created xsi:type="dcterms:W3CDTF">2026-10-05T13:41:57.317Z</dcterms:created>
  <dcterms:modified xsi:type="dcterms:W3CDTF">2026-10-05T13:41:57.327Z</dcterms:modified>
</cp:coreProperties>
</file>

<file path=docProps/custom.xml><?xml version="1.0" encoding="utf-8"?>
<Properties xmlns="http://schemas.openxmlformats.org/officeDocument/2006/custom-properties" xmlns:vt="http://schemas.openxmlformats.org/officeDocument/2006/docPropsVTypes"/>
</file>