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9E8" w:rsidRPr="00E87925" w:rsidRDefault="002A49E8" w:rsidP="0077342F">
      <w:pPr>
        <w:jc w:val="center"/>
        <w:rPr>
          <w:rFonts w:cstheme="minorHAnsi"/>
          <w:b/>
          <w:color w:val="0000CC"/>
          <w:sz w:val="28"/>
        </w:rPr>
      </w:pPr>
      <w:r w:rsidRPr="00E87925">
        <w:rPr>
          <w:rFonts w:cstheme="minorHAnsi"/>
          <w:b/>
          <w:color w:val="0000CC"/>
          <w:sz w:val="28"/>
        </w:rPr>
        <w:t>DeclaracionesIde.com</w:t>
      </w:r>
    </w:p>
    <w:p w:rsidR="0077342F" w:rsidRPr="00E87925" w:rsidRDefault="0077342F" w:rsidP="0077342F">
      <w:pPr>
        <w:jc w:val="center"/>
        <w:rPr>
          <w:rFonts w:cstheme="minorHAnsi"/>
          <w:b/>
          <w:color w:val="C00000"/>
          <w:sz w:val="28"/>
        </w:rPr>
      </w:pPr>
      <w:r w:rsidRPr="00E87925">
        <w:rPr>
          <w:rFonts w:cstheme="minorHAnsi"/>
          <w:b/>
          <w:color w:val="C00000"/>
          <w:sz w:val="28"/>
        </w:rPr>
        <w:t>BONO #1</w:t>
      </w:r>
    </w:p>
    <w:p w:rsidR="0077342F" w:rsidRPr="005A609F" w:rsidRDefault="0077342F" w:rsidP="0077342F">
      <w:pPr>
        <w:jc w:val="center"/>
        <w:rPr>
          <w:rFonts w:cstheme="minorHAnsi"/>
          <w:b/>
          <w:sz w:val="28"/>
        </w:rPr>
      </w:pPr>
    </w:p>
    <w:p w:rsidR="0077342F" w:rsidRPr="005A609F" w:rsidRDefault="004B7A5C" w:rsidP="005A609F">
      <w:pPr>
        <w:jc w:val="both"/>
        <w:rPr>
          <w:rFonts w:cstheme="minorHAnsi"/>
        </w:rPr>
      </w:pPr>
      <w:hyperlink r:id="rId5" w:history="1">
        <w:r w:rsidR="0077342F" w:rsidRPr="005A609F">
          <w:rPr>
            <w:rStyle w:val="Hipervnculo"/>
            <w:rFonts w:cstheme="minorHAnsi"/>
            <w:b/>
          </w:rPr>
          <w:t>Ley</w:t>
        </w:r>
      </w:hyperlink>
      <w:r w:rsidR="0077342F" w:rsidRPr="005A609F">
        <w:rPr>
          <w:rFonts w:cstheme="minorHAnsi"/>
        </w:rPr>
        <w:t xml:space="preserve"> del IDE</w:t>
      </w:r>
      <w:r w:rsidRPr="005A609F">
        <w:rPr>
          <w:rFonts w:cstheme="minorHAnsi"/>
        </w:rPr>
        <w:t xml:space="preserve"> </w:t>
      </w:r>
    </w:p>
    <w:p w:rsidR="0077342F" w:rsidRPr="005A609F" w:rsidRDefault="00D97760" w:rsidP="005A609F">
      <w:pPr>
        <w:jc w:val="both"/>
        <w:rPr>
          <w:rFonts w:cstheme="minorHAnsi"/>
        </w:rPr>
      </w:pPr>
      <w:hyperlink r:id="rId6" w:history="1">
        <w:r w:rsidRPr="005A609F">
          <w:rPr>
            <w:rStyle w:val="Hipervnculo"/>
            <w:rFonts w:cstheme="minorHAnsi"/>
            <w:b/>
          </w:rPr>
          <w:t>Reglas</w:t>
        </w:r>
      </w:hyperlink>
      <w:r w:rsidRPr="005A609F">
        <w:rPr>
          <w:rFonts w:cstheme="minorHAnsi"/>
          <w:b/>
        </w:rPr>
        <w:t xml:space="preserve"> </w:t>
      </w:r>
      <w:r w:rsidRPr="005A609F">
        <w:rPr>
          <w:rFonts w:cstheme="minorHAnsi"/>
        </w:rPr>
        <w:t>2001 aplicables al</w:t>
      </w:r>
      <w:r w:rsidR="0077342F" w:rsidRPr="005A609F">
        <w:rPr>
          <w:rFonts w:cstheme="minorHAnsi"/>
        </w:rPr>
        <w:t xml:space="preserve"> IDE</w:t>
      </w:r>
    </w:p>
    <w:p w:rsidR="002A49E8" w:rsidRPr="005A609F" w:rsidRDefault="002A49E8" w:rsidP="005A609F">
      <w:pPr>
        <w:jc w:val="both"/>
        <w:rPr>
          <w:rFonts w:cstheme="minorHAnsi"/>
        </w:rPr>
      </w:pPr>
      <w:r w:rsidRPr="005A609F">
        <w:rPr>
          <w:rFonts w:cstheme="minorHAnsi"/>
        </w:rPr>
        <w:t xml:space="preserve">Preguntas frecuentes al </w:t>
      </w:r>
      <w:hyperlink r:id="rId7" w:history="1">
        <w:r w:rsidRPr="005A609F">
          <w:rPr>
            <w:rStyle w:val="Hipervnculo"/>
            <w:rFonts w:cstheme="minorHAnsi"/>
          </w:rPr>
          <w:t>SAT</w:t>
        </w:r>
      </w:hyperlink>
      <w:r w:rsidRPr="005A609F">
        <w:rPr>
          <w:rFonts w:cstheme="minorHAnsi"/>
        </w:rPr>
        <w:t xml:space="preserve"> referentes al IDE</w:t>
      </w:r>
      <w:r w:rsidR="00D97760" w:rsidRPr="005A609F">
        <w:rPr>
          <w:rFonts w:cstheme="minorHAnsi"/>
        </w:rPr>
        <w:t xml:space="preserve"> (también vea </w:t>
      </w:r>
      <w:hyperlink r:id="rId8" w:history="1">
        <w:r w:rsidR="00D97760" w:rsidRPr="005A609F">
          <w:rPr>
            <w:rStyle w:val="Hipervnculo"/>
            <w:rFonts w:cstheme="minorHAnsi"/>
          </w:rPr>
          <w:t>aquí</w:t>
        </w:r>
      </w:hyperlink>
      <w:r w:rsidR="00D97760" w:rsidRPr="005A609F">
        <w:rPr>
          <w:rFonts w:cstheme="minorHAnsi"/>
        </w:rPr>
        <w:t>)</w:t>
      </w:r>
    </w:p>
    <w:p w:rsidR="00D97760" w:rsidRPr="005A609F" w:rsidRDefault="00D97760" w:rsidP="005A609F">
      <w:pPr>
        <w:jc w:val="both"/>
        <w:rPr>
          <w:rFonts w:cstheme="minorHAnsi"/>
        </w:rPr>
      </w:pPr>
      <w:r w:rsidRPr="00B40B87">
        <w:rPr>
          <w:rFonts w:cstheme="minorHAnsi"/>
          <w:shd w:val="clear" w:color="auto" w:fill="FFFFFF"/>
        </w:rPr>
        <w:t>Instituciones de crédito autorizadas como auxiliares para llevar a cabo la prestación de los servicios de recepción de información de Declaraciones Fiscales y Recaudación de los Ingresos Federales</w:t>
      </w:r>
      <w:r w:rsidRPr="005A609F">
        <w:rPr>
          <w:rFonts w:cstheme="minorHAnsi"/>
        </w:rPr>
        <w:t xml:space="preserve">. Aquí es </w:t>
      </w:r>
      <w:hyperlink r:id="rId9" w:history="1">
        <w:r w:rsidRPr="00B40B87">
          <w:rPr>
            <w:rStyle w:val="Hipervnculo"/>
            <w:rFonts w:cstheme="minorHAnsi"/>
            <w:b/>
          </w:rPr>
          <w:t xml:space="preserve">donde Ud. </w:t>
        </w:r>
        <w:proofErr w:type="gramStart"/>
        <w:r w:rsidR="00B40B87" w:rsidRPr="00B40B87">
          <w:rPr>
            <w:rStyle w:val="Hipervnculo"/>
            <w:rFonts w:cstheme="minorHAnsi"/>
            <w:b/>
          </w:rPr>
          <w:t>entera(</w:t>
        </w:r>
        <w:proofErr w:type="gramEnd"/>
        <w:r w:rsidR="00B40B87" w:rsidRPr="00B40B87">
          <w:rPr>
            <w:rStyle w:val="Hipervnculo"/>
            <w:rFonts w:cstheme="minorHAnsi"/>
            <w:b/>
          </w:rPr>
          <w:t>paga)</w:t>
        </w:r>
      </w:hyperlink>
      <w:r w:rsidRPr="005A609F">
        <w:rPr>
          <w:rFonts w:cstheme="minorHAnsi"/>
        </w:rPr>
        <w:t xml:space="preserve"> el IDE que ha recaudado.</w:t>
      </w:r>
    </w:p>
    <w:p w:rsidR="004B7A5C" w:rsidRPr="005A609F" w:rsidRDefault="004B7A5C" w:rsidP="005A609F">
      <w:pPr>
        <w:jc w:val="both"/>
        <w:rPr>
          <w:rFonts w:cstheme="minorHAnsi"/>
        </w:rPr>
      </w:pPr>
      <w:r w:rsidRPr="005A609F">
        <w:rPr>
          <w:rFonts w:cstheme="minorHAnsi"/>
        </w:rPr>
        <w:t xml:space="preserve">Preguntas frecuentes a </w:t>
      </w:r>
      <w:hyperlink r:id="rId10" w:history="1">
        <w:r w:rsidRPr="005A609F">
          <w:rPr>
            <w:rStyle w:val="Hipervnculo"/>
            <w:rFonts w:cstheme="minorHAnsi"/>
          </w:rPr>
          <w:t>Banorte</w:t>
        </w:r>
      </w:hyperlink>
      <w:r w:rsidRPr="005A609F">
        <w:rPr>
          <w:rFonts w:cstheme="minorHAnsi"/>
        </w:rPr>
        <w:t xml:space="preserve"> referentes al IDE</w:t>
      </w:r>
    </w:p>
    <w:p w:rsidR="004B7A5C" w:rsidRPr="005A609F" w:rsidRDefault="004B7A5C" w:rsidP="005A609F">
      <w:pPr>
        <w:jc w:val="both"/>
        <w:rPr>
          <w:rFonts w:cstheme="minorHAnsi"/>
        </w:rPr>
      </w:pPr>
      <w:r w:rsidRPr="005A609F">
        <w:rPr>
          <w:rFonts w:cstheme="minorHAnsi"/>
        </w:rPr>
        <w:t xml:space="preserve">Como enterar el IDE </w:t>
      </w:r>
      <w:proofErr w:type="spellStart"/>
      <w:r w:rsidRPr="005A609F">
        <w:rPr>
          <w:rFonts w:cstheme="minorHAnsi"/>
        </w:rPr>
        <w:t>via</w:t>
      </w:r>
      <w:proofErr w:type="spellEnd"/>
      <w:r w:rsidRPr="005A609F">
        <w:rPr>
          <w:rFonts w:cstheme="minorHAnsi"/>
        </w:rPr>
        <w:t xml:space="preserve"> </w:t>
      </w:r>
      <w:hyperlink r:id="rId11" w:history="1">
        <w:r w:rsidRPr="005A609F">
          <w:rPr>
            <w:rStyle w:val="Hipervnculo"/>
            <w:rFonts w:cstheme="minorHAnsi"/>
          </w:rPr>
          <w:t>Santander</w:t>
        </w:r>
      </w:hyperlink>
      <w:r w:rsidRPr="005A609F">
        <w:rPr>
          <w:rFonts w:cstheme="minorHAnsi"/>
        </w:rPr>
        <w:t xml:space="preserve"> </w:t>
      </w:r>
    </w:p>
    <w:p w:rsidR="00D97760" w:rsidRPr="005A609F" w:rsidRDefault="00D97760" w:rsidP="005A609F">
      <w:pPr>
        <w:jc w:val="both"/>
        <w:rPr>
          <w:rFonts w:cstheme="minorHAnsi"/>
        </w:rPr>
      </w:pPr>
      <w:r w:rsidRPr="005A609F">
        <w:rPr>
          <w:rFonts w:cstheme="minorHAnsi"/>
        </w:rPr>
        <w:fldChar w:fldCharType="begin"/>
      </w:r>
      <w:r w:rsidRPr="005A609F">
        <w:rPr>
          <w:rFonts w:cstheme="minorHAnsi"/>
        </w:rPr>
        <w:instrText xml:space="preserve"> HYPERLINK "ftp://ftp2.sat.gob.mx/asistencia_servicio_ftp/publicaciones/IDE08/IDE_contingencia_nov10.pdf" \t "_blank" </w:instrText>
      </w:r>
      <w:r w:rsidRPr="005A609F">
        <w:rPr>
          <w:rFonts w:cstheme="minorHAnsi"/>
        </w:rPr>
        <w:fldChar w:fldCharType="separate"/>
      </w:r>
      <w:r w:rsidRPr="005A609F">
        <w:rPr>
          <w:rStyle w:val="Hipervnculo"/>
          <w:rFonts w:cstheme="minorHAnsi"/>
          <w:color w:val="2F2F2F"/>
          <w:shd w:val="clear" w:color="auto" w:fill="FFFFFF"/>
        </w:rPr>
        <w:t>Procedimiento de contingencia</w:t>
      </w:r>
      <w:r w:rsidRPr="005A609F">
        <w:rPr>
          <w:rFonts w:cstheme="minorHAnsi"/>
        </w:rPr>
        <w:fldChar w:fldCharType="end"/>
      </w:r>
      <w:r w:rsidRPr="005A609F">
        <w:rPr>
          <w:rStyle w:val="apple-converted-space"/>
          <w:rFonts w:cstheme="minorHAnsi"/>
          <w:color w:val="2F2F2F"/>
          <w:shd w:val="clear" w:color="auto" w:fill="FFFFFF"/>
        </w:rPr>
        <w:t> </w:t>
      </w:r>
      <w:r w:rsidRPr="005A609F">
        <w:rPr>
          <w:rFonts w:cstheme="minorHAnsi"/>
          <w:color w:val="2F2F2F"/>
          <w:shd w:val="clear" w:color="auto" w:fill="FFFFFF"/>
        </w:rPr>
        <w:t>por falla en comunicación en el envío de Declaraciones Informativas del Impuesto a los Depósitos en Efectivo por parte de las instituciones recaudadoras.</w:t>
      </w:r>
    </w:p>
    <w:p w:rsidR="00D97760" w:rsidRPr="005A609F" w:rsidRDefault="00D97760" w:rsidP="005A609F">
      <w:pPr>
        <w:jc w:val="both"/>
        <w:rPr>
          <w:rFonts w:cstheme="minorHAnsi"/>
        </w:rPr>
      </w:pPr>
    </w:p>
    <w:p w:rsidR="002E16BB" w:rsidRPr="005A609F" w:rsidRDefault="0077342F" w:rsidP="005A609F">
      <w:pPr>
        <w:jc w:val="both"/>
        <w:rPr>
          <w:rFonts w:cstheme="minorHAnsi"/>
          <w:b/>
          <w:sz w:val="24"/>
        </w:rPr>
      </w:pPr>
      <w:r w:rsidRPr="005A609F">
        <w:rPr>
          <w:rFonts w:cstheme="minorHAnsi"/>
          <w:b/>
          <w:sz w:val="28"/>
        </w:rPr>
        <w:t>“Por dónde empezar con e</w:t>
      </w:r>
      <w:r w:rsidR="00B40B87">
        <w:rPr>
          <w:rFonts w:cstheme="minorHAnsi"/>
          <w:b/>
          <w:sz w:val="28"/>
        </w:rPr>
        <w:t>l</w:t>
      </w:r>
      <w:r w:rsidRPr="005A609F">
        <w:rPr>
          <w:rFonts w:cstheme="minorHAnsi"/>
          <w:b/>
          <w:sz w:val="28"/>
        </w:rPr>
        <w:t xml:space="preserve"> IDE”</w:t>
      </w:r>
    </w:p>
    <w:p w:rsidR="00C64655" w:rsidRPr="005A609F" w:rsidRDefault="00C64655" w:rsidP="005A609F">
      <w:pPr>
        <w:jc w:val="both"/>
        <w:rPr>
          <w:rFonts w:cstheme="minorHAnsi"/>
          <w:b/>
        </w:rPr>
      </w:pPr>
      <w:r w:rsidRPr="005A609F">
        <w:rPr>
          <w:rFonts w:cstheme="minorHAnsi"/>
          <w:b/>
        </w:rPr>
        <w:t>¿Cómo se calcula el IDE?</w:t>
      </w:r>
    </w:p>
    <w:p w:rsidR="00C64655" w:rsidRDefault="00D97760" w:rsidP="005A609F">
      <w:pPr>
        <w:jc w:val="both"/>
        <w:rPr>
          <w:rFonts w:cstheme="minorHAnsi"/>
          <w:color w:val="2F2F2F"/>
          <w:shd w:val="clear" w:color="auto" w:fill="FFFFFF"/>
        </w:rPr>
      </w:pPr>
      <w:r w:rsidRPr="005A609F">
        <w:rPr>
          <w:rFonts w:cstheme="minorHAnsi"/>
          <w:color w:val="2F2F2F"/>
          <w:shd w:val="clear" w:color="auto" w:fill="FFFFFF"/>
        </w:rPr>
        <w:t>El IDE es un impuesto que se aplica al importe excedente de 15,000 pesos, en los depósitos en efectivo realizados en las instituciones del sistema financiero, ya sea por uno o por la suma de varios depósitos en el mes.</w:t>
      </w:r>
      <w:r w:rsidR="005A609F">
        <w:rPr>
          <w:rFonts w:cstheme="minorHAnsi"/>
          <w:color w:val="2F2F2F"/>
        </w:rPr>
        <w:t xml:space="preserve"> </w:t>
      </w:r>
      <w:r w:rsidRPr="005A609F">
        <w:rPr>
          <w:rFonts w:cstheme="minorHAnsi"/>
          <w:color w:val="2F2F2F"/>
          <w:shd w:val="clear" w:color="auto" w:fill="FFFFFF"/>
        </w:rPr>
        <w:t>El impuesto se calcula multiplicando el importe que excede de 15,000 pesos por la tasa de 3%.</w:t>
      </w:r>
      <w:r w:rsidR="005A609F">
        <w:rPr>
          <w:rFonts w:cstheme="minorHAnsi"/>
          <w:color w:val="2F2F2F"/>
        </w:rPr>
        <w:t xml:space="preserve"> </w:t>
      </w:r>
      <w:r w:rsidRPr="005A609F">
        <w:rPr>
          <w:rFonts w:cstheme="minorHAnsi"/>
          <w:color w:val="2F2F2F"/>
          <w:shd w:val="clear" w:color="auto" w:fill="FFFFFF"/>
        </w:rPr>
        <w:t>También debe pagarse el impuesto de 3%  por adquirir cheques de caja en efectivo sin importar el monto.</w:t>
      </w:r>
    </w:p>
    <w:p w:rsidR="005A609F" w:rsidRPr="005A609F" w:rsidRDefault="005A609F" w:rsidP="005A609F">
      <w:pPr>
        <w:jc w:val="both"/>
        <w:rPr>
          <w:rFonts w:cstheme="minorHAnsi"/>
          <w:color w:val="2F2F2F"/>
          <w:shd w:val="clear" w:color="auto" w:fill="FFFFFF"/>
        </w:rPr>
      </w:pPr>
    </w:p>
    <w:p w:rsidR="00D97760" w:rsidRPr="00D97760" w:rsidRDefault="00D97760" w:rsidP="005A609F">
      <w:pPr>
        <w:shd w:val="clear" w:color="auto" w:fill="FFFFFF"/>
        <w:spacing w:after="120" w:line="240" w:lineRule="auto"/>
        <w:jc w:val="both"/>
        <w:rPr>
          <w:rFonts w:eastAsia="Times New Roman" w:cstheme="minorHAnsi"/>
          <w:b/>
          <w:bCs/>
          <w:caps/>
          <w:color w:val="019587"/>
          <w:lang w:eastAsia="es-MX"/>
        </w:rPr>
      </w:pPr>
      <w:r w:rsidRPr="00D97760">
        <w:rPr>
          <w:rFonts w:eastAsia="Times New Roman" w:cstheme="minorHAnsi"/>
          <w:b/>
          <w:bCs/>
          <w:caps/>
          <w:color w:val="019587"/>
          <w:lang w:eastAsia="es-MX"/>
        </w:rPr>
        <w:t>EJEMPLO</w:t>
      </w:r>
    </w:p>
    <w:p w:rsidR="00D97760" w:rsidRPr="00D97760" w:rsidRDefault="00D97760" w:rsidP="005A609F">
      <w:pPr>
        <w:spacing w:after="0" w:line="240" w:lineRule="auto"/>
        <w:jc w:val="both"/>
        <w:rPr>
          <w:rFonts w:eastAsia="Times New Roman" w:cstheme="minorHAnsi"/>
          <w:lang w:eastAsia="es-MX"/>
        </w:rPr>
      </w:pPr>
      <w:r w:rsidRPr="00D97760">
        <w:rPr>
          <w:rFonts w:eastAsia="Times New Roman" w:cstheme="minorHAnsi"/>
          <w:color w:val="2F2F2F"/>
          <w:shd w:val="clear" w:color="auto" w:fill="FFFFFF"/>
          <w:lang w:eastAsia="es-MX"/>
        </w:rPr>
        <w:t>Cuando se hagan depósitos a plazo cuyo monto individual exceda de 15,000 pesos, el impuesto se recaudará en el momento en que se realicen tales depósitos.</w:t>
      </w:r>
      <w:r w:rsidRPr="00D97760">
        <w:rPr>
          <w:rFonts w:eastAsia="Times New Roman" w:cstheme="minorHAnsi"/>
          <w:color w:val="2F2F2F"/>
          <w:lang w:eastAsia="es-MX"/>
        </w:rPr>
        <w:br/>
      </w:r>
      <w:r w:rsidRPr="00D97760">
        <w:rPr>
          <w:rFonts w:eastAsia="Times New Roman" w:cstheme="minorHAnsi"/>
          <w:color w:val="2F2F2F"/>
          <w:lang w:eastAsia="es-MX"/>
        </w:rPr>
        <w:br/>
      </w:r>
      <w:r w:rsidRPr="00D97760">
        <w:rPr>
          <w:rFonts w:eastAsia="Times New Roman" w:cstheme="minorHAnsi"/>
          <w:color w:val="2F2F2F"/>
          <w:shd w:val="clear" w:color="auto" w:fill="FFFFFF"/>
          <w:lang w:eastAsia="es-MX"/>
        </w:rPr>
        <w:t xml:space="preserve">Para determinar la cantidad que excede de 15,000 </w:t>
      </w:r>
      <w:proofErr w:type="gramStart"/>
      <w:r w:rsidRPr="00D97760">
        <w:rPr>
          <w:rFonts w:eastAsia="Times New Roman" w:cstheme="minorHAnsi"/>
          <w:color w:val="2F2F2F"/>
          <w:shd w:val="clear" w:color="auto" w:fill="FFFFFF"/>
          <w:lang w:eastAsia="es-MX"/>
        </w:rPr>
        <w:t>pesos ,</w:t>
      </w:r>
      <w:proofErr w:type="gramEnd"/>
      <w:r w:rsidRPr="00D97760">
        <w:rPr>
          <w:rFonts w:eastAsia="Times New Roman" w:cstheme="minorHAnsi"/>
          <w:color w:val="2F2F2F"/>
          <w:shd w:val="clear" w:color="auto" w:fill="FFFFFF"/>
          <w:lang w:eastAsia="es-MX"/>
        </w:rPr>
        <w:t xml:space="preserve"> deben considerarse los montos de los depósitos que se hagan en el mes de calendario; para el ejemplo, los que se realicen del 2 al 31 de enero de 2012.</w:t>
      </w:r>
      <w:r w:rsidRPr="00D97760">
        <w:rPr>
          <w:rFonts w:eastAsia="Times New Roman" w:cstheme="minorHAnsi"/>
          <w:color w:val="2F2F2F"/>
          <w:lang w:eastAsia="es-MX"/>
        </w:rPr>
        <w:br/>
      </w:r>
      <w:r w:rsidRPr="00D97760">
        <w:rPr>
          <w:rFonts w:eastAsia="Times New Roman" w:cstheme="minorHAnsi"/>
          <w:color w:val="2F2F2F"/>
          <w:lang w:eastAsia="es-MX"/>
        </w:rPr>
        <w:br/>
      </w:r>
      <w:r w:rsidRPr="00D97760">
        <w:rPr>
          <w:rFonts w:eastAsia="Times New Roman" w:cstheme="minorHAnsi"/>
          <w:color w:val="2F2F2F"/>
          <w:shd w:val="clear" w:color="auto" w:fill="FFFFFF"/>
          <w:lang w:eastAsia="es-MX"/>
        </w:rPr>
        <w:t xml:space="preserve">Cuando la institución financiera no pueda hacer la recaudación del impuesto en el mes por falta de fondos en las cuentas del contribuyente, debe efectuar la recaudación en el momento en que se </w:t>
      </w:r>
      <w:r w:rsidRPr="00D97760">
        <w:rPr>
          <w:rFonts w:eastAsia="Times New Roman" w:cstheme="minorHAnsi"/>
          <w:color w:val="2F2F2F"/>
          <w:shd w:val="clear" w:color="auto" w:fill="FFFFFF"/>
          <w:lang w:eastAsia="es-MX"/>
        </w:rPr>
        <w:lastRenderedPageBreak/>
        <w:t>realice algún depósito en cualquiera de las cuentas que tenga el contribuyente en dicha institución.</w:t>
      </w:r>
      <w:r w:rsidRPr="00D97760">
        <w:rPr>
          <w:rFonts w:eastAsia="Times New Roman" w:cstheme="minorHAnsi"/>
          <w:color w:val="2F2F2F"/>
          <w:lang w:eastAsia="es-MX"/>
        </w:rPr>
        <w:br/>
      </w:r>
      <w:r w:rsidRPr="00D97760">
        <w:rPr>
          <w:rFonts w:eastAsia="Times New Roman" w:cstheme="minorHAnsi"/>
          <w:color w:val="2F2F2F"/>
          <w:lang w:eastAsia="es-MX"/>
        </w:rPr>
        <w:br/>
      </w:r>
      <w:r w:rsidRPr="00D97760">
        <w:rPr>
          <w:rFonts w:eastAsia="Times New Roman" w:cstheme="minorHAnsi"/>
          <w:color w:val="2F2F2F"/>
          <w:shd w:val="clear" w:color="auto" w:fill="FFFFFF"/>
          <w:lang w:eastAsia="es-MX"/>
        </w:rPr>
        <w:t>Por las cantidades excedentes a 15,000 pesos, la recaudación se realizará el último día del mes; para el ejemplo, el 31 de enero.</w:t>
      </w:r>
      <w:r w:rsidRPr="00D97760">
        <w:rPr>
          <w:rFonts w:eastAsia="Times New Roman" w:cstheme="minorHAnsi"/>
          <w:color w:val="2F2F2F"/>
          <w:lang w:eastAsia="es-MX"/>
        </w:rPr>
        <w:br/>
      </w:r>
    </w:p>
    <w:p w:rsidR="00D97760" w:rsidRPr="00D97760" w:rsidRDefault="00D97760" w:rsidP="005A609F">
      <w:pPr>
        <w:shd w:val="clear" w:color="auto" w:fill="FFFFFF"/>
        <w:spacing w:after="0" w:line="240" w:lineRule="auto"/>
        <w:jc w:val="both"/>
        <w:rPr>
          <w:rFonts w:eastAsia="Times New Roman" w:cstheme="minorHAnsi"/>
          <w:b/>
          <w:bCs/>
          <w:color w:val="808080"/>
          <w:lang w:eastAsia="es-MX"/>
        </w:rPr>
      </w:pPr>
      <w:r w:rsidRPr="00D97760">
        <w:rPr>
          <w:rFonts w:eastAsia="Times New Roman" w:cstheme="minorHAnsi"/>
          <w:b/>
          <w:bCs/>
          <w:color w:val="808080"/>
          <w:lang w:eastAsia="es-MX"/>
        </w:rPr>
        <w:t>Ejemplo</w:t>
      </w:r>
    </w:p>
    <w:p w:rsidR="00D97760" w:rsidRPr="00D97760" w:rsidRDefault="00D97760" w:rsidP="00D97760">
      <w:pPr>
        <w:spacing w:after="0" w:line="240" w:lineRule="auto"/>
        <w:rPr>
          <w:rFonts w:eastAsia="Times New Roman" w:cstheme="minorHAnsi"/>
          <w:lang w:eastAsia="es-MX"/>
        </w:rPr>
      </w:pPr>
    </w:p>
    <w:tbl>
      <w:tblPr>
        <w:tblW w:w="0" w:type="auto"/>
        <w:tblCellSpacing w:w="15" w:type="dxa"/>
        <w:shd w:val="clear" w:color="auto" w:fill="FFFFFF"/>
        <w:tblCellMar>
          <w:top w:w="15" w:type="dxa"/>
          <w:left w:w="15" w:type="dxa"/>
          <w:bottom w:w="15" w:type="dxa"/>
          <w:right w:w="15" w:type="dxa"/>
        </w:tblCellMar>
        <w:tblLook w:val="04A0"/>
      </w:tblPr>
      <w:tblGrid>
        <w:gridCol w:w="2502"/>
        <w:gridCol w:w="1248"/>
        <w:gridCol w:w="1454"/>
        <w:gridCol w:w="1490"/>
        <w:gridCol w:w="808"/>
        <w:gridCol w:w="1636"/>
      </w:tblGrid>
      <w:tr w:rsidR="00D97760" w:rsidRPr="00D97760" w:rsidTr="00D97760">
        <w:trPr>
          <w:tblCellSpacing w:w="15" w:type="dxa"/>
        </w:trPr>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Fecha del depósito en todas las cuentas que tiene el contribuyente en la banco</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Importe del depósito</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Acumulado en el mes</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Importe excedente de 15,000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Por tasa</w:t>
            </w:r>
            <w:r w:rsidRPr="00D97760">
              <w:rPr>
                <w:rFonts w:eastAsia="Times New Roman" w:cstheme="minorHAnsi"/>
                <w:color w:val="585050"/>
                <w:lang w:eastAsia="es-MX"/>
              </w:rPr>
              <w:t>  </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Importe que debe recaudar el banco en el mes</w:t>
            </w:r>
          </w:p>
        </w:tc>
      </w:tr>
      <w:tr w:rsidR="00D97760" w:rsidRPr="00D97760" w:rsidTr="00D97760">
        <w:trPr>
          <w:tblCellSpacing w:w="15" w:type="dxa"/>
        </w:trPr>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7 de enero 2012</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5,000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5,000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 </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 </w:t>
            </w:r>
          </w:p>
        </w:tc>
      </w:tr>
      <w:tr w:rsidR="00D97760" w:rsidRPr="00D97760" w:rsidTr="00D97760">
        <w:trPr>
          <w:tblCellSpacing w:w="15" w:type="dxa"/>
        </w:trPr>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14 de enero 2012</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12,000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17,000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2,000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 </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 </w:t>
            </w:r>
          </w:p>
        </w:tc>
      </w:tr>
      <w:tr w:rsidR="00D97760" w:rsidRPr="00D97760" w:rsidTr="00D97760">
        <w:trPr>
          <w:tblCellSpacing w:w="15" w:type="dxa"/>
        </w:trPr>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20 de enero 2012</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6,000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23,000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8,000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 </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 </w:t>
            </w:r>
          </w:p>
        </w:tc>
      </w:tr>
      <w:tr w:rsidR="00D97760" w:rsidRPr="00D97760" w:rsidTr="00D97760">
        <w:trPr>
          <w:tblCellSpacing w:w="15" w:type="dxa"/>
        </w:trPr>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27 de enero 2012</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15,000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38,000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23,000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 </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color w:val="585050"/>
                <w:lang w:eastAsia="es-MX"/>
              </w:rPr>
              <w:t> </w:t>
            </w:r>
          </w:p>
        </w:tc>
      </w:tr>
      <w:tr w:rsidR="00D97760" w:rsidRPr="00D97760" w:rsidTr="00D97760">
        <w:trPr>
          <w:tblCellSpacing w:w="15" w:type="dxa"/>
        </w:trPr>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Totales</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38,000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38,000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23,000</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3%</w:t>
            </w:r>
          </w:p>
        </w:tc>
        <w:tc>
          <w:tcPr>
            <w:tcW w:w="0" w:type="auto"/>
            <w:tcBorders>
              <w:top w:val="single" w:sz="6" w:space="0" w:color="FFFFFF"/>
            </w:tcBorders>
            <w:shd w:val="clear" w:color="auto" w:fill="F4F5FF"/>
            <w:tcMar>
              <w:top w:w="120" w:type="dxa"/>
              <w:left w:w="120" w:type="dxa"/>
              <w:bottom w:w="120" w:type="dxa"/>
              <w:right w:w="120" w:type="dxa"/>
            </w:tcMar>
            <w:vAlign w:val="center"/>
            <w:hideMark/>
          </w:tcPr>
          <w:p w:rsidR="00D97760" w:rsidRPr="00D97760" w:rsidRDefault="00D97760" w:rsidP="00D97760">
            <w:pPr>
              <w:spacing w:after="0" w:line="240" w:lineRule="auto"/>
              <w:rPr>
                <w:rFonts w:eastAsia="Times New Roman" w:cstheme="minorHAnsi"/>
                <w:color w:val="585050"/>
                <w:lang w:eastAsia="es-MX"/>
              </w:rPr>
            </w:pPr>
            <w:r w:rsidRPr="00D97760">
              <w:rPr>
                <w:rFonts w:eastAsia="Times New Roman" w:cstheme="minorHAnsi"/>
                <w:b/>
                <w:bCs/>
                <w:color w:val="585050"/>
                <w:lang w:eastAsia="es-MX"/>
              </w:rPr>
              <w:t>690 pesos</w:t>
            </w:r>
          </w:p>
        </w:tc>
      </w:tr>
    </w:tbl>
    <w:p w:rsidR="00D97760" w:rsidRDefault="00D97760">
      <w:pPr>
        <w:rPr>
          <w:rFonts w:cstheme="minorHAnsi"/>
        </w:rPr>
      </w:pPr>
    </w:p>
    <w:p w:rsidR="005A609F" w:rsidRPr="005A609F" w:rsidRDefault="005A609F">
      <w:pPr>
        <w:rPr>
          <w:rFonts w:cstheme="minorHAnsi"/>
        </w:rPr>
      </w:pPr>
    </w:p>
    <w:p w:rsidR="00C64655" w:rsidRPr="005A609F" w:rsidRDefault="0077342F" w:rsidP="005A609F">
      <w:pPr>
        <w:jc w:val="center"/>
        <w:rPr>
          <w:rFonts w:cstheme="minorHAnsi"/>
          <w:b/>
          <w:sz w:val="24"/>
        </w:rPr>
      </w:pPr>
      <w:r w:rsidRPr="005A609F">
        <w:rPr>
          <w:rFonts w:cstheme="minorHAnsi"/>
          <w:b/>
          <w:sz w:val="28"/>
        </w:rPr>
        <w:t>¿</w:t>
      </w:r>
      <w:r w:rsidR="00C64655" w:rsidRPr="005A609F">
        <w:rPr>
          <w:rFonts w:cstheme="minorHAnsi"/>
          <w:b/>
          <w:sz w:val="28"/>
        </w:rPr>
        <w:t xml:space="preserve">Qué información es requerida para enviar </w:t>
      </w:r>
      <w:r w:rsidR="00D97760" w:rsidRPr="005A609F">
        <w:rPr>
          <w:rFonts w:cstheme="minorHAnsi"/>
          <w:b/>
          <w:sz w:val="28"/>
        </w:rPr>
        <w:t>las declaraciones de</w:t>
      </w:r>
      <w:r w:rsidRPr="005A609F">
        <w:rPr>
          <w:rFonts w:cstheme="minorHAnsi"/>
          <w:b/>
          <w:sz w:val="28"/>
        </w:rPr>
        <w:t xml:space="preserve"> IDE?</w:t>
      </w:r>
    </w:p>
    <w:p w:rsidR="0077342F" w:rsidRPr="005A609F" w:rsidRDefault="0077342F" w:rsidP="005A609F">
      <w:pPr>
        <w:ind w:firstLine="708"/>
        <w:jc w:val="both"/>
        <w:rPr>
          <w:rFonts w:cstheme="minorHAnsi"/>
        </w:rPr>
      </w:pPr>
      <w:r w:rsidRPr="005A609F">
        <w:rPr>
          <w:rFonts w:cstheme="minorHAnsi"/>
        </w:rPr>
        <w:t xml:space="preserve">Ya sea que su institución haya o no recaudado el IDE, debe notificarlo ya sea mediante una declaración en ceros o con los detalles correspondientes. </w:t>
      </w:r>
    </w:p>
    <w:p w:rsidR="009F4DC1" w:rsidRPr="005A609F" w:rsidRDefault="0077342F" w:rsidP="005A609F">
      <w:pPr>
        <w:pStyle w:val="Prrafodelista"/>
        <w:numPr>
          <w:ilvl w:val="0"/>
          <w:numId w:val="2"/>
        </w:numPr>
        <w:jc w:val="both"/>
        <w:rPr>
          <w:rFonts w:cstheme="minorHAnsi"/>
        </w:rPr>
      </w:pPr>
      <w:r w:rsidRPr="005A609F">
        <w:rPr>
          <w:rFonts w:cstheme="minorHAnsi"/>
        </w:rPr>
        <w:t>Determine por ca</w:t>
      </w:r>
      <w:r w:rsidR="009F4DC1" w:rsidRPr="005A609F">
        <w:rPr>
          <w:rFonts w:cstheme="minorHAnsi"/>
        </w:rPr>
        <w:t>da cliente o socio que genere IDE</w:t>
      </w:r>
      <w:r w:rsidRPr="005A609F">
        <w:rPr>
          <w:rFonts w:cstheme="minorHAnsi"/>
        </w:rPr>
        <w:t xml:space="preserve">, lo </w:t>
      </w:r>
      <w:r w:rsidR="009F4DC1" w:rsidRPr="005A609F">
        <w:rPr>
          <w:rFonts w:cstheme="minorHAnsi"/>
        </w:rPr>
        <w:t>siguiente</w:t>
      </w:r>
      <w:r w:rsidRPr="005A609F">
        <w:rPr>
          <w:rFonts w:cstheme="minorHAnsi"/>
        </w:rPr>
        <w:t xml:space="preserve">: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Fecha,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nombres, apellido paterno, apellido materno, (o razón social), </w:t>
      </w:r>
    </w:p>
    <w:p w:rsidR="005A609F" w:rsidRPr="005A609F" w:rsidRDefault="005A609F" w:rsidP="005A609F">
      <w:pPr>
        <w:pStyle w:val="Prrafodelista"/>
        <w:numPr>
          <w:ilvl w:val="1"/>
          <w:numId w:val="2"/>
        </w:numPr>
        <w:jc w:val="both"/>
        <w:rPr>
          <w:rFonts w:cstheme="minorHAnsi"/>
        </w:rPr>
      </w:pPr>
      <w:r>
        <w:rPr>
          <w:rFonts w:cstheme="minorHAnsi"/>
        </w:rPr>
        <w:t>RFC</w:t>
      </w:r>
      <w:r w:rsidR="009F4DC1" w:rsidRPr="005A609F">
        <w:rPr>
          <w:rFonts w:cstheme="minorHAnsi"/>
        </w:rPr>
        <w:t xml:space="preserve">,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domicilio,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#de socio o cliente,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suma de depósitos en efectivo,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cantidad gravada,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monto </w:t>
      </w:r>
      <w:r w:rsidR="0077342F" w:rsidRPr="005A609F">
        <w:rPr>
          <w:rFonts w:cstheme="minorHAnsi"/>
        </w:rPr>
        <w:t xml:space="preserve">determinado,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monto </w:t>
      </w:r>
      <w:r w:rsidR="0077342F" w:rsidRPr="005A609F">
        <w:rPr>
          <w:rFonts w:cstheme="minorHAnsi"/>
        </w:rPr>
        <w:t xml:space="preserve">recaudado,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monto pendiente de recaudar,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monto </w:t>
      </w:r>
      <w:r w:rsidR="0077342F" w:rsidRPr="005A609F">
        <w:rPr>
          <w:rFonts w:cstheme="minorHAnsi"/>
        </w:rPr>
        <w:t>remanente</w:t>
      </w:r>
      <w:r w:rsidRPr="005A609F">
        <w:rPr>
          <w:rFonts w:cstheme="minorHAnsi"/>
        </w:rPr>
        <w:t xml:space="preserve">, </w:t>
      </w:r>
    </w:p>
    <w:p w:rsidR="005A609F" w:rsidRPr="005A609F" w:rsidRDefault="009F4DC1" w:rsidP="005A609F">
      <w:pPr>
        <w:pStyle w:val="Prrafodelista"/>
        <w:numPr>
          <w:ilvl w:val="1"/>
          <w:numId w:val="2"/>
        </w:numPr>
        <w:jc w:val="both"/>
        <w:rPr>
          <w:rFonts w:cstheme="minorHAnsi"/>
        </w:rPr>
      </w:pPr>
      <w:r w:rsidRPr="005A609F">
        <w:rPr>
          <w:rFonts w:cstheme="minorHAnsi"/>
        </w:rPr>
        <w:t xml:space="preserve">monto de cheques de caja, </w:t>
      </w:r>
    </w:p>
    <w:p w:rsidR="0077342F" w:rsidRPr="005A609F" w:rsidRDefault="009F4DC1" w:rsidP="005A609F">
      <w:pPr>
        <w:pStyle w:val="Prrafodelista"/>
        <w:numPr>
          <w:ilvl w:val="1"/>
          <w:numId w:val="2"/>
        </w:numPr>
        <w:jc w:val="both"/>
        <w:rPr>
          <w:rFonts w:cstheme="minorHAnsi"/>
        </w:rPr>
      </w:pPr>
      <w:r w:rsidRPr="005A609F">
        <w:rPr>
          <w:rFonts w:cstheme="minorHAnsi"/>
        </w:rPr>
        <w:lastRenderedPageBreak/>
        <w:t>monto recaudado de cheques de caja</w:t>
      </w:r>
    </w:p>
    <w:p w:rsidR="005A609F" w:rsidRPr="005A609F" w:rsidRDefault="005A609F" w:rsidP="005A609F">
      <w:pPr>
        <w:pStyle w:val="Prrafodelista"/>
        <w:ind w:left="1080"/>
        <w:jc w:val="both"/>
        <w:rPr>
          <w:rFonts w:cstheme="minorHAnsi"/>
        </w:rPr>
      </w:pPr>
    </w:p>
    <w:p w:rsidR="0077342F" w:rsidRPr="005A609F" w:rsidRDefault="009F4DC1" w:rsidP="005A609F">
      <w:pPr>
        <w:pStyle w:val="Prrafodelista"/>
        <w:numPr>
          <w:ilvl w:val="0"/>
          <w:numId w:val="2"/>
        </w:numPr>
        <w:jc w:val="both"/>
        <w:rPr>
          <w:rFonts w:cstheme="minorHAnsi"/>
        </w:rPr>
      </w:pPr>
      <w:r w:rsidRPr="005A609F">
        <w:rPr>
          <w:rFonts w:cstheme="minorHAnsi"/>
        </w:rPr>
        <w:t>Si su cliente o socio maneja varias cuentas o contratos en su institución, la información proporcionada arriba corresponde a la suma del total de sus cuentas o contratos en el mismo periodo</w:t>
      </w:r>
      <w:r w:rsidR="00C64655" w:rsidRPr="005A609F">
        <w:rPr>
          <w:rFonts w:cstheme="minorHAnsi"/>
        </w:rPr>
        <w:t>. Por cada cuenta/contrato deberá especificarse:</w:t>
      </w:r>
    </w:p>
    <w:p w:rsidR="005A609F" w:rsidRPr="005A609F" w:rsidRDefault="00C64655" w:rsidP="005A609F">
      <w:pPr>
        <w:pStyle w:val="Prrafodelista"/>
        <w:numPr>
          <w:ilvl w:val="1"/>
          <w:numId w:val="2"/>
        </w:numPr>
        <w:jc w:val="both"/>
        <w:rPr>
          <w:rFonts w:cstheme="minorHAnsi"/>
        </w:rPr>
      </w:pPr>
      <w:r w:rsidRPr="005A609F">
        <w:rPr>
          <w:rFonts w:cstheme="minorHAnsi"/>
        </w:rPr>
        <w:t xml:space="preserve"># de cuenta, </w:t>
      </w:r>
    </w:p>
    <w:p w:rsidR="005A609F" w:rsidRPr="005A609F" w:rsidRDefault="00C64655" w:rsidP="005A609F">
      <w:pPr>
        <w:pStyle w:val="Prrafodelista"/>
        <w:numPr>
          <w:ilvl w:val="1"/>
          <w:numId w:val="2"/>
        </w:numPr>
        <w:jc w:val="both"/>
        <w:rPr>
          <w:rFonts w:cstheme="minorHAnsi"/>
        </w:rPr>
      </w:pPr>
      <w:r w:rsidRPr="005A609F">
        <w:rPr>
          <w:rFonts w:cstheme="minorHAnsi"/>
        </w:rPr>
        <w:t xml:space="preserve">#cotitulares, </w:t>
      </w:r>
    </w:p>
    <w:p w:rsidR="005A609F" w:rsidRPr="005A609F" w:rsidRDefault="00C64655" w:rsidP="005A609F">
      <w:pPr>
        <w:pStyle w:val="Prrafodelista"/>
        <w:numPr>
          <w:ilvl w:val="1"/>
          <w:numId w:val="2"/>
        </w:numPr>
        <w:jc w:val="both"/>
        <w:rPr>
          <w:rFonts w:cstheme="minorHAnsi"/>
        </w:rPr>
      </w:pPr>
      <w:r w:rsidRPr="005A609F">
        <w:rPr>
          <w:rFonts w:cstheme="minorHAnsi"/>
        </w:rPr>
        <w:t xml:space="preserve">% proporción que corresponde a este cliente/socio, </w:t>
      </w:r>
    </w:p>
    <w:p w:rsidR="00C64655" w:rsidRPr="005A609F" w:rsidRDefault="00C64655" w:rsidP="005A609F">
      <w:pPr>
        <w:pStyle w:val="Prrafodelista"/>
        <w:numPr>
          <w:ilvl w:val="1"/>
          <w:numId w:val="2"/>
        </w:numPr>
        <w:jc w:val="both"/>
        <w:rPr>
          <w:rFonts w:cstheme="minorHAnsi"/>
        </w:rPr>
      </w:pPr>
      <w:r w:rsidRPr="005A609F">
        <w:rPr>
          <w:rFonts w:cstheme="minorHAnsi"/>
        </w:rPr>
        <w:t>impuesto recaudado.</w:t>
      </w:r>
    </w:p>
    <w:p w:rsidR="005A609F" w:rsidRPr="005A609F" w:rsidRDefault="005A609F" w:rsidP="005A609F">
      <w:pPr>
        <w:pStyle w:val="Prrafodelista"/>
        <w:ind w:left="1800"/>
        <w:jc w:val="both"/>
        <w:rPr>
          <w:rFonts w:cstheme="minorHAnsi"/>
        </w:rPr>
      </w:pPr>
    </w:p>
    <w:p w:rsidR="00C64655" w:rsidRDefault="00C64655" w:rsidP="005A609F">
      <w:pPr>
        <w:pStyle w:val="Prrafodelista"/>
        <w:numPr>
          <w:ilvl w:val="0"/>
          <w:numId w:val="2"/>
        </w:numPr>
        <w:jc w:val="both"/>
        <w:rPr>
          <w:rFonts w:cstheme="minorHAnsi"/>
        </w:rPr>
      </w:pPr>
      <w:r w:rsidRPr="005A609F">
        <w:rPr>
          <w:rFonts w:cstheme="minorHAnsi"/>
        </w:rPr>
        <w:t>Los movimientos efectuados en cada cuenta o contrato de su cliente o socio, pueden llevar una bitácora donde se indique:</w:t>
      </w:r>
    </w:p>
    <w:p w:rsidR="005A609F" w:rsidRPr="005A609F" w:rsidRDefault="005A609F" w:rsidP="005A609F">
      <w:pPr>
        <w:pStyle w:val="Prrafodelista"/>
        <w:numPr>
          <w:ilvl w:val="1"/>
          <w:numId w:val="2"/>
        </w:numPr>
        <w:jc w:val="both"/>
        <w:rPr>
          <w:rFonts w:cstheme="minorHAnsi"/>
        </w:rPr>
      </w:pPr>
      <w:r w:rsidRPr="005A609F">
        <w:rPr>
          <w:rFonts w:cstheme="minorHAnsi"/>
        </w:rPr>
        <w:t xml:space="preserve">Tipo de operación (depósito o retiro), </w:t>
      </w:r>
    </w:p>
    <w:p w:rsidR="005A609F" w:rsidRPr="005A609F" w:rsidRDefault="005A609F" w:rsidP="005A609F">
      <w:pPr>
        <w:pStyle w:val="Prrafodelista"/>
        <w:numPr>
          <w:ilvl w:val="1"/>
          <w:numId w:val="2"/>
        </w:numPr>
        <w:jc w:val="both"/>
        <w:rPr>
          <w:rFonts w:cstheme="minorHAnsi"/>
        </w:rPr>
      </w:pPr>
      <w:r w:rsidRPr="005A609F">
        <w:rPr>
          <w:rFonts w:cstheme="minorHAnsi"/>
        </w:rPr>
        <w:t xml:space="preserve">fecha de la operación, </w:t>
      </w:r>
    </w:p>
    <w:p w:rsidR="005A609F" w:rsidRPr="005A609F" w:rsidRDefault="005A609F" w:rsidP="005A609F">
      <w:pPr>
        <w:pStyle w:val="Prrafodelista"/>
        <w:numPr>
          <w:ilvl w:val="1"/>
          <w:numId w:val="2"/>
        </w:numPr>
        <w:jc w:val="both"/>
        <w:rPr>
          <w:rFonts w:cstheme="minorHAnsi"/>
        </w:rPr>
      </w:pPr>
      <w:r w:rsidRPr="005A609F">
        <w:rPr>
          <w:rFonts w:cstheme="minorHAnsi"/>
        </w:rPr>
        <w:t>monto de la operación</w:t>
      </w:r>
    </w:p>
    <w:p w:rsidR="005A609F" w:rsidRDefault="005A609F" w:rsidP="005A609F">
      <w:pPr>
        <w:pStyle w:val="Prrafodelista"/>
        <w:ind w:left="1080"/>
        <w:jc w:val="both"/>
        <w:rPr>
          <w:rFonts w:cstheme="minorHAnsi"/>
        </w:rPr>
      </w:pPr>
    </w:p>
    <w:p w:rsidR="005A609F" w:rsidRPr="005A609F" w:rsidRDefault="005A609F" w:rsidP="005A609F">
      <w:pPr>
        <w:pStyle w:val="Prrafodelista"/>
        <w:numPr>
          <w:ilvl w:val="0"/>
          <w:numId w:val="2"/>
        </w:numPr>
        <w:jc w:val="both"/>
        <w:rPr>
          <w:rFonts w:cstheme="minorHAnsi"/>
        </w:rPr>
      </w:pPr>
      <w:r>
        <w:rPr>
          <w:rFonts w:cstheme="minorHAnsi"/>
        </w:rPr>
        <w:t xml:space="preserve">Regístrese ahora en </w:t>
      </w:r>
      <w:hyperlink r:id="rId12" w:history="1">
        <w:r w:rsidRPr="005A609F">
          <w:rPr>
            <w:rStyle w:val="Hipervnculo"/>
            <w:rFonts w:cstheme="minorHAnsi"/>
          </w:rPr>
          <w:t>declaracioneside.com</w:t>
        </w:r>
      </w:hyperlink>
      <w:r>
        <w:rPr>
          <w:rFonts w:cstheme="minorHAnsi"/>
        </w:rPr>
        <w:t xml:space="preserve"> para aprovechar sus ofertas y contrate el plan que más se adecúe a sus necesidades, donde una vez tenga estos datos en formato Excel, el sistema los importará para generar y enviar su información de manera segura a los servidores del SAT.</w:t>
      </w:r>
    </w:p>
    <w:p w:rsidR="00E87925" w:rsidRDefault="00E87925" w:rsidP="005A609F">
      <w:pPr>
        <w:jc w:val="both"/>
        <w:rPr>
          <w:rFonts w:cstheme="minorHAnsi"/>
        </w:rPr>
      </w:pPr>
    </w:p>
    <w:p w:rsidR="00C64655" w:rsidRPr="00056C7B" w:rsidRDefault="00E87925" w:rsidP="005A609F">
      <w:pPr>
        <w:jc w:val="both"/>
        <w:rPr>
          <w:rFonts w:cstheme="minorHAnsi"/>
          <w:b/>
        </w:rPr>
      </w:pPr>
      <w:r w:rsidRPr="00056C7B">
        <w:rPr>
          <w:rFonts w:cstheme="minorHAnsi"/>
          <w:b/>
        </w:rPr>
        <w:t>Requisitos para enviar declaraciones del IDE</w:t>
      </w:r>
    </w:p>
    <w:p w:rsidR="0077342F" w:rsidRDefault="00E87925" w:rsidP="00E87925">
      <w:pPr>
        <w:pStyle w:val="Prrafodelista"/>
        <w:numPr>
          <w:ilvl w:val="0"/>
          <w:numId w:val="2"/>
        </w:numPr>
        <w:jc w:val="both"/>
        <w:rPr>
          <w:rFonts w:cstheme="minorHAnsi"/>
        </w:rPr>
      </w:pPr>
      <w:r>
        <w:rPr>
          <w:rFonts w:cstheme="minorHAnsi"/>
        </w:rPr>
        <w:t>Disponer de su clave CASFIM</w:t>
      </w:r>
    </w:p>
    <w:p w:rsidR="00E87925" w:rsidRDefault="00E87925" w:rsidP="00E87925">
      <w:pPr>
        <w:pStyle w:val="Prrafodelista"/>
        <w:numPr>
          <w:ilvl w:val="0"/>
          <w:numId w:val="2"/>
        </w:numPr>
        <w:jc w:val="both"/>
        <w:rPr>
          <w:rFonts w:cstheme="minorHAnsi"/>
        </w:rPr>
      </w:pPr>
      <w:r>
        <w:rPr>
          <w:rFonts w:cstheme="minorHAnsi"/>
        </w:rPr>
        <w:t xml:space="preserve">Haber </w:t>
      </w:r>
      <w:proofErr w:type="spellStart"/>
      <w:r w:rsidR="00056C7B">
        <w:rPr>
          <w:rFonts w:cstheme="minorHAnsi"/>
        </w:rPr>
        <w:t>enterado</w:t>
      </w:r>
      <w:proofErr w:type="spellEnd"/>
      <w:r>
        <w:rPr>
          <w:rFonts w:cstheme="minorHAnsi"/>
        </w:rPr>
        <w:t xml:space="preserve"> el IDE</w:t>
      </w:r>
      <w:r w:rsidR="00056C7B">
        <w:rPr>
          <w:rFonts w:cstheme="minorHAnsi"/>
        </w:rPr>
        <w:t xml:space="preserve"> recaudado</w:t>
      </w:r>
    </w:p>
    <w:p w:rsidR="00E87925" w:rsidRPr="00E87925" w:rsidRDefault="00E87925" w:rsidP="00E87925">
      <w:pPr>
        <w:pStyle w:val="Prrafodelista"/>
        <w:numPr>
          <w:ilvl w:val="0"/>
          <w:numId w:val="2"/>
        </w:numPr>
        <w:jc w:val="both"/>
        <w:rPr>
          <w:rFonts w:cstheme="minorHAnsi"/>
        </w:rPr>
      </w:pPr>
      <w:r>
        <w:rPr>
          <w:rFonts w:cstheme="minorHAnsi"/>
        </w:rPr>
        <w:t xml:space="preserve">Subir la información del periodo correspondiente y enviarla al SAT desde declaracioneside.com </w:t>
      </w:r>
    </w:p>
    <w:p w:rsidR="0077342F" w:rsidRPr="005A609F" w:rsidRDefault="0077342F" w:rsidP="005A609F">
      <w:pPr>
        <w:pStyle w:val="Prrafodelista"/>
        <w:jc w:val="both"/>
        <w:rPr>
          <w:rFonts w:cstheme="minorHAnsi"/>
        </w:rPr>
      </w:pPr>
    </w:p>
    <w:p w:rsidR="0077342F" w:rsidRPr="005A609F" w:rsidRDefault="0077342F" w:rsidP="0077342F">
      <w:pPr>
        <w:pStyle w:val="Prrafodelista"/>
        <w:rPr>
          <w:rFonts w:cstheme="minorHAnsi"/>
        </w:rPr>
      </w:pPr>
    </w:p>
    <w:p w:rsidR="0077342F" w:rsidRPr="005A609F" w:rsidRDefault="0077342F" w:rsidP="0077342F">
      <w:pPr>
        <w:pStyle w:val="Prrafodelista"/>
        <w:rPr>
          <w:rFonts w:cstheme="minorHAnsi"/>
        </w:rPr>
      </w:pPr>
    </w:p>
    <w:p w:rsidR="0077342F" w:rsidRPr="005A609F" w:rsidRDefault="0077342F">
      <w:pPr>
        <w:rPr>
          <w:rFonts w:cstheme="minorHAnsi"/>
        </w:rPr>
      </w:pPr>
    </w:p>
    <w:sectPr w:rsidR="0077342F" w:rsidRPr="005A609F" w:rsidSect="002E16B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147FE"/>
    <w:multiLevelType w:val="hybridMultilevel"/>
    <w:tmpl w:val="15326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CAE1903"/>
    <w:multiLevelType w:val="hybridMultilevel"/>
    <w:tmpl w:val="62B409AE"/>
    <w:lvl w:ilvl="0" w:tplc="A308E8A4">
      <w:start w:val="1"/>
      <w:numFmt w:val="bullet"/>
      <w:lvlText w:val="-"/>
      <w:lvlJc w:val="left"/>
      <w:pPr>
        <w:ind w:left="1080" w:hanging="360"/>
      </w:pPr>
      <w:rPr>
        <w:rFonts w:ascii="Calibri" w:eastAsiaTheme="minorHAnsi" w:hAnsi="Calibri" w:cs="Calibri"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342F"/>
    <w:rsid w:val="00056C7B"/>
    <w:rsid w:val="002A49E8"/>
    <w:rsid w:val="002E16BB"/>
    <w:rsid w:val="004B7A5C"/>
    <w:rsid w:val="005A609F"/>
    <w:rsid w:val="0077342F"/>
    <w:rsid w:val="0090510A"/>
    <w:rsid w:val="009F4DC1"/>
    <w:rsid w:val="00B40B87"/>
    <w:rsid w:val="00C45A27"/>
    <w:rsid w:val="00C64655"/>
    <w:rsid w:val="00D97760"/>
    <w:rsid w:val="00E87925"/>
    <w:rsid w:val="00F36A7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6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42F"/>
    <w:pPr>
      <w:ind w:left="720"/>
      <w:contextualSpacing/>
    </w:pPr>
  </w:style>
  <w:style w:type="character" w:styleId="Hipervnculo">
    <w:name w:val="Hyperlink"/>
    <w:basedOn w:val="Fuentedeprrafopredeter"/>
    <w:uiPriority w:val="99"/>
    <w:unhideWhenUsed/>
    <w:rsid w:val="002A49E8"/>
    <w:rPr>
      <w:color w:val="0000FF" w:themeColor="hyperlink"/>
      <w:u w:val="single"/>
    </w:rPr>
  </w:style>
  <w:style w:type="character" w:customStyle="1" w:styleId="apple-converted-space">
    <w:name w:val="apple-converted-space"/>
    <w:basedOn w:val="Fuentedeprrafopredeter"/>
    <w:rsid w:val="00D97760"/>
  </w:style>
  <w:style w:type="character" w:styleId="Hipervnculovisitado">
    <w:name w:val="FollowedHyperlink"/>
    <w:basedOn w:val="Fuentedeprrafopredeter"/>
    <w:uiPriority w:val="99"/>
    <w:semiHidden/>
    <w:unhideWhenUsed/>
    <w:rsid w:val="00D977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7595115">
      <w:bodyDiv w:val="1"/>
      <w:marLeft w:val="0"/>
      <w:marRight w:val="0"/>
      <w:marTop w:val="0"/>
      <w:marBottom w:val="0"/>
      <w:divBdr>
        <w:top w:val="none" w:sz="0" w:space="0" w:color="auto"/>
        <w:left w:val="none" w:sz="0" w:space="0" w:color="auto"/>
        <w:bottom w:val="none" w:sz="0" w:space="0" w:color="auto"/>
        <w:right w:val="none" w:sz="0" w:space="0" w:color="auto"/>
      </w:divBdr>
      <w:divsChild>
        <w:div w:id="1646273392">
          <w:marLeft w:val="0"/>
          <w:marRight w:val="0"/>
          <w:marTop w:val="0"/>
          <w:marBottom w:val="120"/>
          <w:divBdr>
            <w:top w:val="none" w:sz="0" w:space="0" w:color="E4E3E3"/>
            <w:left w:val="single" w:sz="12" w:space="4" w:color="E4E3E3"/>
            <w:bottom w:val="none" w:sz="0" w:space="0" w:color="E4E3E3"/>
            <w:right w:val="none" w:sz="0" w:space="0" w:color="E4E3E3"/>
          </w:divBdr>
        </w:div>
        <w:div w:id="214657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t.gob.mx/sitio_internet/informacion_fiscal/reforma2008/137_1151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t.gob.mx/sitio_internet/informacion_fiscal/reforma2008/137_11513.html" TargetMode="External"/><Relationship Id="rId12" Type="http://schemas.openxmlformats.org/officeDocument/2006/relationships/hyperlink" Target="declaracionesi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2.sat.gob.mx/asistencia_servicio_ftp/publicaciones/legislacion11/Reglas_2011_IDE.pdf" TargetMode="External"/><Relationship Id="rId11" Type="http://schemas.openxmlformats.org/officeDocument/2006/relationships/hyperlink" Target="http://www.santander.com.mx/NuevaVersion/html/ide.html" TargetMode="External"/><Relationship Id="rId5" Type="http://schemas.openxmlformats.org/officeDocument/2006/relationships/hyperlink" Target="http://www.diputados.gob.mx/LeyesBiblio/pdf/LIDE.pdf" TargetMode="External"/><Relationship Id="rId10" Type="http://schemas.openxmlformats.org/officeDocument/2006/relationships/hyperlink" Target="http://www.banorte.com/portal/personas/informacion.web?grupo=5&amp;elemento=1270" TargetMode="External"/><Relationship Id="rId4" Type="http://schemas.openxmlformats.org/officeDocument/2006/relationships/webSettings" Target="webSettings.xml"/><Relationship Id="rId9" Type="http://schemas.openxmlformats.org/officeDocument/2006/relationships/hyperlink" Target="http://www.sat.gob.mx/sitio_internet/informacion_fiscal/reforma2008/137_12266.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3</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2012-06-09T21:38:00Z</dcterms:created>
  <dcterms:modified xsi:type="dcterms:W3CDTF">2012-06-10T19:04:00Z</dcterms:modified>
</cp:coreProperties>
</file>