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OPERATING AGREEMENT</w:t>
      </w:r>
    </w:p>
    <w:p>
      <w:pPr>
        <w:jc w:val="center"/>
      </w:pPr>
      <w:r>
        <w:rPr>
          <w:b/>
          <w:sz w:val="24"/>
        </w:rPr>
        <w:t>OF</w:t>
      </w:r>
    </w:p>
    <w:p>
      <w:pPr>
        <w:jc w:val="center"/>
      </w:pPr>
      <w:r>
        <w:rPr>
          <w:rFonts w:ascii="Aptos Display" w:hAnsi="Aptos Display"/>
          <w:b/>
          <w:sz w:val="40"/>
        </w:rPr>
        <w:t>TRIPLEVIRGO, LLC</w:t>
      </w:r>
    </w:p>
    <w:p>
      <w:pPr>
        <w:spacing w:before="280"/>
        <w:jc w:val="center"/>
      </w:pPr>
      <w:r>
        <w:rPr>
          <w:i/>
          <w:sz w:val="22"/>
        </w:rPr>
        <w:t>A California Limited Liability Company</w:t>
      </w:r>
    </w:p>
    <w:p>
      <w:pPr>
        <w:spacing w:before="480"/>
        <w:jc w:val="center"/>
      </w:pPr>
      <w:r>
        <w:rPr>
          <w:b/>
        </w:rPr>
        <w:t>Adopted September 22, 2026</w:t>
      </w:r>
    </w:p>
    <w:p>
      <w:pPr>
        <w:spacing w:before="840"/>
        <w:jc w:val="center"/>
      </w:pPr>
      <w:r>
        <w:rPr>
          <w:sz w:val="22"/>
        </w:rPr>
        <w:t>Sole Member</w:t>
        <w:br/>
        <w:t>Jeanetta Lee Okoreeh</w:t>
      </w:r>
    </w:p>
    <w:p>
      <w:r>
        <w:br w:type="page"/>
      </w:r>
    </w:p>
    <w:p>
      <w:r>
        <w:t>This Operating Agreement (the “Agreement”) is adopted as of September 22, 2026, by Jeanetta Lee Okoreeh (the “Member”), the sole member of TripleVirgo, LLC, a California limited liability company (the “Company”).</w:t>
      </w:r>
    </w:p>
    <w:p>
      <w:r>
        <w:t>The Member intends this Agreement to govern the affairs of the Company and the conduct of its business under the California Revised Uniform Limited Liability Company Act, as amended from time to time (the “Act”).</w:t>
      </w:r>
    </w:p>
    <w:p>
      <w:pPr>
        <w:pStyle w:val="Heading1"/>
      </w:pPr>
      <w:r>
        <w:t>ARTICLE I — ORGANIZATION</w:t>
      </w:r>
    </w:p>
    <w:p>
      <w:pPr>
        <w:pStyle w:val="Heading2"/>
      </w:pPr>
      <w:r>
        <w:t>1.1 Formation</w:t>
      </w:r>
    </w:p>
    <w:p>
      <w:r>
        <w:t>The Company was formed as a California limited liability company by filing Articles of Organization with the California Secretary of State. The Company shall continue until dissolved in accordance with this Agreement or applicable law.</w:t>
      </w:r>
    </w:p>
    <w:p>
      <w:pPr>
        <w:pStyle w:val="Heading2"/>
      </w:pPr>
      <w:r>
        <w:t>1.2 Name</w:t>
      </w:r>
    </w:p>
    <w:p>
      <w:r>
        <w:t>The name of the Company is TripleVirgo, LLC. The Company may conduct business under that name or any lawful trade name, assumed name, product name, or brand approved by the Member.</w:t>
      </w:r>
    </w:p>
    <w:p>
      <w:pPr>
        <w:pStyle w:val="Heading2"/>
      </w:pPr>
      <w:r>
        <w:t>1.3 Principal Office</w:t>
      </w:r>
    </w:p>
    <w:p>
      <w:r>
        <w:t>The principal office of the Company is 7813 Hindry Ave, Westchester, California 90045, or such other place as the Member may designate from time to time.</w:t>
      </w:r>
    </w:p>
    <w:p>
      <w:pPr>
        <w:pStyle w:val="Heading2"/>
      </w:pPr>
      <w:r>
        <w:t>1.4 California Entity Number</w:t>
      </w:r>
    </w:p>
    <w:p>
      <w:r>
        <w:t>The Company’s California entity number is B20260322496.</w:t>
      </w:r>
    </w:p>
    <w:p>
      <w:pPr>
        <w:pStyle w:val="Heading2"/>
      </w:pPr>
      <w:r>
        <w:t>1.5 Agent for Service of Process</w:t>
      </w:r>
    </w:p>
    <w:p>
      <w:r>
        <w:t>The Company’s agent for service of process shall be the person or entity shown in the Company’s then-current records filed with the California Secretary of State.</w:t>
      </w:r>
    </w:p>
    <w:p>
      <w:pPr>
        <w:pStyle w:val="Heading2"/>
      </w:pPr>
      <w:r>
        <w:t>1.6 Business Purpose</w:t>
      </w:r>
    </w:p>
    <w:p>
      <w:r>
        <w:t>The purpose of the Company is software development, mobile applications, and technology services, together with any other lawful business activity for which a limited liability company may be organized in California.</w:t>
      </w:r>
    </w:p>
    <w:p>
      <w:pPr>
        <w:pStyle w:val="Heading1"/>
      </w:pPr>
      <w:r>
        <w:t>ARTICLE II — SOLE MEMBER; OWNERSHIP</w:t>
      </w:r>
    </w:p>
    <w:p>
      <w:pPr>
        <w:pStyle w:val="Heading2"/>
      </w:pPr>
      <w:r>
        <w:t>2.1 Sole Member</w:t>
      </w:r>
    </w:p>
    <w:p>
      <w:r>
        <w:t>Jeanetta Lee Okoreeh is the sole Member of the Company and owns one hundred percent (100%) of the membership interests in the Company.</w:t>
      </w:r>
    </w:p>
    <w:p>
      <w:pPr>
        <w:pStyle w:val="Heading2"/>
      </w:pPr>
      <w:r>
        <w:t>2.2 Limited Liability</w:t>
      </w:r>
    </w:p>
    <w:p>
      <w:r>
        <w:t>Except as otherwise required by applicable law or expressly agreed in writing, the debts, obligations, and liabilities of the Company are solely those of the Company, and the Member shall not be personally liable for them solely by reason of being a member or acting for the Company.</w:t>
      </w:r>
    </w:p>
    <w:p>
      <w:pPr>
        <w:pStyle w:val="Heading2"/>
      </w:pPr>
      <w:r>
        <w:t>2.3 No Additional Members</w:t>
      </w:r>
    </w:p>
    <w:p>
      <w:r>
        <w:t>No additional member may be admitted unless the Member approves the admission in a written amendment or other written instrument and the Company’s records are updated accordingly.</w:t>
      </w:r>
    </w:p>
    <w:p>
      <w:pPr>
        <w:pStyle w:val="Heading1"/>
      </w:pPr>
      <w:r>
        <w:t>ARTICLE III — CAPITAL CONTRIBUTIONS; COMPANY PROPERTY</w:t>
      </w:r>
    </w:p>
    <w:p>
      <w:pPr>
        <w:pStyle w:val="Heading2"/>
      </w:pPr>
      <w:r>
        <w:t>3.1 Contributions</w:t>
      </w:r>
    </w:p>
    <w:p>
      <w:r>
        <w:t>The Member’s initial and subsequent contributions to the Company shall be reflected in the Company’s books and records. No fixed initial dollar contribution is stated in this Agreement.</w:t>
      </w:r>
    </w:p>
    <w:p>
      <w:pPr>
        <w:pStyle w:val="Heading2"/>
      </w:pPr>
      <w:r>
        <w:t>3.2 Additional Contributions</w:t>
      </w:r>
    </w:p>
    <w:p>
      <w:r>
        <w:t>The Member may, but is not obligated to, make additional contributions to the Company at such times and in such amounts as the Member determines.</w:t>
      </w:r>
    </w:p>
    <w:p>
      <w:pPr>
        <w:pStyle w:val="Heading2"/>
      </w:pPr>
      <w:r>
        <w:t>3.3 Reimbursements and Advances</w:t>
      </w:r>
    </w:p>
    <w:p>
      <w:r>
        <w:t>The Company may reimburse the Member for properly documented Company expenses paid personally by the Member. Amounts advanced by the Member may be treated as capital contributions, loans, or reimbursable expenses as reflected in the Company’s books and records and as appropriate under applicable tax law.</w:t>
      </w:r>
    </w:p>
    <w:p>
      <w:pPr>
        <w:pStyle w:val="Heading2"/>
      </w:pPr>
      <w:r>
        <w:t>3.4 Company Property</w:t>
      </w:r>
    </w:p>
    <w:p>
      <w:r>
        <w:t>All property acquired by or for the Company shall be owned by the Company and not by the Member individually, except property expressly retained by the Member and licensed or otherwise made available to the Company by written agreement.</w:t>
      </w:r>
    </w:p>
    <w:p>
      <w:pPr>
        <w:pStyle w:val="Heading1"/>
      </w:pPr>
      <w:r>
        <w:t>ARTICLE IV — MANAGEMENT AND AUTHORITY</w:t>
      </w:r>
    </w:p>
    <w:p>
      <w:pPr>
        <w:pStyle w:val="Heading2"/>
      </w:pPr>
      <w:r>
        <w:t>4.1 Member-Managed Company</w:t>
      </w:r>
    </w:p>
    <w:p>
      <w:r>
        <w:t>The Company is member-managed. The Member has full, complete, and exclusive authority to manage and control the business, property, and affairs of the Company, subject to applicable law.</w:t>
      </w:r>
    </w:p>
    <w:p>
      <w:pPr>
        <w:pStyle w:val="Heading2"/>
      </w:pPr>
      <w:r>
        <w:t>4.2 Authority of Member</w:t>
      </w:r>
    </w:p>
    <w:p>
      <w:r>
        <w:t>The Member may take any lawful action on behalf of the Company, including entering contracts; opening, maintaining, and closing financial accounts; borrowing money; acquiring or disposing of assets; hiring employees and independent contractors; engaging professional advisers; obtaining insurance; licensing or commercializing intellectual property; and executing instruments in the Company’s name.</w:t>
      </w:r>
    </w:p>
    <w:p>
      <w:pPr>
        <w:pStyle w:val="Heading2"/>
      </w:pPr>
      <w:r>
        <w:t>4.3 Officers and Delegation</w:t>
      </w:r>
    </w:p>
    <w:p>
      <w:r>
        <w:t>The Member may appoint officers, employees, agents, contractors, or other representatives and may delegate authority to them on terms the Member determines. Any delegation may be modified or revoked by the Member.</w:t>
      </w:r>
    </w:p>
    <w:p>
      <w:pPr>
        <w:pStyle w:val="Heading2"/>
      </w:pPr>
      <w:r>
        <w:t>4.4 Chief Executive Officer</w:t>
      </w:r>
    </w:p>
    <w:p>
      <w:r>
        <w:t>Jeanetta Lee Okoreeh may serve as Chief Executive Officer of the Company and may use such other titles as the Member considers appropriate.</w:t>
      </w:r>
    </w:p>
    <w:p>
      <w:pPr>
        <w:pStyle w:val="Heading2"/>
      </w:pPr>
      <w:r>
        <w:t>4.5 Written Actions</w:t>
      </w:r>
    </w:p>
    <w:p>
      <w:r>
        <w:t>Because the Company has one Member, formal meetings are not required unless the Member chooses to hold them. Any action that may be taken by the Member may be evidenced by a written consent, resolution, memorandum, electronic record, or other Company record.</w:t>
      </w:r>
    </w:p>
    <w:p>
      <w:pPr>
        <w:pStyle w:val="Heading1"/>
      </w:pPr>
      <w:r>
        <w:t>ARTICLE V — FINANCES, ACCOUNTING, AND DISTRIBUTIONS</w:t>
      </w:r>
    </w:p>
    <w:p>
      <w:pPr>
        <w:pStyle w:val="Heading2"/>
      </w:pPr>
      <w:r>
        <w:t>5.1 Fiscal Year</w:t>
      </w:r>
    </w:p>
    <w:p>
      <w:r>
        <w:t>The fiscal year of the Company shall be the calendar year unless changed by the Member.</w:t>
      </w:r>
    </w:p>
    <w:p>
      <w:pPr>
        <w:pStyle w:val="Heading2"/>
      </w:pPr>
      <w:r>
        <w:t>5.2 Bank and Financial Accounts</w:t>
      </w:r>
    </w:p>
    <w:p>
      <w:r>
        <w:t>Company funds shall be maintained in accounts in the Company’s name or otherwise properly identified as Company accounts. The Member shall determine authorized signers and financial controls.</w:t>
      </w:r>
    </w:p>
    <w:p>
      <w:pPr>
        <w:pStyle w:val="Heading2"/>
      </w:pPr>
      <w:r>
        <w:t>5.3 Books and Records</w:t>
      </w:r>
    </w:p>
    <w:p>
      <w:r>
        <w:t>The Company shall maintain complete and accurate books and records appropriate to its business, including formation documents, this Agreement and amendments, tax records, financial records, material contracts, and records relating to ownership and intellectual property.</w:t>
      </w:r>
    </w:p>
    <w:p>
      <w:pPr>
        <w:pStyle w:val="Heading2"/>
      </w:pPr>
      <w:r>
        <w:t>5.4 Distributions</w:t>
      </w:r>
    </w:p>
    <w:p>
      <w:r>
        <w:t>Subject to applicable law and the Company’s obligations, the Member may cause cash or other property to be distributed to the Member at such times and in such amounts as the Member determines.</w:t>
      </w:r>
    </w:p>
    <w:p>
      <w:pPr>
        <w:pStyle w:val="Heading2"/>
      </w:pPr>
      <w:r>
        <w:t>5.5 Compensation</w:t>
      </w:r>
    </w:p>
    <w:p>
      <w:r>
        <w:t>The Member may receive compensation for services to the Company if and when the Member determines such compensation is appropriate and permitted under the Company’s then-current tax classification and applicable law.</w:t>
      </w:r>
    </w:p>
    <w:p>
      <w:pPr>
        <w:pStyle w:val="Heading1"/>
      </w:pPr>
      <w:r>
        <w:t>ARTICLE VI — TAX MATTERS</w:t>
      </w:r>
    </w:p>
    <w:p>
      <w:pPr>
        <w:pStyle w:val="Heading2"/>
      </w:pPr>
      <w:r>
        <w:t>6.1 Tax Classification</w:t>
      </w:r>
    </w:p>
    <w:p>
      <w:r>
        <w:t>Unless and until a different tax election becomes effective, the Company intends to be treated as a single-member limited liability company disregarded as an entity separate from its owner for federal income tax purposes, to the extent applicable. The Member may cause the Company to make any lawful tax election, including an election to be taxed as a corporation or an S corporation, after consultation with appropriate tax advisers.</w:t>
      </w:r>
    </w:p>
    <w:p>
      <w:pPr>
        <w:pStyle w:val="Heading2"/>
      </w:pPr>
      <w:r>
        <w:t>6.2 Tax Returns and Elections</w:t>
      </w:r>
    </w:p>
    <w:p>
      <w:r>
        <w:t>The Member is authorized to prepare, sign, file, or cause to be filed all tax returns, elections, reports, and other documents required or advisable for the Company.</w:t>
      </w:r>
    </w:p>
    <w:p>
      <w:pPr>
        <w:pStyle w:val="Heading2"/>
      </w:pPr>
      <w:r>
        <w:t>6.3 Professional Advice</w:t>
      </w:r>
    </w:p>
    <w:p>
      <w:r>
        <w:t>The Company may retain accountants, tax professionals, attorneys, and other advisers as the Member considers appropriate.</w:t>
      </w:r>
    </w:p>
    <w:p>
      <w:pPr>
        <w:pStyle w:val="Heading1"/>
      </w:pPr>
      <w:r>
        <w:t>ARTICLE VII — INTELLECTUAL PROPERTY</w:t>
      </w:r>
    </w:p>
    <w:p>
      <w:pPr>
        <w:pStyle w:val="Heading2"/>
      </w:pPr>
      <w:r>
        <w:t>7.1 Company Intellectual Property</w:t>
      </w:r>
    </w:p>
    <w:p>
      <w:r>
        <w:t>Subject to any separate written agreement establishing different ownership, intellectual property created, commissioned, acquired, purchased, assigned, or developed by or specifically for the Company using Company resources or pursuant to Company engagements shall be owned by the Company to the fullest extent permitted by law.</w:t>
      </w:r>
    </w:p>
    <w:p>
      <w:pPr>
        <w:pStyle w:val="Heading2"/>
      </w:pPr>
      <w:r>
        <w:t>7.2 Covered Intellectual Property</w:t>
      </w:r>
    </w:p>
    <w:p>
      <w:r>
        <w:t>Company intellectual property may include, without limitation, software and source code; object code; applications; websites; databases; data structures; algorithms; models; product architecture; documentation; written and visual content; product names; trademarks; service marks; logos; trade dress; designs; user-interface and user-experience materials; graphics; domain names; social media assets; proprietary methods; trade secrets; know-how; research; specifications; inventions; improvements; and other copyrightable, patentable, trademarkable, or proprietary material.</w:t>
      </w:r>
    </w:p>
    <w:p>
      <w:pPr>
        <w:pStyle w:val="Heading2"/>
      </w:pPr>
      <w:r>
        <w:t>7.3 Product and Brand Assets</w:t>
      </w:r>
    </w:p>
    <w:p>
      <w:r>
        <w:t>To the extent owned or acquired by the Company, the Company’s intellectual property includes assets associated with TripleVirgo and its present and future products, services, applications, brands, and technology. The identification of a product or brand in Company records does not limit the Company’s ability to rename, discontinue, combine, license, sell, or create additional products.</w:t>
      </w:r>
    </w:p>
    <w:p>
      <w:pPr>
        <w:pStyle w:val="Heading2"/>
      </w:pPr>
      <w:r>
        <w:t>7.4 Pre-Existing Member Intellectual Property</w:t>
      </w:r>
    </w:p>
    <w:p>
      <w:r>
        <w:t>Intellectual property created or owned by the Member before its transfer or assignment to the Company remains the Member’s property unless and until it is assigned to the Company in writing or otherwise validly transferred under applicable law. Nothing in this Agreement alone is intended to substitute for a separate written assignment where one is legally advisable.</w:t>
      </w:r>
    </w:p>
    <w:p>
      <w:pPr>
        <w:pStyle w:val="Heading2"/>
      </w:pPr>
      <w:r>
        <w:t>7.5 Contractors and Employees</w:t>
      </w:r>
    </w:p>
    <w:p>
      <w:r>
        <w:t>The Company should use appropriate written agreements with employees, contractors, designers, developers, consultants, and other contributors addressing confidentiality and intellectual-property ownership. This Agreement does not by itself assign to the Company rights owned by third parties.</w:t>
      </w:r>
    </w:p>
    <w:p>
      <w:pPr>
        <w:pStyle w:val="Heading2"/>
      </w:pPr>
      <w:r>
        <w:t>7.6 Protection and Commercialization</w:t>
      </w:r>
    </w:p>
    <w:p>
      <w:r>
        <w:t>The Member may cause the Company to register, maintain, enforce, license, assign, sell, protect, or otherwise exploit Company intellectual property on terms the Member determines.</w:t>
      </w:r>
    </w:p>
    <w:p>
      <w:pPr>
        <w:pStyle w:val="Heading1"/>
      </w:pPr>
      <w:r>
        <w:t>ARTICLE VIII — LIABILITY; INDEMNIFICATION</w:t>
      </w:r>
    </w:p>
    <w:p>
      <w:pPr>
        <w:pStyle w:val="Heading2"/>
      </w:pPr>
      <w:r>
        <w:t>8.1 Standard of Conduct</w:t>
      </w:r>
    </w:p>
    <w:p>
      <w:r>
        <w:t>The Member shall act in good faith and in a manner reasonably believed to be in the best interests of the Company, subject to the duties and limitations imposed by applicable California law.</w:t>
      </w:r>
    </w:p>
    <w:p>
      <w:pPr>
        <w:pStyle w:val="Heading2"/>
      </w:pPr>
      <w:r>
        <w:t>8.2 Indemnification</w:t>
      </w:r>
    </w:p>
    <w:p>
      <w:r>
        <w:t>To the fullest extent permitted by applicable law, the Company shall indemnify and hold harmless the Member and any officer, employee, or agent of the Company from claims, liabilities, losses, damages, and expenses incurred by reason of acting on behalf of the Company, except to the extent indemnification is prohibited by law or the matter results from conduct for which indemnification may not lawfully be provided.</w:t>
      </w:r>
    </w:p>
    <w:p>
      <w:pPr>
        <w:pStyle w:val="Heading2"/>
      </w:pPr>
      <w:r>
        <w:t>8.3 Insurance</w:t>
      </w:r>
    </w:p>
    <w:p>
      <w:r>
        <w:t>The Company may purchase and maintain insurance for the Company and for any person acting on its behalf, in such types and amounts as the Member determines.</w:t>
      </w:r>
    </w:p>
    <w:p>
      <w:pPr>
        <w:pStyle w:val="Heading1"/>
      </w:pPr>
      <w:r>
        <w:t>ARTICLE IX — TRANSFERS; TRUST AND ESTATE PLANNING</w:t>
      </w:r>
    </w:p>
    <w:p>
      <w:pPr>
        <w:pStyle w:val="Heading2"/>
      </w:pPr>
      <w:r>
        <w:t>9.1 General Restriction</w:t>
      </w:r>
    </w:p>
    <w:p>
      <w:r>
        <w:t>The Member may transfer all or any portion of the Member’s interest only in a manner permitted by applicable law and subject to any documentation the Member determines appropriate.</w:t>
      </w:r>
    </w:p>
    <w:p>
      <w:pPr>
        <w:pStyle w:val="Heading2"/>
      </w:pPr>
      <w:r>
        <w:t>9.2 Transfer to Revocable Living Trust</w:t>
      </w:r>
    </w:p>
    <w:p>
      <w:r>
        <w:t>The Member may transfer all or any portion of the Member’s membership interest to a revocable living trust established by the Member, or may transfer the interest between the Member and such trust, without requiring amendment of this Agreement solely because of that transfer. The Company’s books and records shall be updated to reflect the transfer and the trustee or other appropriate person shall execute any documents reasonably necessary to evidence ownership and authority.</w:t>
      </w:r>
    </w:p>
    <w:p>
      <w:pPr>
        <w:pStyle w:val="Heading2"/>
      </w:pPr>
      <w:r>
        <w:t>9.3 Estate Planning Transfers</w:t>
      </w:r>
    </w:p>
    <w:p>
      <w:r>
        <w:t>The Member may also make transfers permitted by law in connection with the Member’s estate plan. Any successor to an economic interest or membership interest shall have only those rights provided by applicable law and the governing transfer documents until properly admitted as a member, if admission is required.</w:t>
      </w:r>
    </w:p>
    <w:p>
      <w:pPr>
        <w:pStyle w:val="Heading2"/>
      </w:pPr>
      <w:r>
        <w:t>9.4 Incapacity or Death</w:t>
      </w:r>
    </w:p>
    <w:p>
      <w:r>
        <w:t>The Member intends that the Company be capable of continuing following the Member’s incapacity or death to the extent permitted by law and consistent with the Member’s then-effective estate-planning documents. A duly authorized trustee, personal representative, attorney-in-fact, or other fiduciary may exercise such rights as applicable law and the relevant governing documents permit. This Agreement should be coordinated with the Member’s estate plan.</w:t>
      </w:r>
    </w:p>
    <w:p>
      <w:pPr>
        <w:pStyle w:val="Heading1"/>
      </w:pPr>
      <w:r>
        <w:t>ARTICLE X — DISSOLUTION AND WINDING UP</w:t>
      </w:r>
    </w:p>
    <w:p>
      <w:pPr>
        <w:pStyle w:val="Heading2"/>
      </w:pPr>
      <w:r>
        <w:t>10.1 Dissolution</w:t>
      </w:r>
    </w:p>
    <w:p>
      <w:r>
        <w:t>The Company shall be dissolved upon the Member’s written decision to dissolve the Company or upon any event requiring dissolution under applicable law, unless continuation is permitted and elected.</w:t>
      </w:r>
    </w:p>
    <w:p>
      <w:pPr>
        <w:pStyle w:val="Heading2"/>
      </w:pPr>
      <w:r>
        <w:t>10.2 Winding Up</w:t>
      </w:r>
    </w:p>
    <w:p>
      <w:r>
        <w:t>Upon dissolution, the Member or other authorized person shall wind up the Company’s affairs, including collecting assets, disposing of property as appropriate, satisfying or making reasonable provision for liabilities, addressing Company intellectual property and contractual obligations, and distributing remaining assets as permitted by law.</w:t>
      </w:r>
    </w:p>
    <w:p>
      <w:pPr>
        <w:pStyle w:val="Heading2"/>
      </w:pPr>
      <w:r>
        <w:t>10.3 Final Distribution</w:t>
      </w:r>
    </w:p>
    <w:p>
      <w:r>
        <w:t>After payment or adequate provision for Company obligations, the remaining assets shall be distributed to the person or persons entitled to them under this Agreement and applicable law.</w:t>
      </w:r>
    </w:p>
    <w:p>
      <w:pPr>
        <w:pStyle w:val="Heading1"/>
      </w:pPr>
      <w:r>
        <w:t>ARTICLE XI — GENERAL PROVISIONS</w:t>
      </w:r>
    </w:p>
    <w:p>
      <w:pPr>
        <w:pStyle w:val="Heading2"/>
      </w:pPr>
      <w:r>
        <w:t>11.1 Governing Law</w:t>
      </w:r>
    </w:p>
    <w:p>
      <w:r>
        <w:t>This Agreement shall be governed by and construed under the laws of the State of California.</w:t>
      </w:r>
    </w:p>
    <w:p>
      <w:pPr>
        <w:pStyle w:val="Heading2"/>
      </w:pPr>
      <w:r>
        <w:t>11.2 Entire Agreement</w:t>
      </w:r>
    </w:p>
    <w:p>
      <w:r>
        <w:t>This Agreement constitutes the operating agreement of the Company and supersedes prior oral or written understandings concerning the subjects addressed herein, except for separate written agreements that expressly govern a particular matter.</w:t>
      </w:r>
    </w:p>
    <w:p>
      <w:pPr>
        <w:pStyle w:val="Heading2"/>
      </w:pPr>
      <w:r>
        <w:t>11.3 Amendments</w:t>
      </w:r>
    </w:p>
    <w:p>
      <w:r>
        <w:t>The Member may amend this Agreement at any time by a written instrument adopted by the Member. An amendment should be maintained with the Company’s records.</w:t>
      </w:r>
    </w:p>
    <w:p>
      <w:pPr>
        <w:pStyle w:val="Heading2"/>
      </w:pPr>
      <w:r>
        <w:t>11.4 Severability</w:t>
      </w:r>
    </w:p>
    <w:p>
      <w:r>
        <w:t>If any provision of this Agreement is held unenforceable, the remaining provisions shall remain in effect to the fullest extent permitted by law.</w:t>
      </w:r>
    </w:p>
    <w:p>
      <w:pPr>
        <w:pStyle w:val="Heading2"/>
      </w:pPr>
      <w:r>
        <w:t>11.5 Electronic Records and Signatures</w:t>
      </w:r>
    </w:p>
    <w:p>
      <w:r>
        <w:t>To the extent permitted by law, Company records may be maintained electronically and signatures may be electronic.</w:t>
      </w:r>
    </w:p>
    <w:p>
      <w:pPr>
        <w:pStyle w:val="Heading2"/>
      </w:pPr>
      <w:r>
        <w:t>11.6 Headings</w:t>
      </w:r>
    </w:p>
    <w:p>
      <w:r>
        <w:t>Headings are for convenience only and do not limit or alter the meaning of this Agreement.</w:t>
      </w:r>
    </w:p>
    <w:p>
      <w:pPr>
        <w:pStyle w:val="Heading2"/>
      </w:pPr>
      <w:r>
        <w:t>11.7 Controlling Law</w:t>
      </w:r>
    </w:p>
    <w:p>
      <w:r>
        <w:t>If a provision of this Agreement conflicts with a nonwaivable provision of applicable law, the nonwaivable provision of law controls, and this Agreement shall be interpreted to preserve the Member’s intended governance arrangement to the maximum extent permitted.</w:t>
      </w:r>
    </w:p>
    <w:p>
      <w:r>
        <w:br w:type="page"/>
      </w:r>
    </w:p>
    <w:p>
      <w:pPr>
        <w:pStyle w:val="Heading1"/>
      </w:pPr>
      <w:r>
        <w:t>SOLE MEMBER ADOPTION AND SIGNATURE</w:t>
      </w:r>
    </w:p>
    <w:p>
      <w:r>
        <w:t>The undersigned, being the sole Member of TripleVirgo, LLC, adopts this Operating Agreement as of September 22, 2026 and agrees that it shall govern the affairs of the Company and the conduct of its business.</w:t>
      </w:r>
    </w:p>
    <w:p>
      <w:r>
        <w:br/>
      </w:r>
    </w:p>
    <w:p>
      <w:r>
        <w:rPr>
          <w:b/>
        </w:rPr>
        <w:t>____________________________________________</w:t>
        <w:br/>
      </w:r>
      <w:r>
        <w:t>Jeanetta Lee Okoreeh</w:t>
        <w:br/>
      </w:r>
      <w:r>
        <w:t>Sole Member</w:t>
        <w:br/>
      </w:r>
      <w:r>
        <w:t>Date: ______________________________________</w:t>
      </w:r>
    </w:p>
    <w:p>
      <w:r>
        <w:br/>
      </w:r>
    </w:p>
    <w:p>
      <w:r>
        <w:rPr>
          <w:b/>
        </w:rPr>
        <w:t>Company: TripleVirgo, LLC</w:t>
        <w:br/>
      </w:r>
      <w:r>
        <w:t>California Entity No.: B20260322496</w:t>
        <w:br/>
      </w:r>
      <w:r>
        <w:t>Principal Office: 7813 Hindry Ave, Westchester, CA 90045</w:t>
      </w:r>
    </w:p>
    <w:p>
      <w:r>
        <w:br/>
      </w:r>
    </w:p>
    <w:p>
      <w:r>
        <w:rPr>
          <w:b/>
        </w:rPr>
        <w:t xml:space="preserve">Recordkeeping note: </w:t>
      </w:r>
      <w:r>
        <w:t>Maintain the signed original with the Company’s records. This Operating Agreement is an internal Company document and is not filed with the California Secretary of State.</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TripleVirgo, LLC — Operating Agreement</w:t>
    </w:r>
    <w:r>
      <w:rPr>
        <w:sz w:val="16"/>
      </w:rP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