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keepNext w:val="true"/>
        <w:keepLines/>
        <w:pBdr>
          <w:bottom w:val="single" w:sz="4" w:space="1" w:color="000000"/>
        </w:pBdr>
        <w:spacing w:before="480" w:after="240"/>
        <w:jc w:val="center"/>
        <w:rPr/>
      </w:pPr>
      <w:r>
        <w:rPr/>
        <w:t>DiadES survey on diadromous fish</w:t>
      </w:r>
    </w:p>
    <w:p>
      <w:pPr>
        <w:pStyle w:val="Author"/>
        <w:rPr/>
      </w:pPr>
      <w:r>
        <w:rPr/>
        <w:t>Lambert et al.</w:t>
      </w:r>
    </w:p>
    <w:p>
      <w:pPr>
        <w:pStyle w:val="Date"/>
        <w:rPr/>
      </w:pPr>
      <w:r>
        <w:rPr/>
        <w:t>2021-11-30</w:t>
      </w:r>
    </w:p>
    <w:p>
      <w:pPr>
        <w:pStyle w:val="Titre1"/>
        <w:rPr/>
      </w:pPr>
      <w:r>
        <w:rPr/>
        <w:t>Data upload</w:t>
      </w:r>
    </w:p>
    <w:p>
      <w:pPr>
        <w:pStyle w:val="Titre2"/>
        <w:rPr/>
      </w:pPr>
      <w:r>
        <w:rPr/>
        <w:t>Survey responses</w:t>
      </w:r>
      <w:bookmarkStart w:id="0" w:name="survey-responses"/>
      <w:bookmarkEnd w:id="0"/>
    </w:p>
    <w:p>
      <w:pPr>
        <w:pStyle w:val="Titre2"/>
        <w:rPr/>
      </w:pPr>
      <w:r>
        <w:rPr/>
        <w:t>Additional data from fishbase</w:t>
      </w:r>
      <w:bookmarkStart w:id="1" w:name="data-upload"/>
      <w:bookmarkStart w:id="2" w:name="additional-data-from-fishbase"/>
      <w:bookmarkEnd w:id="1"/>
      <w:bookmarkEnd w:id="2"/>
    </w:p>
    <w:p>
      <w:pPr>
        <w:pStyle w:val="Titre1"/>
        <w:rPr/>
      </w:pPr>
      <w:r>
        <w:rPr/>
        <w:t>Population growth rate</w:t>
      </w:r>
    </w:p>
    <w:p>
      <w:pPr>
        <w:pStyle w:val="Titre2"/>
        <w:rPr/>
      </w:pPr>
      <w:r>
        <w:rPr/>
        <w:t>Fecundity</w:t>
      </w:r>
    </w:p>
    <w:tbl>
      <w:tblPr>
        <w:tblW w:w="7233" w:type="dxa"/>
        <w:jc w:val="center"/>
        <w:tblInd w:w="0" w:type="dxa"/>
        <w:tblLayout w:type="fixed"/>
        <w:tblCellMar>
          <w:top w:w="0" w:type="dxa"/>
          <w:left w:w="0" w:type="dxa"/>
          <w:bottom w:w="0" w:type="dxa"/>
          <w:right w:w="0" w:type="dxa"/>
        </w:tblCellMar>
        <w:tblLook w:noHBand="0" w:noVBand="1" w:firstColumn="0" w:lastRow="0" w:lastColumn="0" w:firstRow="1"/>
      </w:tblPr>
      <w:tblGrid>
        <w:gridCol w:w="2687"/>
        <w:gridCol w:w="2089"/>
        <w:gridCol w:w="1766"/>
        <w:gridCol w:w="690"/>
      </w:tblGrid>
      <w:tr>
        <w:trPr>
          <w:tblHeader w:val="true"/>
          <w:trHeight w:val="630" w:hRule="atLeast"/>
          <w:cantSplit w:val="true"/>
        </w:trPr>
        <w:tc>
          <w:tcPr>
            <w:tcW w:w="26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latin_name</w:t>
            </w:r>
          </w:p>
        </w:tc>
        <w:tc>
          <w:tcPr>
            <w:tcW w:w="208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FecundityMean</w:t>
            </w:r>
          </w:p>
        </w:tc>
        <w:tc>
          <w:tcPr>
            <w:tcW w:w="1766"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FecunditySe</w:t>
            </w:r>
          </w:p>
        </w:tc>
        <w:tc>
          <w:tcPr>
            <w:tcW w:w="69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n</w:t>
            </w:r>
          </w:p>
        </w:tc>
      </w:tr>
      <w:tr>
        <w:trPr>
          <w:trHeight w:val="600"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alosa</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312,500</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12,500</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w:t>
            </w:r>
          </w:p>
        </w:tc>
      </w:tr>
      <w:tr>
        <w:trPr>
          <w:trHeight w:val="600"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fallax</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137,500</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7,217</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Lampetra fluviatilis</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20,865</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1,506</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10</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Petromyzon marinus</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190,889</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28,674</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8</w:t>
            </w:r>
          </w:p>
        </w:tc>
      </w:tr>
      <w:tr>
        <w:trPr>
          <w:trHeight w:val="600"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salar</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9,606</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1,064</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10</w:t>
            </w:r>
          </w:p>
        </w:tc>
      </w:tr>
      <w:tr>
        <w:trPr>
          <w:trHeight w:val="600"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trutta</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2,713</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1,227</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9</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Acipenser sturio</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1,375,000</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225,000</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Osmerus eperlanus</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26,938</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1,316</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Anguilla anguilla</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2,500,000</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w:t>
            </w:r>
          </w:p>
        </w:tc>
      </w:tr>
      <w:tr>
        <w:trPr>
          <w:trHeight w:val="600"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Chelon ramada</w:t>
            </w:r>
          </w:p>
        </w:tc>
        <w:tc>
          <w:tcPr>
            <w:tcW w:w="208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442,668</w:t>
            </w:r>
          </w:p>
        </w:tc>
        <w:tc>
          <w:tcPr>
            <w:tcW w:w="1766"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164,093</w:t>
            </w:r>
          </w:p>
        </w:tc>
        <w:tc>
          <w:tcPr>
            <w:tcW w:w="690"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w:t>
            </w:r>
          </w:p>
        </w:tc>
      </w:tr>
      <w:tr>
        <w:trPr>
          <w:trHeight w:val="624" w:hRule="atLeast"/>
          <w:cantSplit w:val="true"/>
        </w:trPr>
        <w:tc>
          <w:tcPr>
            <w:tcW w:w="2687"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Platichthys flesus</w:t>
            </w:r>
          </w:p>
        </w:tc>
        <w:tc>
          <w:tcPr>
            <w:tcW w:w="208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1,179,292</w:t>
            </w:r>
          </w:p>
        </w:tc>
        <w:tc>
          <w:tcPr>
            <w:tcW w:w="1766"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121,929</w:t>
            </w:r>
          </w:p>
        </w:tc>
        <w:tc>
          <w:tcPr>
            <w:tcW w:w="69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7</w:t>
            </w:r>
          </w:p>
        </w:tc>
      </w:tr>
    </w:tbl>
    <w:p>
      <w:pPr>
        <w:pStyle w:val="Figure"/>
        <w:jc w:val="center"/>
        <w:rPr/>
      </w:pPr>
      <w:r>
        <w:rPr/>
        <w:drawing>
          <wp:inline distT="0" distB="0" distL="0" distR="0">
            <wp:extent cx="4572000" cy="3657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3657600"/>
                    </a:xfrm>
                    <a:prstGeom prst="rect">
                      <a:avLst/>
                    </a:prstGeom>
                  </pic:spPr>
                </pic:pic>
              </a:graphicData>
            </a:graphic>
          </wp:inline>
        </w:drawing>
      </w:r>
      <w:bookmarkStart w:id="3" w:name="fecundity"/>
      <w:bookmarkEnd w:id="3"/>
    </w:p>
    <w:p>
      <w:pPr>
        <w:pStyle w:val="Titre2"/>
        <w:rPr/>
      </w:pPr>
      <w:r>
        <w:rPr/>
        <w:t>Survival from egg to adult</w:t>
      </w:r>
    </w:p>
    <w:tbl>
      <w:tblPr>
        <w:tblW w:w="8054" w:type="dxa"/>
        <w:jc w:val="center"/>
        <w:tblInd w:w="0" w:type="dxa"/>
        <w:tblLayout w:type="fixed"/>
        <w:tblCellMar>
          <w:top w:w="0" w:type="dxa"/>
          <w:left w:w="0" w:type="dxa"/>
          <w:bottom w:w="0" w:type="dxa"/>
          <w:right w:w="0" w:type="dxa"/>
        </w:tblCellMar>
        <w:tblLook w:noHBand="0" w:noVBand="1" w:firstColumn="0" w:lastRow="0" w:lastColumn="0" w:firstRow="1"/>
      </w:tblPr>
      <w:tblGrid>
        <w:gridCol w:w="2687"/>
        <w:gridCol w:w="1873"/>
        <w:gridCol w:w="1896"/>
        <w:gridCol w:w="1597"/>
      </w:tblGrid>
      <w:tr>
        <w:trPr>
          <w:tblHeader w:val="true"/>
          <w:trHeight w:val="630" w:hRule="atLeast"/>
          <w:cantSplit w:val="true"/>
        </w:trPr>
        <w:tc>
          <w:tcPr>
            <w:tcW w:w="26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latin_name</w:t>
            </w:r>
          </w:p>
        </w:tc>
        <w:tc>
          <w:tcPr>
            <w:tcW w:w="1873"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survivalMean</w:t>
            </w:r>
          </w:p>
        </w:tc>
        <w:tc>
          <w:tcPr>
            <w:tcW w:w="1896"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survivalDown</w:t>
            </w:r>
          </w:p>
        </w:tc>
        <w:tc>
          <w:tcPr>
            <w:tcW w:w="159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SurvivalUp</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alosa</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3.2e-05</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1.8e-05</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5.4e-05</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fallax</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4.2e-05</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2.1e-05</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8.1e-05</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Lampetra fluviatilis</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1.0e-04</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5.9e-05</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1.7e-04</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Petromyzon marinus</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1.5e-04</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8.9e-05</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2.6e-04</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salar</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3.8e-04</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2.6e-04</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5.6e-04</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trutta</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4.8e-04</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3.1e-04</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7.6e-04</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Acipenser sturio</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4.4e-06</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1.9e-06</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1.0e-05</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Osmerus eperlanus</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7.9e-04</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3.7e-04</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1.7e-03</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Anguilla anguilla</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1.7e-06</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8.8e-07</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3.3e-06</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Chelon ramada</w:t>
            </w:r>
          </w:p>
        </w:tc>
        <w:tc>
          <w:tcPr>
            <w:tcW w:w="1873"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1.9e-05</w:t>
            </w:r>
          </w:p>
        </w:tc>
        <w:tc>
          <w:tcPr>
            <w:tcW w:w="1896"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7.4e-06</w:t>
            </w:r>
          </w:p>
        </w:tc>
        <w:tc>
          <w:tcPr>
            <w:tcW w:w="15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5.1e-05</w:t>
            </w:r>
          </w:p>
        </w:tc>
      </w:tr>
      <w:tr>
        <w:trPr>
          <w:trHeight w:val="624" w:hRule="atLeast"/>
          <w:cantSplit w:val="true"/>
        </w:trPr>
        <w:tc>
          <w:tcPr>
            <w:tcW w:w="2687"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Platichthys flesus</w:t>
            </w:r>
          </w:p>
        </w:tc>
        <w:tc>
          <w:tcPr>
            <w:tcW w:w="1873"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6.8e-05</w:t>
            </w:r>
          </w:p>
        </w:tc>
        <w:tc>
          <w:tcPr>
            <w:tcW w:w="1896"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4.3e-05</w:t>
            </w:r>
          </w:p>
        </w:tc>
        <w:tc>
          <w:tcPr>
            <w:tcW w:w="1597"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1.1e-04</w:t>
            </w:r>
          </w:p>
        </w:tc>
      </w:tr>
    </w:tbl>
    <w:p>
      <w:pPr>
        <w:pStyle w:val="Figure"/>
        <w:jc w:val="center"/>
        <w:rPr/>
      </w:pPr>
      <w:r>
        <w:rPr/>
        <w:drawing>
          <wp:inline distT="0" distB="0" distL="0" distR="0">
            <wp:extent cx="4572000" cy="365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657600"/>
                    </a:xfrm>
                    <a:prstGeom prst="rect">
                      <a:avLst/>
                    </a:prstGeom>
                  </pic:spPr>
                </pic:pic>
              </a:graphicData>
            </a:graphic>
          </wp:inline>
        </w:drawing>
      </w:r>
    </w:p>
    <w:p>
      <w:pPr>
        <w:pStyle w:val="Normal"/>
        <w:rPr/>
      </w:pPr>
      <w:r>
        <w:rPr/>
        <w:t>The comparison with mortalities calculated as the inverse of the fecundity (population at equilibrium, population growth rate = 1) shows optimistic values from the survey.</w:t>
      </w:r>
    </w:p>
    <w:p>
      <w:pPr>
        <w:pStyle w:val="Figure"/>
        <w:jc w:val="center"/>
        <w:rPr/>
      </w:pPr>
      <w:r>
        <w:rPr/>
        <w:drawing>
          <wp:inline distT="0" distB="0" distL="0" distR="0">
            <wp:extent cx="4572000" cy="3657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657600"/>
                    </a:xfrm>
                    <a:prstGeom prst="rect">
                      <a:avLst/>
                    </a:prstGeom>
                  </pic:spPr>
                </pic:pic>
              </a:graphicData>
            </a:graphic>
          </wp:inline>
        </w:drawing>
      </w:r>
      <w:bookmarkStart w:id="4" w:name="survival-from-egg-to-adult"/>
      <w:bookmarkEnd w:id="4"/>
    </w:p>
    <w:p>
      <w:pPr>
        <w:pStyle w:val="Titre2"/>
        <w:rPr/>
      </w:pPr>
      <w:r>
        <w:rPr/>
        <w:t>Population growth rate</w:t>
      </w:r>
    </w:p>
    <w:p>
      <w:pPr>
        <w:pStyle w:val="Normal"/>
        <w:rPr/>
      </w:pPr>
      <w:r>
        <w:rPr/>
        <w:t>population growth rate, without taking into account anthropogenic mortality</w:t>
      </w:r>
    </w:p>
    <w:p>
      <w:pPr>
        <w:pStyle w:val="Figure"/>
        <w:jc w:val="center"/>
        <w:rPr/>
      </w:pPr>
      <w:r>
        <w:rPr/>
        <w:drawing>
          <wp:inline distT="0" distB="0" distL="0" distR="0">
            <wp:extent cx="4572000" cy="3657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3657600"/>
                    </a:xfrm>
                    <a:prstGeom prst="rect">
                      <a:avLst/>
                    </a:prstGeom>
                  </pic:spPr>
                </pic:pic>
              </a:graphicData>
            </a:graphic>
          </wp:inline>
        </w:drawing>
      </w:r>
    </w:p>
    <w:tbl>
      <w:tblPr>
        <w:tblW w:w="7714" w:type="dxa"/>
        <w:jc w:val="center"/>
        <w:tblInd w:w="0" w:type="dxa"/>
        <w:tblLayout w:type="fixed"/>
        <w:tblCellMar>
          <w:top w:w="0" w:type="dxa"/>
          <w:left w:w="0" w:type="dxa"/>
          <w:bottom w:w="0" w:type="dxa"/>
          <w:right w:w="0" w:type="dxa"/>
        </w:tblCellMar>
        <w:tblLook w:noHBand="0" w:noVBand="1" w:firstColumn="0" w:lastRow="0" w:lastColumn="0" w:firstRow="1"/>
      </w:tblPr>
      <w:tblGrid>
        <w:gridCol w:w="2688"/>
        <w:gridCol w:w="1897"/>
        <w:gridCol w:w="2089"/>
        <w:gridCol w:w="1039"/>
      </w:tblGrid>
      <w:tr>
        <w:trPr>
          <w:tblHeader w:val="true"/>
          <w:trHeight w:val="630" w:hRule="atLeast"/>
          <w:cantSplit w:val="true"/>
        </w:trPr>
        <w:tc>
          <w:tcPr>
            <w:tcW w:w="268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latin_name</w:t>
            </w:r>
          </w:p>
        </w:tc>
        <w:tc>
          <w:tcPr>
            <w:tcW w:w="189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SurvivalMean</w:t>
            </w:r>
          </w:p>
        </w:tc>
        <w:tc>
          <w:tcPr>
            <w:tcW w:w="208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FecundityMean</w:t>
            </w:r>
          </w:p>
        </w:tc>
        <w:tc>
          <w:tcPr>
            <w:tcW w:w="103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r</w:t>
            </w:r>
          </w:p>
        </w:tc>
      </w:tr>
      <w:tr>
        <w:trPr>
          <w:trHeight w:val="581"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alosa</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3.2e-05</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3.1e+05</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4.94</w:t>
            </w:r>
          </w:p>
        </w:tc>
      </w:tr>
      <w:tr>
        <w:trPr>
          <w:trHeight w:val="581"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fallax</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4.2e-05</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1.4e+05</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2.86</w:t>
            </w:r>
          </w:p>
        </w:tc>
      </w:tr>
      <w:tr>
        <w:trPr>
          <w:trHeight w:val="624"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Lampetra fluviatilis</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1.0e-04</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2.1e+04</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1.04</w:t>
            </w:r>
          </w:p>
        </w:tc>
      </w:tr>
      <w:tr>
        <w:trPr>
          <w:trHeight w:val="624"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Petromyzon marinus</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1.5e-04</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1.9e+05</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14.51</w:t>
            </w:r>
          </w:p>
        </w:tc>
      </w:tr>
      <w:tr>
        <w:trPr>
          <w:trHeight w:val="581"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salar</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3.8e-04</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9.6e+03</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1.84</w:t>
            </w:r>
          </w:p>
        </w:tc>
      </w:tr>
      <w:tr>
        <w:trPr>
          <w:trHeight w:val="581"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trutta</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4.8e-04</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2.7e+03</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0.66</w:t>
            </w:r>
          </w:p>
        </w:tc>
      </w:tr>
      <w:tr>
        <w:trPr>
          <w:trHeight w:val="624"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Acipenser sturio</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4.4e-06</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1.4e+06</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3.02</w:t>
            </w:r>
          </w:p>
        </w:tc>
      </w:tr>
      <w:tr>
        <w:trPr>
          <w:trHeight w:val="624"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Osmerus eperlanus</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7.9e-04</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2.7e+04</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10.70</w:t>
            </w:r>
          </w:p>
        </w:tc>
      </w:tr>
      <w:tr>
        <w:trPr>
          <w:trHeight w:val="624"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Anguilla anguilla</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1.7e-06</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2.5e+06</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2.12</w:t>
            </w:r>
          </w:p>
        </w:tc>
      </w:tr>
      <w:tr>
        <w:trPr>
          <w:trHeight w:val="581" w:hRule="atLeast"/>
          <w:cantSplit w:val="true"/>
        </w:trPr>
        <w:tc>
          <w:tcPr>
            <w:tcW w:w="2688"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Chelon ramada</w:t>
            </w:r>
          </w:p>
        </w:tc>
        <w:tc>
          <w:tcPr>
            <w:tcW w:w="189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1.9e-05</w:t>
            </w:r>
          </w:p>
        </w:tc>
        <w:tc>
          <w:tcPr>
            <w:tcW w:w="208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4.4e+05</w:t>
            </w:r>
          </w:p>
        </w:tc>
        <w:tc>
          <w:tcPr>
            <w:tcW w:w="103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4.27</w:t>
            </w:r>
          </w:p>
        </w:tc>
      </w:tr>
      <w:tr>
        <w:trPr>
          <w:trHeight w:val="624" w:hRule="atLeast"/>
          <w:cantSplit w:val="true"/>
        </w:trPr>
        <w:tc>
          <w:tcPr>
            <w:tcW w:w="2688"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Platichthys flesus</w:t>
            </w:r>
          </w:p>
        </w:tc>
        <w:tc>
          <w:tcPr>
            <w:tcW w:w="1897"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6.8e-05</w:t>
            </w:r>
          </w:p>
        </w:tc>
        <w:tc>
          <w:tcPr>
            <w:tcW w:w="208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1.2e+06</w:t>
            </w:r>
          </w:p>
        </w:tc>
        <w:tc>
          <w:tcPr>
            <w:tcW w:w="103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40.17</w:t>
            </w:r>
          </w:p>
        </w:tc>
      </w:tr>
    </w:tbl>
    <w:p>
      <w:pPr>
        <w:pStyle w:val="Corpsdetexte"/>
        <w:rPr/>
      </w:pPr>
      <w:r>
        <w:rPr/>
        <w:t xml:space="preserve">There is a possibility to rescale the </w:t>
      </w:r>
      <w:r>
        <w:rPr>
          <w:i/>
          <w:iCs/>
        </w:rPr>
        <w:t>r</w:t>
      </w:r>
      <w:r>
        <w:rPr/>
        <w:t xml:space="preserve"> parameter between 1.2 and 2 after a log transformation… if you are enough naive to consider this calculation as relevant.</w:t>
      </w:r>
    </w:p>
    <w:p>
      <w:pPr>
        <w:pStyle w:val="Figure"/>
        <w:jc w:val="center"/>
        <w:rPr/>
      </w:pPr>
      <w:r>
        <w:rPr/>
        <w:drawing>
          <wp:inline distT="0" distB="0" distL="0" distR="0">
            <wp:extent cx="4572000" cy="3657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72000" cy="3657600"/>
                    </a:xfrm>
                    <a:prstGeom prst="rect">
                      <a:avLst/>
                    </a:prstGeom>
                  </pic:spPr>
                </pic:pic>
              </a:graphicData>
            </a:graphic>
          </wp:inline>
        </w:drawing>
      </w:r>
      <w:bookmarkStart w:id="5" w:name="population-growth-rate-1"/>
      <w:bookmarkEnd w:id="5"/>
    </w:p>
    <w:p>
      <w:pPr>
        <w:pStyle w:val="Titre2"/>
        <w:rPr/>
      </w:pPr>
      <w:r>
        <w:rPr/>
        <w:t>Review of population growth rate</w:t>
      </w:r>
    </w:p>
    <w:p>
      <w:pPr>
        <w:pStyle w:val="Normal"/>
        <w:rPr/>
      </w:pPr>
      <w:r>
        <w:rPr/>
        <w:t>A population growth rate (</w:t>
      </w:r>
      <w:r>
        <w:rPr>
          <w:i/>
          <w:iCs/>
        </w:rPr>
        <w:t>r</w:t>
      </w:r>
      <w:r>
        <w:rPr/>
        <w:t xml:space="preserve">) of= 1 corresponds to a population at equilibrium (no changes in abundance). In pristine conditions (no anthropogenic mortalities), such a figure applied to all catchments, is the minimum value to avoid species extinction. In HyDiaD, a little higher value should be considered to compensate the strayers’ mortality. A population growth rate of 2 leads to a population doubling in 1 year, which is likely the upper limit for the </w:t>
      </w:r>
      <w:r>
        <w:rPr>
          <w:i/>
          <w:iCs/>
        </w:rPr>
        <w:t>r</w:t>
      </w:r>
      <w:r>
        <w:rPr/>
        <w:t xml:space="preserve"> parameter.</w:t>
      </w:r>
    </w:p>
    <w:p>
      <w:pPr>
        <w:pStyle w:val="Corpsdetexte"/>
        <w:rPr/>
      </w:pPr>
      <w:r>
        <w:rPr/>
        <w:t>Jaric et al. (2015) used a population growth rate of 1.1 for European sturgeon. The figure is based on the mean value of reported instantaneous population growth rates for other sturgeons species (ranging from 0.05 to 0.15) (Jaric and Guessner, 2013). For shads Jaric et al (2015) used a range for r between 1.17 and 1.65 based on the reported population doubling time in fishbase.</w:t>
      </w:r>
    </w:p>
    <w:p>
      <w:pPr>
        <w:pStyle w:val="Corpsdetexte"/>
        <w:rPr/>
      </w:pPr>
      <w:r>
        <w:rPr/>
        <w:t xml:space="preserve">k =1.49 for </w:t>
      </w:r>
      <w:r>
        <w:rPr>
          <w:i/>
          <w:iCs/>
        </w:rPr>
        <w:t>Osmerus mordax</w:t>
      </w:r>
      <w:r>
        <w:rPr/>
        <w:t xml:space="preserve"> in Jensen 1984.</w:t>
      </w:r>
      <w:bookmarkStart w:id="6" w:name="population-growth-rate"/>
      <w:bookmarkStart w:id="7" w:name="review-of-population-growth-rate"/>
      <w:bookmarkEnd w:id="6"/>
      <w:bookmarkEnd w:id="7"/>
    </w:p>
    <w:p>
      <w:pPr>
        <w:pStyle w:val="Titre1"/>
        <w:rPr/>
      </w:pPr>
      <w:r>
        <w:rPr/>
        <w:t>Dispersion</w:t>
      </w:r>
    </w:p>
    <w:p>
      <w:pPr>
        <w:pStyle w:val="Titre2"/>
        <w:rPr/>
      </w:pPr>
      <w:r>
        <w:rPr/>
        <w:t>Straying rate</w:t>
      </w:r>
    </w:p>
    <w:p>
      <w:pPr>
        <w:pStyle w:val="Normal"/>
        <w:rPr/>
      </w:pPr>
      <w:r>
        <w:rPr/>
        <w:t>Question: For a group of juveniles leaving a catchment in a given year, what is the approximate proportion of emigrant fish (in %)? In other words, what percentage of fish will not return to spawn in their origin catchment?</w:t>
      </w:r>
    </w:p>
    <w:p>
      <w:pPr>
        <w:pStyle w:val="Corpsdetexte"/>
        <w:rPr/>
      </w:pPr>
      <w:r>
        <w:rPr/>
      </w:r>
      <m:oMath xmlns:m="http://schemas.openxmlformats.org/officeDocument/2006/math">
        <m:r>
          <w:rPr>
            <w:rFonts w:ascii="Cambria Math" w:hAnsi="Cambria Math"/>
          </w:rPr>
          <m:t xml:space="preserve">γ</m:t>
        </m:r>
      </m:oMath>
      <w:r>
        <w:rPr/>
        <w:t xml:space="preserve"> </w:t>
      </w:r>
      <w:r>
        <w:rPr/>
        <w:t>in Barber et al.</w:t>
      </w:r>
    </w:p>
    <w:p>
      <w:pPr>
        <w:pStyle w:val="Figure"/>
        <w:jc w:val="center"/>
        <w:rPr/>
      </w:pPr>
      <w:r>
        <w:rPr/>
        <w:drawing>
          <wp:inline distT="0" distB="0" distL="0" distR="0">
            <wp:extent cx="4572000" cy="3657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3657600"/>
                    </a:xfrm>
                    <a:prstGeom prst="rect">
                      <a:avLst/>
                    </a:prstGeom>
                  </pic:spPr>
                </pic:pic>
              </a:graphicData>
            </a:graphic>
          </wp:inline>
        </w:drawing>
      </w:r>
    </w:p>
    <w:p>
      <w:pPr>
        <w:pStyle w:val="Corpsdetexte"/>
        <w:rPr/>
      </w:pPr>
      <w:r>
        <w:rPr/>
        <w:t>There is an alternative to calibrate the proportion of strayers so that apparent strayers equals value from the survey.</w:t>
      </w:r>
      <w:bookmarkStart w:id="8" w:name="straying-rate"/>
      <w:bookmarkEnd w:id="8"/>
    </w:p>
    <w:p>
      <w:pPr>
        <w:pStyle w:val="Titre2"/>
        <w:rPr/>
      </w:pPr>
      <w:r>
        <w:rPr/>
        <w:t>Strayer survival</w:t>
      </w:r>
    </w:p>
    <w:p>
      <w:pPr>
        <w:pStyle w:val="Normal"/>
        <w:rPr/>
      </w:pPr>
      <w:r>
        <w:rPr/>
        <w:t>Question: Approximately what proportion (in %) of emigrants survive their journey to a new destination catchment (either freshwater catchment or marine habitat connected to catchment)?</w:t>
      </w:r>
    </w:p>
    <w:p>
      <w:pPr>
        <w:pStyle w:val="Corpsdetexte"/>
        <w:rPr/>
      </w:pPr>
      <w:r>
        <w:rPr/>
        <w:t>Mdisp in Barber et al. </w:t>
      </w:r>
    </w:p>
    <w:p>
      <w:pPr>
        <w:pStyle w:val="Figure"/>
        <w:jc w:val="center"/>
        <w:rPr/>
      </w:pPr>
      <w:r>
        <w:rPr/>
        <w:drawing>
          <wp:inline distT="0" distB="0" distL="0" distR="0">
            <wp:extent cx="4572000" cy="3657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72000" cy="3657600"/>
                    </a:xfrm>
                    <a:prstGeom prst="rect">
                      <a:avLst/>
                    </a:prstGeom>
                  </pic:spPr>
                </pic:pic>
              </a:graphicData>
            </a:graphic>
          </wp:inline>
        </w:drawing>
      </w:r>
      <w:bookmarkStart w:id="9" w:name="strayer-survival"/>
      <w:bookmarkEnd w:id="9"/>
    </w:p>
    <w:p>
      <w:pPr>
        <w:pStyle w:val="Titre2"/>
        <w:rPr/>
      </w:pPr>
      <w:r>
        <w:rPr/>
        <w:t>Distance of straying</w:t>
      </w:r>
    </w:p>
    <w:p>
      <w:pPr>
        <w:pStyle w:val="Normal"/>
        <w:rPr/>
      </w:pPr>
      <w:r>
        <w:rPr/>
        <w:t>We are interested in the distance that emigrants are likely to disperse between an origin catchment and a new destination catchment. For all species except eels, consider the destination catchment as a new freshwater spawning habitat for anadromous species and a new marine spawning habitat in close proximity to a catchment for catadromous species.</w:t>
      </w:r>
    </w:p>
    <w:p>
      <w:pPr>
        <w:pStyle w:val="Titre3"/>
        <w:rPr/>
      </w:pPr>
      <w:r>
        <w:rPr/>
        <w:t>mean distance</w:t>
      </w:r>
    </w:p>
    <w:p>
      <w:pPr>
        <w:pStyle w:val="Normal"/>
        <w:rPr/>
      </w:pPr>
      <w:r>
        <w:rPr/>
        <w:t xml:space="preserve">Question For all species except eels, what is the </w:t>
      </w:r>
      <w:r>
        <w:rPr>
          <w:b/>
          <w:bCs/>
        </w:rPr>
        <w:t>mean distance</w:t>
      </w:r>
      <w:r>
        <w:rPr/>
        <w:t xml:space="preserve"> in km an emigrant is likely to disperse between its origin catchment and a new destination catchment? In other words, by what distance have approximately 50% of emigrants stopped dispersing?</w:t>
      </w:r>
    </w:p>
    <w:p>
      <w:pPr>
        <w:pStyle w:val="Figure"/>
        <w:jc w:val="center"/>
        <w:rPr/>
      </w:pPr>
      <w:r>
        <w:rPr/>
        <w:drawing>
          <wp:inline distT="0" distB="0" distL="0" distR="0">
            <wp:extent cx="4572000" cy="3657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72000" cy="3657600"/>
                    </a:xfrm>
                    <a:prstGeom prst="rect">
                      <a:avLst/>
                    </a:prstGeom>
                  </pic:spPr>
                </pic:pic>
              </a:graphicData>
            </a:graphic>
          </wp:inline>
        </w:drawing>
      </w:r>
      <w:bookmarkStart w:id="10" w:name="mean-distance"/>
      <w:bookmarkEnd w:id="10"/>
    </w:p>
    <w:p>
      <w:pPr>
        <w:pStyle w:val="Titre3"/>
        <w:rPr/>
      </w:pPr>
      <w:r>
        <w:rPr/>
        <w:t>maximal distance</w:t>
      </w:r>
    </w:p>
    <w:p>
      <w:pPr>
        <w:pStyle w:val="Normal"/>
        <w:rPr/>
      </w:pPr>
      <w:r>
        <w:rPr/>
        <w:t>For all species except eels, imagine there is a group of emigrants dispersing between an origin catchment and a set of new destination catchments. By what distance (in km) have the majority of emigrants found a destination catchment? We are not asking for the furthest distance that an individual of the species can travel. We are instead asking for the distance at which the majority of emigrants have stopped dispersing.</w:t>
      </w:r>
    </w:p>
    <w:p>
      <w:pPr>
        <w:pStyle w:val="Figure"/>
        <w:jc w:val="center"/>
        <w:rPr/>
      </w:pPr>
      <w:r>
        <w:rPr/>
        <w:drawing>
          <wp:inline distT="0" distB="0" distL="0" distR="0">
            <wp:extent cx="4572000" cy="36576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572000" cy="3657600"/>
                    </a:xfrm>
                    <a:prstGeom prst="rect">
                      <a:avLst/>
                    </a:prstGeom>
                  </pic:spPr>
                </pic:pic>
              </a:graphicData>
            </a:graphic>
          </wp:inline>
        </w:drawing>
      </w:r>
    </w:p>
    <w:p>
      <w:pPr>
        <w:pStyle w:val="Figure"/>
        <w:jc w:val="center"/>
        <w:rPr/>
      </w:pPr>
      <w:r>
        <w:rPr/>
        <w:drawing>
          <wp:inline distT="0" distB="0" distL="0" distR="0">
            <wp:extent cx="4572000" cy="36576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72000" cy="3657600"/>
                    </a:xfrm>
                    <a:prstGeom prst="rect">
                      <a:avLst/>
                    </a:prstGeom>
                  </pic:spPr>
                </pic:pic>
              </a:graphicData>
            </a:graphic>
          </wp:inline>
        </w:drawing>
      </w:r>
    </w:p>
    <w:tbl>
      <w:tblPr>
        <w:tblStyle w:val="Table"/>
        <w:tblW w:w="5000" w:type="pct"/>
        <w:jc w:val="center"/>
        <w:tblInd w:w="0" w:type="dxa"/>
        <w:tblLayout w:type="fixed"/>
        <w:tblCellMar>
          <w:top w:w="0" w:type="dxa"/>
          <w:left w:w="108" w:type="dxa"/>
          <w:bottom w:w="0" w:type="dxa"/>
          <w:right w:w="108" w:type="dxa"/>
        </w:tblCellMar>
        <w:tblLook w:noHBand="0" w:noVBand="1" w:firstColumn="0" w:lastRow="0" w:lastColumn="0" w:firstRow="1"/>
      </w:tblPr>
      <w:tblGrid>
        <w:gridCol w:w="2447"/>
        <w:gridCol w:w="2448"/>
        <w:gridCol w:w="2448"/>
        <w:gridCol w:w="2448"/>
      </w:tblGrid>
      <w:tr>
        <w:trPr>
          <w:tblHeader w:val="true"/>
        </w:trPr>
        <w:tc>
          <w:tcPr>
            <w:tcW w:w="2447" w:type="dxa"/>
            <w:tcBorders>
              <w:right w:val="single" w:sz="4" w:space="0" w:color="000000"/>
            </w:tcBorders>
            <w:shd w:color="auto" w:fill="auto" w:val="clear"/>
          </w:tcPr>
          <w:p>
            <w:pPr>
              <w:pStyle w:val="Normal"/>
              <w:keepNext w:val="true"/>
              <w:widowControl/>
              <w:spacing w:before="0" w:after="200"/>
              <w:jc w:val="left"/>
              <w:rPr>
                <w:rFonts w:ascii="Cambria" w:hAnsi="Cambria" w:eastAsia="Cambria" w:cs=""/>
                <w:b/>
                <w:b/>
                <w:kern w:val="0"/>
                <w:sz w:val="24"/>
                <w:szCs w:val="24"/>
                <w:lang w:val="en-US" w:eastAsia="en-US" w:bidi="ar-SA"/>
              </w:rPr>
            </w:pPr>
            <w:r>
              <w:rPr>
                <w:rFonts w:eastAsia="Cambria" w:cs=""/>
                <w:b/>
                <w:kern w:val="0"/>
                <w:sz w:val="24"/>
                <w:szCs w:val="24"/>
                <w:lang w:val="en-US" w:eastAsia="en-US" w:bidi="ar-SA"/>
              </w:rPr>
              <w:t>Species</w:t>
            </w:r>
          </w:p>
        </w:tc>
        <w:tc>
          <w:tcPr>
            <w:tcW w:w="2448" w:type="dxa"/>
            <w:tcBorders/>
            <w:shd w:color="auto" w:fill="auto" w:val="clear"/>
          </w:tcPr>
          <w:p>
            <w:pPr>
              <w:pStyle w:val="Normal"/>
              <w:keepNext w:val="true"/>
              <w:widowControl/>
              <w:spacing w:before="0" w:after="200"/>
              <w:jc w:val="left"/>
              <w:rPr>
                <w:rFonts w:ascii="Cambria" w:hAnsi="Cambria" w:eastAsia="Cambria" w:cs=""/>
                <w:b/>
                <w:b/>
                <w:kern w:val="0"/>
                <w:sz w:val="24"/>
                <w:szCs w:val="24"/>
                <w:lang w:val="en-US" w:eastAsia="en-US" w:bidi="ar-SA"/>
              </w:rPr>
            </w:pPr>
            <w:r>
              <w:rPr>
                <w:rFonts w:eastAsia="Cambria" w:cs=""/>
                <w:b/>
                <w:kern w:val="0"/>
                <w:sz w:val="24"/>
                <w:szCs w:val="24"/>
                <w:lang w:val="en-US" w:eastAsia="en-US" w:bidi="ar-SA"/>
              </w:rPr>
              <w:t>Question</w:t>
            </w:r>
          </w:p>
        </w:tc>
        <w:tc>
          <w:tcPr>
            <w:tcW w:w="2448" w:type="dxa"/>
            <w:tcBorders/>
            <w:shd w:color="auto" w:fill="auto" w:val="clear"/>
          </w:tcPr>
          <w:p>
            <w:pPr>
              <w:pStyle w:val="Normal"/>
              <w:keepNext w:val="true"/>
              <w:widowControl/>
              <w:spacing w:before="0" w:after="200"/>
              <w:jc w:val="left"/>
              <w:rPr>
                <w:rFonts w:ascii="Cambria" w:hAnsi="Cambria" w:eastAsia="Cambria" w:cs=""/>
                <w:b/>
                <w:b/>
                <w:kern w:val="0"/>
                <w:sz w:val="24"/>
                <w:szCs w:val="24"/>
                <w:lang w:val="en-US" w:eastAsia="en-US" w:bidi="ar-SA"/>
              </w:rPr>
            </w:pPr>
            <w:r>
              <w:rPr>
                <w:rFonts w:eastAsia="Cambria" w:cs=""/>
                <w:b/>
                <w:kern w:val="0"/>
                <w:sz w:val="24"/>
                <w:szCs w:val="24"/>
                <w:lang w:val="en-US" w:eastAsia="en-US" w:bidi="ar-SA"/>
              </w:rPr>
              <w:t>mu_natural</w:t>
            </w:r>
          </w:p>
        </w:tc>
        <w:tc>
          <w:tcPr>
            <w:tcW w:w="2448" w:type="dxa"/>
            <w:tcBorders/>
            <w:shd w:color="auto" w:fill="auto" w:val="clear"/>
          </w:tcPr>
          <w:p>
            <w:pPr>
              <w:pStyle w:val="Normal"/>
              <w:keepNext w:val="true"/>
              <w:widowControl/>
              <w:spacing w:before="0" w:after="200"/>
              <w:jc w:val="left"/>
              <w:rPr>
                <w:rFonts w:ascii="Cambria" w:hAnsi="Cambria" w:eastAsia="Cambria" w:cs=""/>
                <w:b/>
                <w:b/>
                <w:kern w:val="0"/>
                <w:sz w:val="24"/>
                <w:szCs w:val="24"/>
                <w:lang w:val="en-US" w:eastAsia="en-US" w:bidi="ar-SA"/>
              </w:rPr>
            </w:pPr>
            <w:r>
              <w:rPr>
                <w:rFonts w:eastAsia="Cambria" w:cs=""/>
                <w:b/>
                <w:kern w:val="0"/>
                <w:sz w:val="24"/>
                <w:szCs w:val="24"/>
                <w:lang w:val="en-US" w:eastAsia="en-US" w:bidi="ar-SA"/>
              </w:rPr>
              <w:t>up_natural</w:t>
            </w:r>
          </w:p>
        </w:tc>
      </w:tr>
      <w:tr>
        <w:trPr/>
        <w:tc>
          <w:tcPr>
            <w:tcW w:w="2447" w:type="dxa"/>
            <w:tcBorders>
              <w:bottom w:val="nil"/>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Allis Shad</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mean</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40.47090</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64.48762</w:t>
            </w:r>
          </w:p>
        </w:tc>
      </w:tr>
      <w:tr>
        <w:trPr/>
        <w:tc>
          <w:tcPr>
            <w:tcW w:w="2447" w:type="dxa"/>
            <w:tcBorders>
              <w:bottom w:val="nil"/>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Allis Shad</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max</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255.50971</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409.67049</w:t>
            </w:r>
          </w:p>
        </w:tc>
      </w:tr>
      <w:tr>
        <w:trPr/>
        <w:tc>
          <w:tcPr>
            <w:tcW w:w="2447" w:type="dxa"/>
            <w:tcBorders>
              <w:bottom w:val="nil"/>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Twaite Shad</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mean</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23.95027</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37.43641</w:t>
            </w:r>
          </w:p>
        </w:tc>
      </w:tr>
      <w:tr>
        <w:trPr/>
        <w:tc>
          <w:tcPr>
            <w:tcW w:w="2447" w:type="dxa"/>
            <w:tcBorders>
              <w:bottom w:val="nil"/>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Twaite Shad</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max</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150.85907</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244.16206</w:t>
            </w:r>
          </w:p>
        </w:tc>
      </w:tr>
      <w:tr>
        <w:trPr/>
        <w:tc>
          <w:tcPr>
            <w:tcW w:w="2447" w:type="dxa"/>
            <w:tcBorders>
              <w:bottom w:val="nil"/>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Mullet</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mean</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39.81072</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62.75679</w:t>
            </w:r>
          </w:p>
        </w:tc>
      </w:tr>
      <w:tr>
        <w:trPr/>
        <w:tc>
          <w:tcPr>
            <w:tcW w:w="2447" w:type="dxa"/>
            <w:tcBorders>
              <w:bottom w:val="nil"/>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Mullet</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max</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100.00000</w:t>
            </w:r>
          </w:p>
        </w:tc>
        <w:tc>
          <w:tcPr>
            <w:tcW w:w="2448" w:type="dxa"/>
            <w:tcBorders>
              <w:bottom w:val="nil"/>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153.76965</w:t>
            </w:r>
          </w:p>
        </w:tc>
      </w:tr>
      <w:tr>
        <w:trPr/>
        <w:tc>
          <w:tcPr>
            <w:tcW w:w="2447" w:type="dxa"/>
            <w:tcBorders>
              <w:bottom w:val="nil"/>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Flounder</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mean</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26.82696</w:t>
            </w:r>
          </w:p>
        </w:tc>
        <w:tc>
          <w:tcPr>
            <w:tcW w:w="2448" w:type="dxa"/>
            <w:tcBorders>
              <w:bottom w:val="nil"/>
            </w:tcBorders>
            <w:shd w:color="auto" w:fill="EEECE1" w:themeFill="background2"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46.05849</w:t>
            </w:r>
          </w:p>
        </w:tc>
      </w:tr>
      <w:tr>
        <w:trPr/>
        <w:tc>
          <w:tcPr>
            <w:tcW w:w="2447" w:type="dxa"/>
            <w:tcBorders>
              <w:right w:val="single" w:sz="4" w:space="0" w:color="000000"/>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Flounder</w:t>
            </w:r>
          </w:p>
        </w:tc>
        <w:tc>
          <w:tcPr>
            <w:tcW w:w="2448" w:type="dxa"/>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max</w:t>
            </w:r>
          </w:p>
        </w:tc>
        <w:tc>
          <w:tcPr>
            <w:tcW w:w="2448" w:type="dxa"/>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51.79475</w:t>
            </w:r>
          </w:p>
        </w:tc>
        <w:tc>
          <w:tcPr>
            <w:tcW w:w="2448" w:type="dxa"/>
            <w:tcBorders/>
            <w:shd w:color="auto" w:fill="auto" w:val="clear"/>
          </w:tcPr>
          <w:p>
            <w:pPr>
              <w:pStyle w:val="Normal"/>
              <w:keepNext w:val="true"/>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84.83429</w:t>
            </w:r>
            <w:bookmarkStart w:id="11" w:name="maximal-distance"/>
            <w:bookmarkEnd w:id="11"/>
          </w:p>
        </w:tc>
      </w:tr>
    </w:tbl>
    <w:p>
      <w:pPr>
        <w:pStyle w:val="Titre3"/>
        <w:rPr/>
      </w:pPr>
      <w:r>
        <w:rPr/>
        <w:t>kernel function</w:t>
      </w:r>
    </w:p>
    <w:p>
      <w:pPr>
        <w:pStyle w:val="Figure"/>
        <w:jc w:val="center"/>
        <w:rPr/>
      </w:pPr>
      <w:r>
        <w:rPr/>
        <w:drawing>
          <wp:inline distT="0" distB="0" distL="0" distR="0">
            <wp:extent cx="4572000" cy="36576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72000" cy="3657600"/>
                    </a:xfrm>
                    <a:prstGeom prst="rect">
                      <a:avLst/>
                    </a:prstGeom>
                  </pic:spPr>
                </pic:pic>
              </a:graphicData>
            </a:graphic>
          </wp:inline>
        </w:drawing>
      </w:r>
      <w:bookmarkStart w:id="12" w:name="dispersion"/>
      <w:bookmarkStart w:id="13" w:name="distance-of-straying"/>
      <w:bookmarkEnd w:id="12"/>
      <w:bookmarkEnd w:id="13"/>
    </w:p>
    <w:p>
      <w:pPr>
        <w:pStyle w:val="Titre1"/>
        <w:rPr/>
      </w:pPr>
      <w:r>
        <w:rPr/>
        <w:t>Maximum density of fish per unit area (Dmax, # km-2)</w:t>
      </w:r>
    </w:p>
    <w:p>
      <w:pPr>
        <w:pStyle w:val="Figure"/>
        <w:jc w:val="center"/>
        <w:rPr/>
      </w:pPr>
      <w:r>
        <w:rPr/>
        <w:drawing>
          <wp:inline distT="0" distB="0" distL="0" distR="0">
            <wp:extent cx="4572000" cy="36576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572000" cy="3657600"/>
                    </a:xfrm>
                    <a:prstGeom prst="rect">
                      <a:avLst/>
                    </a:prstGeom>
                  </pic:spPr>
                </pic:pic>
              </a:graphicData>
            </a:graphic>
          </wp:inline>
        </w:drawing>
      </w:r>
    </w:p>
    <w:p>
      <w:pPr>
        <w:pStyle w:val="Normal"/>
        <w:rPr/>
      </w:pPr>
      <w:r>
        <w:rPr/>
        <w:t>without flounder</w:t>
      </w:r>
    </w:p>
    <w:p>
      <w:pPr>
        <w:pStyle w:val="Figure"/>
        <w:jc w:val="center"/>
        <w:rPr/>
      </w:pPr>
      <w:r>
        <w:rPr/>
        <w:drawing>
          <wp:inline distT="0" distB="0" distL="0" distR="0">
            <wp:extent cx="4572000" cy="36576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572000" cy="3657600"/>
                    </a:xfrm>
                    <a:prstGeom prst="rect">
                      <a:avLst/>
                    </a:prstGeom>
                  </pic:spPr>
                </pic:pic>
              </a:graphicData>
            </a:graphic>
          </wp:inline>
        </w:drawing>
      </w:r>
    </w:p>
    <w:p>
      <w:pPr>
        <w:pStyle w:val="Corpsdetexte"/>
        <w:rPr/>
      </w:pPr>
      <w:r>
        <w:rPr/>
        <w:t>Need to validate surface area from respondents with values from Eurodiad</w:t>
      </w:r>
      <w:bookmarkStart w:id="14" w:name="X116c222ab8163392343205297cdb41de811e030"/>
      <w:bookmarkEnd w:id="14"/>
    </w:p>
    <w:p>
      <w:pPr>
        <w:pStyle w:val="Titre1"/>
        <w:rPr/>
      </w:pPr>
      <w:r>
        <w:rPr/>
        <w:t>Allee effect</w:t>
      </w:r>
    </w:p>
    <w:p>
      <w:pPr>
        <w:pStyle w:val="Normal"/>
        <w:rPr/>
      </w:pPr>
      <w:r>
        <w:rPr/>
      </w:r>
      <m:oMath xmlns:m="http://schemas.openxmlformats.org/officeDocument/2006/math">
        <m:r>
          <w:rPr>
            <w:rFonts w:ascii="Cambria Math" w:hAnsi="Cambria Math"/>
          </w:rPr>
          <m:t xml:space="preserve">l</m:t>
        </m:r>
        <m:r>
          <w:rPr>
            <w:rFonts w:ascii="Cambria Math" w:hAnsi="Cambria Math"/>
          </w:rPr>
          <m:t xml:space="preserve">a</m:t>
        </m:r>
        <m:r>
          <w:rPr>
            <w:rFonts w:ascii="Cambria Math" w:hAnsi="Cambria Math"/>
          </w:rPr>
          <m:t xml:space="preserve">m</m:t>
        </m:r>
        <m:r>
          <w:rPr>
            <w:rFonts w:ascii="Cambria Math" w:hAnsi="Cambria Math"/>
          </w:rPr>
          <m:t xml:space="preserve">b</m:t>
        </m:r>
        <m:r>
          <w:rPr>
            <w:rFonts w:ascii="Cambria Math" w:hAnsi="Cambria Math"/>
          </w:rPr>
          <m:t xml:space="preserve">d</m:t>
        </m:r>
        <m:r>
          <w:rPr>
            <w:rFonts w:ascii="Cambria Math" w:hAnsi="Cambria Math"/>
          </w:rPr>
          <m:t xml:space="preserve">a</m:t>
        </m:r>
      </m:oMath>
      <w:r>
        <w:rPr/>
        <w:t xml:space="preserve"> </w:t>
      </w:r>
      <w:r>
        <w:rPr/>
        <w:t>in Barber et al</w:t>
      </w:r>
    </w:p>
    <w:p>
      <w:pPr>
        <w:pStyle w:val="Figure"/>
        <w:jc w:val="center"/>
        <w:rPr/>
      </w:pPr>
      <w:r>
        <w:rPr/>
        <w:drawing>
          <wp:inline distT="0" distB="0" distL="0" distR="0">
            <wp:extent cx="4572000" cy="36576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572000" cy="3657600"/>
                    </a:xfrm>
                    <a:prstGeom prst="rect">
                      <a:avLst/>
                    </a:prstGeom>
                  </pic:spPr>
                </pic:pic>
              </a:graphicData>
            </a:graphic>
          </wp:inline>
        </w:drawing>
      </w:r>
      <w:bookmarkStart w:id="15" w:name="allee-effect"/>
      <w:bookmarkEnd w:id="15"/>
    </w:p>
    <w:p>
      <w:pPr>
        <w:pStyle w:val="Titre1"/>
        <w:rPr/>
      </w:pPr>
      <w:r>
        <w:rPr/>
        <w:t>Spawner cohorts in reproduction</w:t>
      </w:r>
    </w:p>
    <w:p>
      <w:pPr>
        <w:pStyle w:val="Normal"/>
        <w:rPr/>
      </w:pPr>
      <w:r>
        <w:rPr/>
        <w:t>to define bins; how many age classes to use when defining annual spawner abundance</w:t>
      </w:r>
    </w:p>
    <w:tbl>
      <w:tblPr>
        <w:tblW w:w="21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tblGrid>
      <w:tr>
        <w:trPr>
          <w:tblHeader w:val="true"/>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latin_name</w:t>
            </w:r>
          </w:p>
        </w:tc>
        <w:tc>
          <w:tcPr>
            <w:tcW w:w="10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bins</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alosa</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fallax</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Lampetra fluviatilis</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Petromyzon marinus</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salar</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trutta</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Acipenser sturio</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Osmerus eperlanus</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Anguilla anguilla</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Chelon ramada</w:t>
            </w:r>
          </w:p>
        </w:tc>
        <w:tc>
          <w:tcPr>
            <w:tcW w:w="1079"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p>
        </w:tc>
      </w:tr>
      <w:tr>
        <w:trPr>
          <w:trHeight w:val="360" w:hRule="atLeast"/>
          <w:cantSplit w:val="true"/>
        </w:trPr>
        <w:tc>
          <w:tcPr>
            <w:tcW w:w="108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Platichthys flesus</w:t>
            </w:r>
          </w:p>
        </w:tc>
        <w:tc>
          <w:tcPr>
            <w:tcW w:w="10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w:t>
            </w:r>
            <w:bookmarkStart w:id="16" w:name="spawner-cohorts-in-reproduction"/>
            <w:bookmarkEnd w:id="16"/>
          </w:p>
        </w:tc>
      </w:tr>
    </w:tbl>
    <w:p>
      <w:pPr>
        <w:pStyle w:val="Titre1"/>
        <w:rPr/>
      </w:pPr>
      <w:r>
        <w:rPr/>
        <w:t>Mean age at first reproduction</w:t>
      </w:r>
    </w:p>
    <w:p>
      <w:pPr>
        <w:pStyle w:val="Normal"/>
        <w:rPr/>
      </w:pPr>
      <w:r>
        <w:rPr/>
        <w:t>define the time lag between when fish are produced and when they participate in reproduction</w:t>
      </w:r>
    </w:p>
    <w:tbl>
      <w:tblPr>
        <w:tblW w:w="5013" w:type="dxa"/>
        <w:jc w:val="center"/>
        <w:tblInd w:w="0" w:type="dxa"/>
        <w:tblLayout w:type="fixed"/>
        <w:tblCellMar>
          <w:top w:w="0" w:type="dxa"/>
          <w:left w:w="0" w:type="dxa"/>
          <w:bottom w:w="0" w:type="dxa"/>
          <w:right w:w="0" w:type="dxa"/>
        </w:tblCellMar>
        <w:tblLook w:noHBand="0" w:noVBand="1" w:firstColumn="0" w:lastRow="0" w:lastColumn="0" w:firstRow="1"/>
      </w:tblPr>
      <w:tblGrid>
        <w:gridCol w:w="2687"/>
        <w:gridCol w:w="2325"/>
      </w:tblGrid>
      <w:tr>
        <w:trPr>
          <w:tblHeader w:val="true"/>
          <w:trHeight w:val="630" w:hRule="atLeast"/>
          <w:cantSplit w:val="true"/>
        </w:trPr>
        <w:tc>
          <w:tcPr>
            <w:tcW w:w="26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latin_name</w:t>
            </w:r>
          </w:p>
        </w:tc>
        <w:tc>
          <w:tcPr>
            <w:tcW w:w="2325"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AgeFirstMatMean</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alosa</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5.0</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Alosa fallax</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3.0</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Lampetra fluviatilis</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5.0</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Petromyzon marinus</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8.0</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salar</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3.0</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Salmo trutta</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3.5</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Acipenser sturio</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11.0</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Osmerus eperlanus</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2.0</w:t>
            </w:r>
          </w:p>
        </w:tc>
      </w:tr>
      <w:tr>
        <w:trPr>
          <w:trHeight w:val="624"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Anguilla anguilla</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12.0</w:t>
            </w:r>
          </w:p>
        </w:tc>
      </w:tr>
      <w:tr>
        <w:trPr>
          <w:trHeight w:val="581" w:hRule="atLeast"/>
          <w:cantSplit w:val="true"/>
        </w:trPr>
        <w:tc>
          <w:tcPr>
            <w:tcW w:w="2687"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Chelon ramada</w:t>
            </w:r>
          </w:p>
        </w:tc>
        <w:tc>
          <w:tcPr>
            <w:tcW w:w="2325" w:type="dxa"/>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3.5</w:t>
            </w:r>
          </w:p>
        </w:tc>
      </w:tr>
      <w:tr>
        <w:trPr>
          <w:trHeight w:val="624" w:hRule="atLeast"/>
          <w:cantSplit w:val="true"/>
        </w:trPr>
        <w:tc>
          <w:tcPr>
            <w:tcW w:w="2687"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Platichthys flesus</w:t>
            </w:r>
          </w:p>
        </w:tc>
        <w:tc>
          <w:tcPr>
            <w:tcW w:w="2325"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DejaVu Sans" w:cs="DejaVu Sans" w:ascii="DejaVu Sans" w:hAnsi="DejaVu Sans"/>
                <w:color w:val="000000"/>
                <w:sz w:val="22"/>
                <w:szCs w:val="22"/>
              </w:rPr>
              <w:t>4.5</w:t>
            </w:r>
          </w:p>
        </w:tc>
      </w:tr>
    </w:tbl>
    <w:p>
      <w:pPr>
        <w:pStyle w:val="Figure"/>
        <w:jc w:val="center"/>
        <w:rPr/>
      </w:pPr>
      <w:r>
        <w:rPr/>
        <w:drawing>
          <wp:inline distT="0" distB="0" distL="0" distR="0">
            <wp:extent cx="4572000" cy="36576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572000" cy="3657600"/>
                    </a:xfrm>
                    <a:prstGeom prst="rect">
                      <a:avLst/>
                    </a:prstGeom>
                  </pic:spPr>
                </pic:pic>
              </a:graphicData>
            </a:graphic>
          </wp:inline>
        </w:drawing>
      </w:r>
    </w:p>
    <w:p>
      <w:pPr>
        <w:pStyle w:val="Titre1"/>
        <w:rPr/>
      </w:pPr>
      <w:r>
        <w:rPr/>
        <w:t>Parameters table for HyDiaD</w:t>
      </w:r>
    </w:p>
    <w:p>
      <w:pPr>
        <w:pStyle w:val="Titre2"/>
        <w:rPr/>
      </w:pPr>
      <w:r>
        <w:rPr/>
        <w:t>Reference</w:t>
      </w:r>
      <w:bookmarkStart w:id="17" w:name="parameters-table-for-hydiad"/>
      <w:bookmarkEnd w:id="17"/>
    </w:p>
    <w:sectPr>
      <w:footerReference w:type="even" r:id="rId17"/>
      <w:footerReference w:type="default" r:id="rId18"/>
      <w:footerReference w:type="first" r:id="rId19"/>
      <w:type w:val="nextPage"/>
      <w:pgSz w:w="11952" w:h="16838"/>
      <w:pgMar w:left="720" w:right="720" w:gutter="720" w:header="0" w:top="1800" w:footer="720" w:bottom="18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814209"/>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Pieddepage"/>
      <w:ind w:right="360"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5697298"/>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sdtContent>
  </w:sdt>
  <w:p>
    <w:pPr>
      <w:pStyle w:val="Pieddepage"/>
      <w:ind w:right="360" w:firstLine="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3694453"/>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sdtContent>
  </w:sdt>
  <w:p>
    <w:pPr>
      <w:pStyle w:val="Pieddepage"/>
      <w:ind w:right="360" w:firstLine="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360" w:hanging="360"/>
      </w:pPr>
    </w:lvl>
    <w:lvl w:ilvl="1">
      <w:start w:val="1"/>
      <w:pStyle w:val="Titre2"/>
      <w:numFmt w:val="decimal"/>
      <w:lvlText w:val="%1.%2."/>
      <w:lvlJc w:val="left"/>
      <w:pPr>
        <w:tabs>
          <w:tab w:val="num" w:pos="0"/>
        </w:tabs>
        <w:ind w:left="792" w:hanging="432"/>
      </w:pPr>
    </w:lvl>
    <w:lvl w:ilvl="2">
      <w:start w:val="1"/>
      <w:pStyle w:val="Titre3"/>
      <w:numFmt w:val="decimal"/>
      <w:lvlText w:val="%1.%2.%3."/>
      <w:lvlJc w:val="left"/>
      <w:pPr>
        <w:tabs>
          <w:tab w:val="num" w:pos="0"/>
        </w:tabs>
        <w:ind w:left="1224" w:hanging="504"/>
      </w:pPr>
    </w:lvl>
    <w:lvl w:ilvl="3">
      <w:start w:val="1"/>
      <w:pStyle w:val="Titre4"/>
      <w:numFmt w:val="decimal"/>
      <w:lvlText w:val="%1.%2.%3.%4."/>
      <w:lvlJc w:val="left"/>
      <w:pPr>
        <w:tabs>
          <w:tab w:val="num" w:pos="0"/>
        </w:tabs>
        <w:ind w:left="1728" w:hanging="648"/>
      </w:pPr>
    </w:lvl>
    <w:lvl w:ilvl="4">
      <w:start w:val="1"/>
      <w:pStyle w:val="Titre5"/>
      <w:numFmt w:val="decimal"/>
      <w:lvlText w:val="%1.%2.%3.%4.%5."/>
      <w:lvlJc w:val="left"/>
      <w:pPr>
        <w:tabs>
          <w:tab w:val="num" w:pos="0"/>
        </w:tabs>
        <w:ind w:left="2232" w:hanging="792"/>
      </w:pPr>
    </w:lvl>
    <w:lvl w:ilvl="5">
      <w:start w:val="1"/>
      <w:pStyle w:val="Titre6"/>
      <w:numFmt w:val="decimal"/>
      <w:lvlText w:val="%1.%2.%3.%4.%5.%6."/>
      <w:lvlJc w:val="left"/>
      <w:pPr>
        <w:tabs>
          <w:tab w:val="num" w:pos="0"/>
        </w:tabs>
        <w:ind w:left="2736" w:hanging="936"/>
      </w:pPr>
    </w:lvl>
    <w:lvl w:ilvl="6">
      <w:start w:val="1"/>
      <w:pStyle w:val="Titre7"/>
      <w:numFmt w:val="decimal"/>
      <w:lvlText w:val="%1.%2.%3.%4.%5.%6.%7."/>
      <w:lvlJc w:val="left"/>
      <w:pPr>
        <w:tabs>
          <w:tab w:val="num" w:pos="0"/>
        </w:tabs>
        <w:ind w:left="3240" w:hanging="1080"/>
      </w:pPr>
    </w:lvl>
    <w:lvl w:ilvl="7">
      <w:start w:val="1"/>
      <w:pStyle w:val="Titre8"/>
      <w:numFmt w:val="decimal"/>
      <w:lvlText w:val="%1.%2.%3.%4.%5.%6.%7.%8."/>
      <w:lvlJc w:val="left"/>
      <w:pPr>
        <w:tabs>
          <w:tab w:val="num" w:pos="0"/>
        </w:tabs>
        <w:ind w:left="3744" w:hanging="1224"/>
      </w:pPr>
    </w:lvl>
    <w:lvl w:ilvl="8">
      <w:start w:val="1"/>
      <w:pStyle w:val="Titre9"/>
      <w:numFmt w:val="decimal"/>
      <w:lvlText w:val="%1.%2.%3.%4.%5.%6.%7.%8.%9."/>
      <w:lvlJc w:val="left"/>
      <w:pPr>
        <w:tabs>
          <w:tab w:val="num" w:pos="0"/>
        </w:tabs>
        <w:ind w:left="4320" w:hanging="1440"/>
      </w:pPr>
    </w:lvl>
  </w:abstractNum>
  <w:num w:numId="1">
    <w:abstractNumId w:val="1"/>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Corpsdetexte"/>
    <w:uiPriority w:val="9"/>
    <w:qFormat/>
    <w:rsid w:val="009137d8"/>
    <w:pPr>
      <w:keepNext w:val="true"/>
      <w:keepLines/>
      <w:numPr>
        <w:ilvl w:val="0"/>
        <w:numId w:val="1"/>
      </w:numPr>
      <w:spacing w:before="480" w:after="0"/>
      <w:outlineLvl w:val="0"/>
    </w:pPr>
    <w:rPr>
      <w:rFonts w:ascii="Calibri" w:hAnsi="Calibri" w:eastAsia="" w:cs="" w:asciiTheme="majorHAnsi" w:cstheme="majorBidi" w:eastAsiaTheme="majorEastAsia" w:hAnsiTheme="majorHAnsi"/>
      <w:b/>
      <w:bCs/>
      <w:color w:val="000000" w:themeColor="text1"/>
      <w:sz w:val="32"/>
      <w:szCs w:val="32"/>
    </w:rPr>
  </w:style>
  <w:style w:type="paragraph" w:styleId="Titre2">
    <w:name w:val="Heading 2"/>
    <w:basedOn w:val="Normal"/>
    <w:next w:val="Corpsdetexte"/>
    <w:uiPriority w:val="9"/>
    <w:unhideWhenUsed/>
    <w:qFormat/>
    <w:rsid w:val="009137d8"/>
    <w:pPr>
      <w:keepNext w:val="true"/>
      <w:keepLines/>
      <w:numPr>
        <w:ilvl w:val="1"/>
        <w:numId w:val="1"/>
      </w:numPr>
      <w:spacing w:before="200" w:after="0"/>
      <w:outlineLvl w:val="1"/>
    </w:pPr>
    <w:rPr>
      <w:rFonts w:ascii="Calibri" w:hAnsi="Calibri" w:eastAsia="" w:cs="" w:asciiTheme="majorHAnsi" w:cstheme="majorBidi" w:eastAsiaTheme="majorEastAsia" w:hAnsiTheme="majorHAnsi"/>
      <w:b/>
      <w:bCs/>
      <w:color w:val="000000" w:themeColor="text1"/>
      <w:sz w:val="32"/>
      <w:szCs w:val="32"/>
    </w:rPr>
  </w:style>
  <w:style w:type="paragraph" w:styleId="Titre3">
    <w:name w:val="Heading 3"/>
    <w:basedOn w:val="Normal"/>
    <w:next w:val="Corpsdetexte"/>
    <w:uiPriority w:val="9"/>
    <w:unhideWhenUsed/>
    <w:qFormat/>
    <w:rsid w:val="009137d8"/>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000000" w:themeColor="text1"/>
      <w:sz w:val="28"/>
      <w:szCs w:val="28"/>
    </w:rPr>
  </w:style>
  <w:style w:type="paragraph" w:styleId="Titre4">
    <w:name w:val="Heading 4"/>
    <w:basedOn w:val="Normal"/>
    <w:next w:val="Corpsdetexte"/>
    <w:uiPriority w:val="9"/>
    <w:unhideWhenUsed/>
    <w:qFormat/>
    <w:rsid w:val="009137d8"/>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000000" w:themeColor="text1"/>
    </w:rPr>
  </w:style>
  <w:style w:type="paragraph" w:styleId="Titre5">
    <w:name w:val="Heading 5"/>
    <w:basedOn w:val="Normal"/>
    <w:next w:val="Corpsdetexte"/>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Titre6">
    <w:name w:val="Heading 6"/>
    <w:basedOn w:val="Normal"/>
    <w:next w:val="Corpsdetexte"/>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Titre7">
    <w:name w:val="Heading 7"/>
    <w:basedOn w:val="Normal"/>
    <w:next w:val="Corpsdetexte"/>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Titre8">
    <w:name w:val="Heading 8"/>
    <w:basedOn w:val="Normal"/>
    <w:next w:val="Corpsdetexte"/>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Titre9">
    <w:name w:val="Heading 9"/>
    <w:basedOn w:val="Normal"/>
    <w:next w:val="Corpsdetexte"/>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Ancredenotedebasdepage">
    <w:name w:val="Ancre de note de bas de page"/>
    <w:rPr>
      <w:vertAlign w:val="superscript"/>
    </w:rPr>
  </w:style>
  <w:style w:type="character" w:styleId="FootnoteCharacters">
    <w:name w:val="Footnote Characters"/>
    <w:basedOn w:val="LgendeCar"/>
    <w:qFormat/>
    <w:rPr>
      <w:vertAlign w:val="superscript"/>
    </w:rPr>
  </w:style>
  <w:style w:type="character" w:styleId="LienInternet">
    <w:name w:val="Lien Internet"/>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qFormat/>
    <w:pPr>
      <w:spacing w:before="180" w:after="18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color w:val="000000" w:themeColor="text1"/>
      <w:sz w:val="36"/>
      <w:szCs w:val="36"/>
    </w:rPr>
  </w:style>
  <w:style w:type="paragraph" w:styleId="Soustitre">
    <w:name w:val="Subtitle"/>
    <w:basedOn w:val="Titreprincipal"/>
    <w:next w:val="Corpsdetexte"/>
    <w:qFormat/>
    <w:rsid w:val="009137d8"/>
    <w:pPr>
      <w:pBdr>
        <w:bottom w:val="nil"/>
      </w:pBdr>
      <w:spacing w:before="240" w:after="240"/>
    </w:pPr>
    <w:rPr>
      <w:sz w:val="30"/>
      <w:szCs w:val="30"/>
    </w:rPr>
  </w:style>
  <w:style w:type="paragraph" w:styleId="Author" w:customStyle="1">
    <w:name w:val="Author"/>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sdetexte"/>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sdetexte"/>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LgendeCar"/>
    <w:qFormat/>
    <w:pPr>
      <w:spacing w:before="0" w:after="120"/>
    </w:pPr>
    <w:rPr>
      <w:i/>
    </w:rPr>
  </w:style>
  <w:style w:type="paragraph" w:styleId="TableCaption" w:customStyle="1">
    <w:name w:val="Table Caption"/>
    <w:basedOn w:val="Caption"/>
    <w:qFormat/>
    <w:rsid w:val="009137d8"/>
    <w:pPr>
      <w:keepNext w:val="true"/>
      <w:jc w:val="center"/>
    </w:pPr>
    <w:rPr/>
  </w:style>
  <w:style w:type="paragraph" w:styleId="ImageCaption" w:customStyle="1">
    <w:name w:val="Image Caption"/>
    <w:basedOn w:val="Caption"/>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Indexlexicaltitre">
    <w:name w:val="Index Heading"/>
    <w:basedOn w:val="Titre"/>
    <w:pPr/>
    <w:rPr/>
  </w:style>
  <w:style w:type="paragraph" w:styleId="Titredetabledesmatires">
    <w:name w:val="TOC Heading"/>
    <w:basedOn w:val="Titre1"/>
    <w:next w:val="Corpsdetexte"/>
    <w:uiPriority w:val="39"/>
    <w:unhideWhenUsed/>
    <w:qFormat/>
    <w:rsid w:val="009137d8"/>
    <w:pPr>
      <w:numPr>
        <w:ilvl w:val="0"/>
        <w:numId w:val="0"/>
      </w:numPr>
      <w:spacing w:lineRule="auto" w:line="259" w:before="240" w:after="0"/>
      <w:jc w:val="center"/>
      <w:outlineLvl w:val="9"/>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Entteetpieddepage">
    <w:name w:val="En-tête et pied de page"/>
    <w:basedOn w:val="Normal"/>
    <w:qFormat/>
    <w:pPr/>
    <w:rPr/>
  </w:style>
  <w:style w:type="paragraph" w:styleId="Pieddepage">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Entte">
    <w:name w:val="Header"/>
    <w:basedOn w:val="Normal"/>
    <w:link w:val="En-tteCar"/>
    <w:unhideWhenUsed/>
    <w:rsid w:val="003f65b2"/>
    <w:pPr>
      <w:tabs>
        <w:tab w:val="clear" w:pos="720"/>
        <w:tab w:val="center" w:pos="4536" w:leader="none"/>
        <w:tab w:val="right" w:pos="9072" w:leader="none"/>
      </w:tabs>
      <w:spacing w:before="0" w:after="0"/>
    </w:pPr>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LibreOffice/7.2.3.2$Linux_X86_64 LibreOffice_project/20$Build-2</Application>
  <AppVersion>15.0000</AppVersion>
  <Pages>13</Pages>
  <Words>898</Words>
  <Characters>4996</Characters>
  <CharactersWithSpaces>5603</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2021-11-30T10:28:32Z</dcterms:created>
  <dc:creator>Lambert et al.</dc:creator>
  <dc:description/>
  <dc:language>en-GB</dc:language>
  <cp:lastModifiedBy>patrick</cp:lastModifiedBy>
  <dcterms:modified xsi:type="dcterms:W3CDTF">2021-11-30T11:28:32Z</dcterms:modified>
  <cp:revision>0</cp:revision>
  <dc:subject/>
  <dc:title>DiadES survey on diadromous fish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2021-11-30</vt:lpwstr>
  </property>
  <property fmtid="{D5CDD505-2E9C-101B-9397-08002B2CF9AE}" pid="3" name="output">
    <vt:lpwstr/>
  </property>
</Properties>
</file>