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16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145645335/asdas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Undangan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HMSI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pelantikan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Rabu / 12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564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asd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das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asd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Wakil Dekan II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asa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546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10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10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
        KELUARGA MAHASISWA
        <w:br/>
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http://www.example.com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