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64" w:lineRule="auto"/>
      </w:pPr>
      <w:r>
        <w:rPr>
          <w:rFonts w:ascii="Calibri" w:hAnsi="Calibri" w:eastAsia="Microsoft YaHei"/>
          <w:b/>
          <w:color w:val="2E74B5"/>
          <w:sz w:val="22"/>
        </w:rPr>
        <w:t>技术分析报告</w:t>
      </w:r>
    </w:p>
    <w:p>
      <w:pPr>
        <w:spacing w:before="0" w:after="100" w:line="264" w:lineRule="auto"/>
      </w:pPr>
      <w:r>
        <w:rPr>
          <w:rFonts w:ascii="Calibri" w:hAnsi="Calibri" w:eastAsia="Microsoft YaHei"/>
          <w:b/>
          <w:color w:val="0B2545"/>
          <w:sz w:val="48"/>
        </w:rPr>
        <w:t>构网型风电机组机电耦合特性分析</w:t>
      </w:r>
    </w:p>
    <w:p>
      <w:pPr>
        <w:spacing w:before="0" w:after="360" w:line="264" w:lineRule="auto"/>
      </w:pPr>
      <w:r>
        <w:rPr>
          <w:rFonts w:ascii="Calibri" w:hAnsi="Calibri" w:eastAsia="Microsoft YaHei"/>
          <w:b w:val="0"/>
          <w:color w:val="5B6570"/>
          <w:sz w:val="26"/>
        </w:rPr>
        <w:t>基于更新的小信号模型、四拓扑因果对照与 Zotero 关键文献的重新分析</w:t>
      </w:r>
    </w:p>
    <w:p>
      <w:pPr>
        <w:spacing w:before="0" w:after="60" w:line="264" w:lineRule="auto"/>
      </w:pPr>
      <w:r>
        <w:rPr>
          <w:rFonts w:ascii="Calibri" w:hAnsi="Calibri" w:eastAsia="Microsoft YaHei"/>
          <w:b/>
          <w:color w:val="0B2545"/>
        </w:rPr>
        <w:t>研究对象：</w:t>
      </w:r>
      <w:r>
        <w:rPr>
          <w:rFonts w:ascii="Calibri" w:hAnsi="Calibri" w:eastAsia="Microsoft YaHei"/>
        </w:rPr>
        <w:t>PMSG 全功率构网型风电机组，两质量块传动链，约 2 Hz 扭振模态</w:t>
      </w:r>
    </w:p>
    <w:p>
      <w:pPr>
        <w:spacing w:before="0" w:after="60" w:line="264" w:lineRule="auto"/>
      </w:pPr>
      <w:r>
        <w:rPr>
          <w:rFonts w:ascii="Calibri" w:hAnsi="Calibri" w:eastAsia="Microsoft YaHei"/>
          <w:b/>
          <w:color w:val="0B2545"/>
        </w:rPr>
        <w:t>模型版本：</w:t>
      </w:r>
      <w:r>
        <w:rPr>
          <w:rFonts w:ascii="Calibri" w:hAnsi="Calibri" w:eastAsia="Microsoft YaHei"/>
        </w:rPr>
        <w:t>含气动转矩线性化、传动链自阻尼、MPPT 斜率反馈与 APCAD 支路的最新程序</w:t>
      </w:r>
    </w:p>
    <w:p>
      <w:pPr>
        <w:spacing w:before="0" w:after="60" w:line="264" w:lineRule="auto"/>
      </w:pPr>
      <w:r>
        <w:rPr>
          <w:rFonts w:ascii="Calibri" w:hAnsi="Calibri" w:eastAsia="Microsoft YaHei"/>
          <w:b/>
          <w:color w:val="0B2545"/>
        </w:rPr>
        <w:t>结果来源：</w:t>
      </w:r>
      <w:r>
        <w:rPr>
          <w:rFonts w:ascii="Calibri" w:hAnsi="Calibri" w:eastAsia="Microsoft YaHei"/>
        </w:rPr>
        <w:t>2026-05-24 重新导出的统一状态空间模型及重新运行的 MATLAB 扫描结果</w:t>
      </w:r>
    </w:p>
    <w:p>
      <w:pPr>
        <w:spacing w:before="0" w:after="60" w:line="264" w:lineRule="auto"/>
      </w:pPr>
      <w:r>
        <w:rPr>
          <w:rFonts w:ascii="Calibri" w:hAnsi="Calibri" w:eastAsia="Microsoft YaHei"/>
          <w:b/>
          <w:color w:val="0B2545"/>
        </w:rPr>
        <w:t>文献依据：</w:t>
      </w:r>
      <w:r>
        <w:rPr>
          <w:rFonts w:ascii="Calibri" w:hAnsi="Calibri" w:eastAsia="Microsoft YaHei"/>
        </w:rPr>
        <w:t>Zotero 文库：机电耦合振荡、构网型控制及 Type-IV GFM-WT 关键论文</w:t>
      </w:r>
    </w:p>
    <w:p>
      <w:pPr>
        <w:spacing w:before="0" w:after="60" w:line="264" w:lineRule="auto"/>
      </w:pPr>
      <w:r>
        <w:rPr>
          <w:rFonts w:ascii="Calibri" w:hAnsi="Calibri" w:eastAsia="Microsoft YaHei"/>
          <w:b/>
          <w:color w:val="0B2545"/>
        </w:rPr>
        <w:t>结论用途：</w:t>
      </w:r>
      <w:r>
        <w:rPr>
          <w:rFonts w:ascii="Calibri" w:hAnsi="Calibri" w:eastAsia="Microsoft YaHei"/>
        </w:rPr>
        <w:t>作为论文机理分析、控制设计与后续 Simulink/RT-LAB 验证的工作底稿</w:t>
      </w:r>
    </w:p>
    <w:p>
      <w:pPr>
        <w:spacing w:before="0" w:after="140" w:line="264" w:lineRule="auto"/>
      </w:pPr>
    </w:p>
    <w:tbl>
      <w:tblPr>
        <w:tblW w:type="dxa" w:w="9360"/>
        <w:jc w:val="left"/>
        <w:tblLayout w:type="fixed"/>
        <w:tblLook w:firstColumn="1" w:firstRow="1" w:lastColumn="0" w:lastRow="0" w:noHBand="0" w:noVBand="1" w:val="04A0"/>
        <w:tblInd w:type="dxa" w:w="120"/>
      </w:tblPr>
      <w:tblGrid>
        <w:gridCol w:w="9360"/>
      </w:tblGrid>
      <w:tr>
        <w:tc>
          <w:tcPr>
            <w:tcW w:type="dxa" w:w="9360"/>
            <w:shd w:fill="F4F6F9"/>
            <w:tcMar>
              <w:top w:w="130" w:type="dxa"/>
              <w:start w:w="160" w:type="dxa"/>
              <w:bottom w:w="130" w:type="dxa"/>
              <w:end w:w="160" w:type="dxa"/>
            </w:tcMar>
          </w:tcPr>
          <w:p>
            <w:pPr>
              <w:spacing w:after="60"/>
            </w:pPr>
            <w:r>
              <w:rPr>
                <w:rFonts w:ascii="Calibri" w:hAnsi="Calibri" w:eastAsia="Microsoft YaHei"/>
                <w:b/>
                <w:color w:val="1F4D78"/>
              </w:rPr>
              <w:t>结论摘要</w:t>
            </w:r>
          </w:p>
          <w:p>
            <w:pPr>
              <w:spacing w:after="0" w:line="264" w:lineRule="auto"/>
            </w:pPr>
            <w:r>
              <w:rPr>
                <w:rFonts w:ascii="Calibri" w:hAnsi="Calibri" w:eastAsia="Microsoft YaHei"/>
              </w:rPr>
              <w:t>新模型表明，单纯将同步方式由 PLL 换为 GFM 并未改变约 2 Hz 扭振阻尼；真正使阻尼降低的是直流电压控制由网侧迁移到机侧后形成的“直流链-电磁转矩-传动链”反馈通道。APCAD 在网侧有功参考中注入针对该频带的阻尼功率，使扭振模态重新左移并提高阻尼比。当前结论可支撑机理论证和控制路线，但数值尚需目标机组参数与非线性/半实物验证确认。</w:t>
            </w:r>
          </w:p>
        </w:tc>
      </w:tr>
    </w:tbl>
    <w:p>
      <w:pPr>
        <w:spacing w:before="0" w:after="60" w:line="264" w:lineRule="auto"/>
      </w:pPr>
    </w:p>
    <w:p>
      <w:pPr>
        <w:pStyle w:val="Heading1"/>
      </w:pPr>
      <w:r>
        <w:rPr>
          <w:rFonts w:ascii="Calibri" w:hAnsi="Calibri" w:eastAsia="Microsoft YaHei"/>
          <w:b/>
          <w:color w:val="2E74B5"/>
        </w:rPr>
        <w:t>1 研究问题与文献定位</w:t>
      </w:r>
    </w:p>
    <w:p>
      <w:pPr>
        <w:spacing w:before="0" w:after="120" w:line="264" w:lineRule="auto"/>
      </w:pPr>
      <w:r>
        <w:rPr>
          <w:rFonts w:ascii="Calibri" w:hAnsi="Calibri" w:eastAsia="Microsoft YaHei"/>
          <w:b w:val="0"/>
        </w:rPr>
        <w:t>本报告重新回答三个直接关系论文立论的问题：构网型风电机组为什么可能增强机电耦合扭振；当前四个对照模型究竟证明了哪一条因果通道；围绕该通道设计的附加阻尼控制是否有效、下一步怎样完成非线性实验闭环。</w:t>
      </w:r>
    </w:p>
    <w:p>
      <w:pPr>
        <w:spacing w:before="0" w:after="120" w:line="264" w:lineRule="auto"/>
      </w:pPr>
      <w:r>
        <w:rPr>
          <w:rFonts w:ascii="Calibri" w:hAnsi="Calibri" w:eastAsia="Microsoft YaHei"/>
          <w:b w:val="0"/>
        </w:rPr>
        <w:t>在 Zotero 文库中，与当前 PMSG 全功率模型最直接对应的研究形成了清晰证据链。Liu 等在 2024 年关于直流电压控制的研究中，将机侧 DVC 与传动链扭振联系起来，并在小信号推导后用非线性时域仿真验证。另一篇 2024 年研究比较了 GFM-GWT 与 GFM-MWT，指出机侧 DVC 配置会引入不利阻尼，而其对扭振频率的改变相对有限。Udawatte 等在 2026 年提出 APCAD：通过 GSC 有功控制支路施加阻尼，避免直接干扰 MSC 的直流电压调节，并进一步开展实时实验验证。[1]-[3]</w:t>
      </w:r>
    </w:p>
    <w:tbl>
      <w:tblPr>
        <w:tblStyle w:val="TableGrid"/>
        <w:tblW w:type="dxa" w:w="9360"/>
        <w:jc w:val="left"/>
        <w:tblLayout w:type="fixed"/>
        <w:tblLook w:firstColumn="1" w:firstRow="1" w:lastColumn="0" w:lastRow="0" w:noHBand="0" w:noVBand="1" w:val="04A0"/>
        <w:tblInd w:type="dxa" w:w="120"/>
      </w:tblPr>
      <w:tblGrid>
        <w:gridCol w:w="2563"/>
        <w:gridCol w:w="3528"/>
        <w:gridCol w:w="3269"/>
      </w:tblGrid>
      <w:tr>
        <w:tc>
          <w:tcPr>
            <w:tcW w:type="dxa" w:w="2563"/>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文献与模型对应点</w:t>
            </w:r>
          </w:p>
        </w:tc>
        <w:tc>
          <w:tcPr>
            <w:tcW w:type="dxa" w:w="3528"/>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可支撑的研究论断</w:t>
            </w:r>
          </w:p>
        </w:tc>
        <w:tc>
          <w:tcPr>
            <w:tcW w:type="dxa" w:w="3269"/>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在本程序中的落实</w:t>
            </w:r>
          </w:p>
        </w:tc>
      </w:tr>
      <w:tr>
        <w:tc>
          <w:tcPr>
            <w:tcW w:type="dxa" w:w="2563"/>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Liu et al., 2024, TEC [1]</w:t>
            </w:r>
          </w:p>
        </w:tc>
        <w:tc>
          <w:tcPr>
            <w:tcW w:type="dxa" w:w="3528"/>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MSC-DVC 使直流动态与电磁转矩、传动链发生耦合</w:t>
            </w:r>
          </w:p>
        </w:tc>
        <w:tc>
          <w:tcPr>
            <w:tcW w:type="dxa" w:w="326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 与 GFM-GWT 的控制位置对照</w:t>
            </w:r>
          </w:p>
        </w:tc>
      </w:tr>
      <w:tr>
        <w:tc>
          <w:tcPr>
            <w:tcW w:type="dxa" w:w="2563"/>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Liu et al., 2024, TSTE [2]</w:t>
            </w:r>
          </w:p>
        </w:tc>
        <w:tc>
          <w:tcPr>
            <w:tcW w:type="dxa" w:w="3528"/>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 阻尼低于 GFM-GWT；频率变化有限</w:t>
            </w:r>
          </w:p>
        </w:tc>
        <w:tc>
          <w:tcPr>
            <w:tcW w:type="dxa" w:w="326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四拓扑基准、参与度与模态轨迹</w:t>
            </w:r>
          </w:p>
        </w:tc>
      </w:tr>
      <w:tr>
        <w:tc>
          <w:tcPr>
            <w:tcW w:type="dxa" w:w="2563"/>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Udawatte et al., 2026, TPEL [3]</w:t>
            </w:r>
          </w:p>
        </w:tc>
        <w:tc>
          <w:tcPr>
            <w:tcW w:type="dxa" w:w="3528"/>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GSC-APC 中 BPF+超前+增益可提供附加阻尼</w:t>
            </w:r>
          </w:p>
        </w:tc>
        <w:tc>
          <w:tcPr>
            <w:tcW w:type="dxa" w:w="326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GFM-MWT+AD / APCAD 与 K_damp 扫描</w:t>
            </w:r>
          </w:p>
        </w:tc>
      </w:tr>
    </w:tbl>
    <w:p>
      <w:pPr>
        <w:spacing w:after="20"/>
      </w:pPr>
    </w:p>
    <w:p>
      <w:pPr>
        <w:pStyle w:val="Heading1"/>
      </w:pPr>
      <w:r>
        <w:rPr>
          <w:rFonts w:ascii="Calibri" w:hAnsi="Calibri" w:eastAsia="Microsoft YaHei"/>
          <w:b/>
          <w:color w:val="2E74B5"/>
        </w:rPr>
        <w:t>2 更新模型：现阶段能表征什么</w:t>
      </w:r>
    </w:p>
    <w:p>
      <w:pPr>
        <w:pStyle w:val="Heading2"/>
      </w:pPr>
      <w:r>
        <w:rPr>
          <w:rFonts w:ascii="Calibri" w:hAnsi="Calibri" w:eastAsia="Microsoft YaHei"/>
          <w:b/>
          <w:color w:val="2E74B5"/>
        </w:rPr>
        <w:t>2.1 四类控制拓扑的因果设计</w:t>
      </w:r>
    </w:p>
    <w:tbl>
      <w:tblPr>
        <w:tblStyle w:val="TableGrid"/>
        <w:tblW w:type="dxa" w:w="9360"/>
        <w:jc w:val="left"/>
        <w:tblLayout w:type="fixed"/>
        <w:tblLook w:firstColumn="1" w:firstRow="1" w:lastColumn="0" w:lastRow="0" w:noHBand="0" w:noVBand="1" w:val="04A0"/>
        <w:tblInd w:type="dxa" w:w="120"/>
      </w:tblPr>
      <w:tblGrid>
        <w:gridCol w:w="1699"/>
        <w:gridCol w:w="2088"/>
        <w:gridCol w:w="2232"/>
        <w:gridCol w:w="3341"/>
      </w:tblGrid>
      <w:tr>
        <w:tc>
          <w:tcPr>
            <w:tcW w:type="dxa" w:w="1699"/>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8"/>
              </w:rPr>
              <w:t>模型</w:t>
            </w:r>
          </w:p>
        </w:tc>
        <w:tc>
          <w:tcPr>
            <w:tcW w:type="dxa" w:w="2088"/>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8"/>
              </w:rPr>
              <w:t>机侧变流器 MSC</w:t>
            </w:r>
          </w:p>
        </w:tc>
        <w:tc>
          <w:tcPr>
            <w:tcW w:type="dxa" w:w="2232"/>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8"/>
              </w:rPr>
              <w:t>网侧变流器 GSC</w:t>
            </w:r>
          </w:p>
        </w:tc>
        <w:tc>
          <w:tcPr>
            <w:tcW w:type="dxa" w:w="3341"/>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8"/>
              </w:rPr>
              <w:t>对照目的</w:t>
            </w:r>
          </w:p>
        </w:tc>
      </w:tr>
      <w:tr>
        <w:tc>
          <w:tcPr>
            <w:tcW w:type="dxa" w:w="1699"/>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GFL-WT</w:t>
            </w:r>
          </w:p>
        </w:tc>
        <w:tc>
          <w:tcPr>
            <w:tcW w:type="dxa" w:w="2088"/>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MPPT</w:t>
            </w:r>
          </w:p>
        </w:tc>
        <w:tc>
          <w:tcPr>
            <w:tcW w:type="dxa" w:w="2232"/>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DVC + PLL</w:t>
            </w:r>
          </w:p>
        </w:tc>
        <w:tc>
          <w:tcPr>
            <w:tcW w:type="dxa" w:w="3341"/>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跟网型基线</w:t>
            </w:r>
          </w:p>
        </w:tc>
      </w:tr>
      <w:tr>
        <w:tc>
          <w:tcPr>
            <w:tcW w:type="dxa" w:w="1699"/>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GFM-GWT</w:t>
            </w:r>
          </w:p>
        </w:tc>
        <w:tc>
          <w:tcPr>
            <w:tcW w:type="dxa" w:w="2088"/>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MPPT</w:t>
            </w:r>
          </w:p>
        </w:tc>
        <w:tc>
          <w:tcPr>
            <w:tcW w:type="dxa" w:w="2232"/>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DVC + GFM</w:t>
            </w:r>
          </w:p>
        </w:tc>
        <w:tc>
          <w:tcPr>
            <w:tcW w:type="dxa" w:w="3341"/>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仅改变同步/成网方式</w:t>
            </w:r>
          </w:p>
        </w:tc>
      </w:tr>
      <w:tr>
        <w:tc>
          <w:tcPr>
            <w:tcW w:type="dxa" w:w="1699"/>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GFM-MWT</w:t>
            </w:r>
          </w:p>
        </w:tc>
        <w:tc>
          <w:tcPr>
            <w:tcW w:type="dxa" w:w="2088"/>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DVC</w:t>
            </w:r>
          </w:p>
        </w:tc>
        <w:tc>
          <w:tcPr>
            <w:tcW w:type="dxa" w:w="2232"/>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GFM</w:t>
            </w:r>
          </w:p>
        </w:tc>
        <w:tc>
          <w:tcPr>
            <w:tcW w:type="dxa" w:w="3341"/>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隔离直流控制位置迁移影响</w:t>
            </w:r>
          </w:p>
        </w:tc>
      </w:tr>
      <w:tr>
        <w:tc>
          <w:tcPr>
            <w:tcW w:type="dxa" w:w="1699"/>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GFM-MWT+AD</w:t>
            </w:r>
          </w:p>
        </w:tc>
        <w:tc>
          <w:tcPr>
            <w:tcW w:type="dxa" w:w="2088"/>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DVC</w:t>
            </w:r>
          </w:p>
        </w:tc>
        <w:tc>
          <w:tcPr>
            <w:tcW w:type="dxa" w:w="2232"/>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GFM + APCAD</w:t>
            </w:r>
          </w:p>
        </w:tc>
        <w:tc>
          <w:tcPr>
            <w:tcW w:type="dxa" w:w="3341"/>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验证附加阻尼作用</w:t>
            </w:r>
          </w:p>
        </w:tc>
      </w:tr>
    </w:tbl>
    <w:p>
      <w:pPr>
        <w:spacing w:after="20"/>
      </w:pPr>
    </w:p>
    <w:p>
      <w:pPr>
        <w:spacing w:before="0" w:after="120" w:line="264" w:lineRule="auto"/>
      </w:pPr>
      <w:r>
        <w:rPr>
          <w:rFonts w:ascii="Calibri" w:hAnsi="Calibri" w:eastAsia="Microsoft YaHei"/>
          <w:b w:val="0"/>
        </w:rPr>
        <w:t>该设计不是简单的“GFL 与 GFM 二选一”比较，而是逐层替换控制环节。因此，只有在前一步物理对象保持一致的前提下，后一步模态变化才可归属于该控制结构改变。</w:t>
      </w:r>
    </w:p>
    <w:p>
      <w:pPr>
        <w:pStyle w:val="Heading2"/>
      </w:pPr>
      <w:r>
        <w:rPr>
          <w:rFonts w:ascii="Calibri" w:hAnsi="Calibri" w:eastAsia="Microsoft YaHei"/>
          <w:b/>
          <w:color w:val="2E74B5"/>
        </w:rPr>
        <w:t>2.2 本轮已补入的机械与气动反馈</w:t>
      </w:r>
    </w:p>
    <w:p>
      <w:pPr>
        <w:spacing w:before="0" w:after="120" w:line="264" w:lineRule="auto"/>
      </w:pPr>
      <w:r>
        <w:rPr>
          <w:rFonts w:ascii="Calibri" w:hAnsi="Calibri" w:eastAsia="Microsoft YaHei"/>
          <w:b w:val="0"/>
        </w:rPr>
        <w:t>本轮模型不再把机械输入转矩仅作为独立外扰。两质量块传动链保留状态 Δωt、Δωg 与 Δθtw，并加入工作点附近的气动转矩线性化：</w:t>
      </w:r>
    </w:p>
    <w:p>
      <w:pPr>
        <w:spacing w:before="0" w:after="160" w:line="264" w:lineRule="auto"/>
        <w:jc w:val="center"/>
      </w:pPr>
      <w:r>
        <w:rPr>
          <w:rFonts w:ascii="Calibri" w:hAnsi="Calibri" w:eastAsia="Microsoft YaHei"/>
          <w:b/>
          <w:color w:val="0B2545"/>
        </w:rPr>
        <w:t>ΔTaero = -Daero Δωt + Kv,aero Δvw + Kβ,aero Δβ</w:t>
      </w:r>
    </w:p>
    <w:p>
      <w:pPr>
        <w:spacing w:before="0" w:after="120" w:line="264" w:lineRule="auto"/>
      </w:pPr>
      <w:r>
        <w:rPr>
          <w:rFonts w:ascii="Calibri" w:hAnsi="Calibri" w:eastAsia="Microsoft YaHei"/>
          <w:b w:val="0"/>
        </w:rPr>
        <w:t>其中负斜率项 -Daero Δωt 为 MPPT 区域的气动恢复/阻尼通道；模型还加入 turbine/generator 自阻尼 Dt、Dg，并将风速扰动 Δvw 与桨距扰动 Δβ 作为可扩展输入。GFM-MWT 的有功参考同时引入 k_p_mppt Δωg，使机电功率平衡具有实际转速反馈路径。</w:t>
      </w:r>
    </w:p>
    <w:tbl>
      <w:tblPr>
        <w:tblStyle w:val="TableGrid"/>
        <w:tblW w:type="dxa" w:w="9360"/>
        <w:jc w:val="left"/>
        <w:tblLayout w:type="fixed"/>
        <w:tblLook w:firstColumn="1" w:firstRow="1" w:lastColumn="0" w:lastRow="0" w:noHBand="0" w:noVBand="1" w:val="04A0"/>
        <w:tblInd w:type="dxa" w:w="120"/>
      </w:tblPr>
      <w:tblGrid>
        <w:gridCol w:w="1584"/>
        <w:gridCol w:w="2635"/>
        <w:gridCol w:w="2592"/>
        <w:gridCol w:w="2549"/>
      </w:tblGrid>
      <w:tr>
        <w:tc>
          <w:tcPr>
            <w:tcW w:type="dxa" w:w="1584"/>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模块</w:t>
            </w:r>
          </w:p>
        </w:tc>
        <w:tc>
          <w:tcPr>
            <w:tcW w:type="dxa" w:w="2635"/>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当前包含状态/通道</w:t>
            </w:r>
          </w:p>
        </w:tc>
        <w:tc>
          <w:tcPr>
            <w:tcW w:type="dxa" w:w="2592"/>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研究意义</w:t>
            </w:r>
          </w:p>
        </w:tc>
        <w:tc>
          <w:tcPr>
            <w:tcW w:type="dxa" w:w="2549"/>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目前边界</w:t>
            </w:r>
          </w:p>
        </w:tc>
      </w:tr>
      <w:tr>
        <w:tc>
          <w:tcPr>
            <w:tcW w:type="dxa" w:w="1584"/>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气动侧</w:t>
            </w:r>
          </w:p>
        </w:tc>
        <w:tc>
          <w:tcPr>
            <w:tcW w:type="dxa" w:w="2635"/>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Daero、Kv,aero、Kβ,aero；vw、β 输入</w:t>
            </w:r>
          </w:p>
        </w:tc>
        <w:tc>
          <w:tcPr>
            <w:tcW w:type="dxa" w:w="2592"/>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避免刚体慢模态缺少恢复机制</w:t>
            </w:r>
          </w:p>
        </w:tc>
        <w:tc>
          <w:tcPr>
            <w:tcW w:type="dxa" w:w="254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MPPT 工作点；桨距增益暂设为 0</w:t>
            </w:r>
          </w:p>
        </w:tc>
      </w:tr>
      <w:tr>
        <w:tc>
          <w:tcPr>
            <w:tcW w:type="dxa" w:w="1584"/>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传动链</w:t>
            </w:r>
          </w:p>
        </w:tc>
        <w:tc>
          <w:tcPr>
            <w:tcW w:type="dxa" w:w="2635"/>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两质量块、轴刚度/阻尼、Dt/Dg</w:t>
            </w:r>
          </w:p>
        </w:tc>
        <w:tc>
          <w:tcPr>
            <w:tcW w:type="dxa" w:w="2592"/>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直接捕捉轴系扭振</w:t>
            </w:r>
          </w:p>
        </w:tc>
        <w:tc>
          <w:tcPr>
            <w:tcW w:type="dxa" w:w="254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参数为 1 MW 级暂定值</w:t>
            </w:r>
          </w:p>
        </w:tc>
      </w:tr>
      <w:tr>
        <w:tc>
          <w:tcPr>
            <w:tcW w:type="dxa" w:w="1584"/>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电磁与直流链</w:t>
            </w:r>
          </w:p>
        </w:tc>
        <w:tc>
          <w:tcPr>
            <w:tcW w:type="dxa" w:w="2635"/>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PMSG、MSC/GSC、Cdc 与 DVC</w:t>
            </w:r>
          </w:p>
        </w:tc>
        <w:tc>
          <w:tcPr>
            <w:tcW w:type="dxa" w:w="2592"/>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形成直流链至转矩反馈路径</w:t>
            </w:r>
          </w:p>
        </w:tc>
        <w:tc>
          <w:tcPr>
            <w:tcW w:type="dxa" w:w="254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待真实电机/变流器参数替换</w:t>
            </w:r>
          </w:p>
        </w:tc>
      </w:tr>
      <w:tr>
        <w:tc>
          <w:tcPr>
            <w:tcW w:type="dxa" w:w="1584"/>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阻尼控制</w:t>
            </w:r>
          </w:p>
        </w:tc>
        <w:tc>
          <w:tcPr>
            <w:tcW w:type="dxa" w:w="2635"/>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2 Hz BPF、超前环节、K_damp</w:t>
            </w:r>
          </w:p>
        </w:tc>
        <w:tc>
          <w:tcPr>
            <w:tcW w:type="dxa" w:w="2592"/>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针对目标扭振模态施加电气阻尼</w:t>
            </w:r>
          </w:p>
        </w:tc>
        <w:tc>
          <w:tcPr>
            <w:tcW w:type="dxa" w:w="254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增益需经非线性限幅验证</w:t>
            </w:r>
          </w:p>
        </w:tc>
      </w:tr>
    </w:tbl>
    <w:p>
      <w:pPr>
        <w:spacing w:after="20"/>
      </w:pPr>
    </w:p>
    <w:tbl>
      <w:tblPr>
        <w:tblW w:type="dxa" w:w="9360"/>
        <w:jc w:val="left"/>
        <w:tblLayout w:type="fixed"/>
        <w:tblLook w:firstColumn="1" w:firstRow="1" w:lastColumn="0" w:lastRow="0" w:noHBand="0" w:noVBand="1" w:val="04A0"/>
        <w:tblInd w:type="dxa" w:w="120"/>
      </w:tblPr>
      <w:tblGrid>
        <w:gridCol w:w="9360"/>
      </w:tblGrid>
      <w:tr>
        <w:tc>
          <w:tcPr>
            <w:tcW w:type="dxa" w:w="9360"/>
            <w:shd w:fill="F4F6F9"/>
            <w:tcMar>
              <w:top w:w="130" w:type="dxa"/>
              <w:start w:w="160" w:type="dxa"/>
              <w:bottom w:w="130" w:type="dxa"/>
              <w:end w:w="160" w:type="dxa"/>
            </w:tcMar>
          </w:tcPr>
          <w:p>
            <w:pPr>
              <w:spacing w:after="60"/>
            </w:pPr>
            <w:r>
              <w:rPr>
                <w:rFonts w:ascii="Calibri" w:hAnsi="Calibri" w:eastAsia="Microsoft YaHei"/>
                <w:b/>
                <w:color w:val="1F4D78"/>
              </w:rPr>
              <w:t>建模判断</w:t>
            </w:r>
          </w:p>
          <w:p>
            <w:pPr>
              <w:spacing w:after="0" w:line="264" w:lineRule="auto"/>
            </w:pPr>
            <w:r>
              <w:rPr>
                <w:rFonts w:ascii="Calibri" w:hAnsi="Calibri" w:eastAsia="Microsoft YaHei"/>
              </w:rPr>
              <w:t>当前模型已经能够用于回答“控制结构如何影响目标扭振模态”的小信号机理问题；它尚不是目标实机的最终参数化模型。尤其是气动导数、轴系参数、PMSG 参数、直流电容及控制限幅必须在论文最终定量结论和实时实验前落实。</w:t>
            </w:r>
          </w:p>
        </w:tc>
      </w:tr>
    </w:tbl>
    <w:p>
      <w:pPr>
        <w:spacing w:before="0" w:after="60" w:line="264" w:lineRule="auto"/>
      </w:pPr>
    </w:p>
    <w:p>
      <w:pPr>
        <w:pStyle w:val="Heading1"/>
      </w:pPr>
      <w:r>
        <w:rPr>
          <w:rFonts w:ascii="Calibri" w:hAnsi="Calibri" w:eastAsia="Microsoft YaHei"/>
          <w:b/>
          <w:color w:val="2E74B5"/>
        </w:rPr>
        <w:t>3 分析方法：不只看参与度</w:t>
      </w:r>
    </w:p>
    <w:p>
      <w:pPr>
        <w:spacing w:before="0" w:after="120" w:line="264" w:lineRule="auto"/>
      </w:pPr>
      <w:r>
        <w:rPr>
          <w:rFonts w:ascii="Calibri" w:hAnsi="Calibri" w:eastAsia="Microsoft YaHei"/>
          <w:b w:val="0"/>
        </w:rPr>
        <w:t>本轮分析将文献中的典型思路转化为三层证据。参与因子用于识别某一特征值是否确为轴系模态；极点实部与阻尼比用于判断控制结构对该模态是增阻尼还是减阻尼；参数扫描与连续模态轨迹用于判断结论是否只在一个工作点偶然成立。</w:t>
      </w:r>
    </w:p>
    <w:tbl>
      <w:tblPr>
        <w:tblStyle w:val="TableGrid"/>
        <w:tblW w:type="dxa" w:w="9360"/>
        <w:jc w:val="left"/>
        <w:tblLayout w:type="fixed"/>
        <w:tblLook w:firstColumn="1" w:firstRow="1" w:lastColumn="0" w:lastRow="0" w:noHBand="0" w:noVBand="1" w:val="04A0"/>
        <w:tblInd w:type="dxa" w:w="120"/>
      </w:tblPr>
      <w:tblGrid>
        <w:gridCol w:w="1440"/>
        <w:gridCol w:w="2376"/>
        <w:gridCol w:w="3197"/>
        <w:gridCol w:w="2347"/>
      </w:tblGrid>
      <w:tr>
        <w:tc>
          <w:tcPr>
            <w:tcW w:type="dxa" w:w="1440"/>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层次</w:t>
            </w:r>
          </w:p>
        </w:tc>
        <w:tc>
          <w:tcPr>
            <w:tcW w:type="dxa" w:w="2376"/>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所用量</w:t>
            </w:r>
          </w:p>
        </w:tc>
        <w:tc>
          <w:tcPr>
            <w:tcW w:type="dxa" w:w="3197"/>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判断问题</w:t>
            </w:r>
          </w:p>
        </w:tc>
        <w:tc>
          <w:tcPr>
            <w:tcW w:type="dxa" w:w="2347"/>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本轮实现</w:t>
            </w:r>
          </w:p>
        </w:tc>
      </w:tr>
      <w:tr>
        <w:tc>
          <w:tcPr>
            <w:tcW w:type="dxa" w:w="1440"/>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模态身份</w:t>
            </w:r>
          </w:p>
        </w:tc>
        <w:tc>
          <w:tcPr>
            <w:tcW w:type="dxa" w:w="2376"/>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参与因子</w:t>
            </w:r>
          </w:p>
        </w:tc>
        <w:tc>
          <w:tcPr>
            <w:tcW w:type="dxa" w:w="3197"/>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约 2 Hz 极点是否由传动链主导</w:t>
            </w:r>
          </w:p>
        </w:tc>
        <w:tc>
          <w:tcPr>
            <w:tcW w:type="dxa" w:w="2347"/>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θtw、ωg、ωt 参与度排序</w:t>
            </w:r>
          </w:p>
        </w:tc>
      </w:tr>
      <w:tr>
        <w:tc>
          <w:tcPr>
            <w:tcW w:type="dxa" w:w="1440"/>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局部阻尼</w:t>
            </w:r>
          </w:p>
        </w:tc>
        <w:tc>
          <w:tcPr>
            <w:tcW w:type="dxa" w:w="2376"/>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λ = σ ± jω；ζ = -σ/|λ|</w:t>
            </w:r>
          </w:p>
        </w:tc>
        <w:tc>
          <w:tcPr>
            <w:tcW w:type="dxa" w:w="3197"/>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结构改变是否使扭振模态左右移动</w:t>
            </w:r>
          </w:p>
        </w:tc>
        <w:tc>
          <w:tcPr>
            <w:tcW w:type="dxa" w:w="2347"/>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基准四拓扑对照</w:t>
            </w:r>
          </w:p>
        </w:tc>
      </w:tr>
      <w:tr>
        <w:tc>
          <w:tcPr>
            <w:tcW w:type="dxa" w:w="1440"/>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趋势与鲁棒性</w:t>
            </w:r>
          </w:p>
        </w:tc>
        <w:tc>
          <w:tcPr>
            <w:tcW w:type="dxa" w:w="2376"/>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特征向量相关连续跟踪</w:t>
            </w:r>
          </w:p>
        </w:tc>
        <w:tc>
          <w:tcPr>
            <w:tcW w:type="dxa" w:w="3197"/>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参数变化下是否仍跟踪同一模态</w:t>
            </w:r>
          </w:p>
        </w:tc>
        <w:tc>
          <w:tcPr>
            <w:tcW w:type="dxa" w:w="2347"/>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h、mp、kpdc、kidc、K_damp 轨迹</w:t>
            </w:r>
          </w:p>
        </w:tc>
      </w:tr>
      <w:tr>
        <w:tc>
          <w:tcPr>
            <w:tcW w:type="dxa" w:w="1440"/>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系统边界</w:t>
            </w:r>
          </w:p>
        </w:tc>
        <w:tc>
          <w:tcPr>
            <w:tcW w:type="dxa" w:w="2376"/>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max Re(λ)</w:t>
            </w:r>
          </w:p>
        </w:tc>
        <w:tc>
          <w:tcPr>
            <w:tcW w:type="dxa" w:w="3197"/>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目标模态改善时全系统是否稳定</w:t>
            </w:r>
          </w:p>
        </w:tc>
        <w:tc>
          <w:tcPr>
            <w:tcW w:type="dxa" w:w="2347"/>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二维稳定区域与增益扫描</w:t>
            </w:r>
          </w:p>
        </w:tc>
      </w:tr>
    </w:tbl>
    <w:p>
      <w:pPr>
        <w:spacing w:after="20"/>
      </w:pPr>
    </w:p>
    <w:p>
      <w:pPr>
        <w:spacing w:before="0" w:after="120" w:line="264" w:lineRule="auto"/>
      </w:pPr>
      <w:r>
        <w:rPr>
          <w:rFonts w:ascii="Calibri" w:hAnsi="Calibri" w:eastAsia="Microsoft YaHei"/>
          <w:b w:val="0"/>
        </w:rPr>
        <w:t>因此，在论文中不应写成“参数影响仅由参与度证明”。更严谨的逻辑是：先用参与因子确定扭振模态，再用极点轨迹和阻尼变化说明参数作用方向，最后用最大实部检查其他模态是否成为新的稳定性约束。</w:t>
      </w:r>
    </w:p>
    <w:p>
      <w:pPr>
        <w:pStyle w:val="Heading1"/>
      </w:pPr>
      <w:r>
        <w:rPr>
          <w:rFonts w:ascii="Calibri" w:hAnsi="Calibri" w:eastAsia="Microsoft YaHei"/>
          <w:b/>
          <w:color w:val="2E74B5"/>
        </w:rPr>
        <w:t>4 基准结果：两质量块扭振模态的控制结构影响</w:t>
      </w:r>
    </w:p>
    <w:tbl>
      <w:tblPr>
        <w:tblStyle w:val="TableGrid"/>
        <w:tblW w:type="dxa" w:w="9360"/>
        <w:jc w:val="left"/>
        <w:tblLayout w:type="fixed"/>
        <w:tblLook w:firstColumn="1" w:firstRow="1" w:lastColumn="0" w:lastRow="0" w:noHBand="0" w:noVBand="1" w:val="04A0"/>
        <w:tblInd w:type="dxa" w:w="120"/>
      </w:tblPr>
      <w:tblGrid>
        <w:gridCol w:w="1584"/>
        <w:gridCol w:w="1469"/>
        <w:gridCol w:w="1526"/>
        <w:gridCol w:w="1498"/>
        <w:gridCol w:w="1843"/>
        <w:gridCol w:w="1440"/>
      </w:tblGrid>
      <w:tr>
        <w:tc>
          <w:tcPr>
            <w:tcW w:type="dxa" w:w="1584"/>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模型</w:t>
            </w:r>
          </w:p>
        </w:tc>
        <w:tc>
          <w:tcPr>
            <w:tcW w:type="dxa" w:w="1469"/>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扭振频率/Hz</w:t>
            </w:r>
          </w:p>
        </w:tc>
        <w:tc>
          <w:tcPr>
            <w:tcW w:type="dxa" w:w="1526"/>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σ / s⁻¹</w:t>
            </w:r>
          </w:p>
        </w:tc>
        <w:tc>
          <w:tcPr>
            <w:tcW w:type="dxa" w:w="1498"/>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阻尼比 ζ</w:t>
            </w:r>
          </w:p>
        </w:tc>
        <w:tc>
          <w:tcPr>
            <w:tcW w:type="dxa" w:w="1843"/>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最大实部/s⁻¹</w:t>
            </w:r>
          </w:p>
        </w:tc>
        <w:tc>
          <w:tcPr>
            <w:tcW w:type="dxa" w:w="1440"/>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整体状态</w:t>
            </w:r>
          </w:p>
        </w:tc>
      </w:tr>
      <w:tr>
        <w:tc>
          <w:tcPr>
            <w:tcW w:type="dxa" w:w="1584"/>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GFL-WT</w:t>
            </w:r>
          </w:p>
        </w:tc>
        <w:tc>
          <w:tcPr>
            <w:tcW w:type="dxa" w:w="146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1.9973</w:t>
            </w:r>
          </w:p>
        </w:tc>
        <w:tc>
          <w:tcPr>
            <w:tcW w:type="dxa" w:w="1526"/>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-0.15345</w:t>
            </w:r>
          </w:p>
        </w:tc>
        <w:tc>
          <w:tcPr>
            <w:tcW w:type="dxa" w:w="1498"/>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0.01223</w:t>
            </w:r>
          </w:p>
        </w:tc>
        <w:tc>
          <w:tcPr>
            <w:tcW w:type="dxa" w:w="184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-0.01525</w:t>
            </w:r>
          </w:p>
        </w:tc>
        <w:tc>
          <w:tcPr>
            <w:tcW w:type="dxa" w:w="1440"/>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稳定</w:t>
            </w:r>
          </w:p>
        </w:tc>
      </w:tr>
      <w:tr>
        <w:tc>
          <w:tcPr>
            <w:tcW w:type="dxa" w:w="1584"/>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GFM-GWT</w:t>
            </w:r>
          </w:p>
        </w:tc>
        <w:tc>
          <w:tcPr>
            <w:tcW w:type="dxa" w:w="146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1.9973</w:t>
            </w:r>
          </w:p>
        </w:tc>
        <w:tc>
          <w:tcPr>
            <w:tcW w:type="dxa" w:w="1526"/>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-0.15345</w:t>
            </w:r>
          </w:p>
        </w:tc>
        <w:tc>
          <w:tcPr>
            <w:tcW w:type="dxa" w:w="1498"/>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0.01223</w:t>
            </w:r>
          </w:p>
        </w:tc>
        <w:tc>
          <w:tcPr>
            <w:tcW w:type="dxa" w:w="184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-0.01525</w:t>
            </w:r>
          </w:p>
        </w:tc>
        <w:tc>
          <w:tcPr>
            <w:tcW w:type="dxa" w:w="1440"/>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稳定</w:t>
            </w:r>
          </w:p>
        </w:tc>
      </w:tr>
      <w:tr>
        <w:tc>
          <w:tcPr>
            <w:tcW w:type="dxa" w:w="1584"/>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w:t>
            </w:r>
          </w:p>
        </w:tc>
        <w:tc>
          <w:tcPr>
            <w:tcW w:type="dxa" w:w="146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1.9974</w:t>
            </w:r>
          </w:p>
        </w:tc>
        <w:tc>
          <w:tcPr>
            <w:tcW w:type="dxa" w:w="1526"/>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-0.08305</w:t>
            </w:r>
          </w:p>
        </w:tc>
        <w:tc>
          <w:tcPr>
            <w:tcW w:type="dxa" w:w="1498"/>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0.00662</w:t>
            </w:r>
          </w:p>
        </w:tc>
        <w:tc>
          <w:tcPr>
            <w:tcW w:type="dxa" w:w="184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-0.01528</w:t>
            </w:r>
          </w:p>
        </w:tc>
        <w:tc>
          <w:tcPr>
            <w:tcW w:type="dxa" w:w="1440"/>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稳定</w:t>
            </w:r>
          </w:p>
        </w:tc>
      </w:tr>
      <w:tr>
        <w:tc>
          <w:tcPr>
            <w:tcW w:type="dxa" w:w="1584"/>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GFM-MWT+AD</w:t>
            </w:r>
          </w:p>
        </w:tc>
        <w:tc>
          <w:tcPr>
            <w:tcW w:type="dxa" w:w="146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1.9861</w:t>
            </w:r>
          </w:p>
        </w:tc>
        <w:tc>
          <w:tcPr>
            <w:tcW w:type="dxa" w:w="1526"/>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-0.18759</w:t>
            </w:r>
          </w:p>
        </w:tc>
        <w:tc>
          <w:tcPr>
            <w:tcW w:type="dxa" w:w="1498"/>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0.01503</w:t>
            </w:r>
          </w:p>
        </w:tc>
        <w:tc>
          <w:tcPr>
            <w:tcW w:type="dxa" w:w="184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-0.01536</w:t>
            </w:r>
          </w:p>
        </w:tc>
        <w:tc>
          <w:tcPr>
            <w:tcW w:type="dxa" w:w="1440"/>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稳定</w:t>
            </w:r>
          </w:p>
        </w:tc>
      </w:tr>
    </w:tbl>
    <w:p>
      <w:pPr>
        <w:spacing w:after="20"/>
      </w:pPr>
    </w:p>
    <w:p>
      <w:pPr>
        <w:spacing w:before="0" w:after="120" w:line="264" w:lineRule="auto"/>
      </w:pPr>
      <w:r>
        <w:rPr>
          <w:rFonts w:ascii="Calibri" w:hAnsi="Calibri" w:eastAsia="Microsoft YaHei"/>
          <w:b w:val="0"/>
        </w:rPr>
        <w:t>在更新模型下，四类拓扑的最大特征值实部均为负值，说明气动恢复路径和传动链自阻尼补入后，基准点不存在此前由机械慢模态缺失反馈造成的右半平面极点。与此同时，所有拓扑的目标模态频率仍集中在约 2 Hz，说明当前观察对象确实是同一传动链扭振模态。</w:t>
      </w:r>
    </w:p>
    <w:p>
      <w:pPr>
        <w:spacing w:before="100" w:after="60"/>
        <w:jc w:val="center"/>
      </w:pPr>
      <w:r>
        <w:drawing>
          <wp:inline xmlns:a="http://schemas.openxmlformats.org/drawingml/2006/main" xmlns:pic="http://schemas.openxmlformats.org/drawingml/2006/picture">
            <wp:extent cx="5623560" cy="1699462"/>
            <wp:docPr id="1" name="Picture 1"/>
            <wp:cNvGraphicFramePr>
              <a:graphicFrameLocks noChangeAspect="1"/>
            </wp:cNvGraphicFramePr>
            <a:graphic>
              <a:graphicData uri="http://schemas.openxmlformats.org/drawingml/2006/picture">
                <pic:pic>
                  <pic:nvPicPr>
                    <pic:cNvPr id="0" name="torsional_damping_comparison.png"/>
                    <pic:cNvPicPr/>
                  </pic:nvPicPr>
                  <pic:blipFill>
                    <a:blip r:embed="rId11"/>
                    <a:stretch>
                      <a:fillRect/>
                    </a:stretch>
                  </pic:blipFill>
                  <pic:spPr>
                    <a:xfrm>
                      <a:off x="0" y="0"/>
                      <a:ext cx="5623560" cy="1699462"/>
                    </a:xfrm>
                    <a:prstGeom prst="rect"/>
                  </pic:spPr>
                </pic:pic>
              </a:graphicData>
            </a:graphic>
          </wp:inline>
        </w:drawing>
      </w:r>
    </w:p>
    <w:p>
      <w:pPr>
        <w:spacing w:after="160"/>
        <w:jc w:val="center"/>
      </w:pPr>
      <w:r>
        <w:rPr>
          <w:rFonts w:ascii="Calibri" w:hAnsi="Calibri" w:eastAsia="Microsoft YaHei"/>
          <w:i/>
          <w:color w:val="5B6570"/>
          <w:sz w:val="18"/>
        </w:rPr>
        <w:t>图 1  四类控制拓扑下约 2 Hz 扭振模态阻尼比对比（本轮 MATLAB 重新计算结果）</w:t>
      </w:r>
    </w:p>
    <w:p>
      <w:pPr>
        <w:pStyle w:val="Heading1"/>
      </w:pPr>
      <w:r>
        <w:rPr>
          <w:rFonts w:ascii="Calibri" w:hAnsi="Calibri" w:eastAsia="Microsoft YaHei"/>
          <w:b/>
          <w:color w:val="2E74B5"/>
        </w:rPr>
        <w:t>5 因果解释：构网型何时增加机电耦合风险</w:t>
      </w:r>
    </w:p>
    <w:tbl>
      <w:tblPr>
        <w:tblStyle w:val="TableGrid"/>
        <w:tblW w:type="dxa" w:w="9360"/>
        <w:jc w:val="left"/>
        <w:tblLayout w:type="fixed"/>
        <w:tblLook w:firstColumn="1" w:firstRow="1" w:lastColumn="0" w:lastRow="0" w:noHBand="0" w:noVBand="1" w:val="04A0"/>
        <w:tblInd w:type="dxa" w:w="120"/>
      </w:tblPr>
      <w:tblGrid>
        <w:gridCol w:w="3240"/>
        <w:gridCol w:w="2376"/>
        <w:gridCol w:w="1843"/>
        <w:gridCol w:w="1901"/>
      </w:tblGrid>
      <w:tr>
        <w:tc>
          <w:tcPr>
            <w:tcW w:type="dxa" w:w="3240"/>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8"/>
              </w:rPr>
              <w:t>逐级变化</w:t>
            </w:r>
          </w:p>
        </w:tc>
        <w:tc>
          <w:tcPr>
            <w:tcW w:type="dxa" w:w="2376"/>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8"/>
              </w:rPr>
              <w:t>拓扑转换</w:t>
            </w:r>
          </w:p>
        </w:tc>
        <w:tc>
          <w:tcPr>
            <w:tcW w:type="dxa" w:w="1843"/>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8"/>
              </w:rPr>
              <w:t>Δζ</w:t>
            </w:r>
          </w:p>
        </w:tc>
        <w:tc>
          <w:tcPr>
            <w:tcW w:type="dxa" w:w="1901"/>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8"/>
              </w:rPr>
              <w:t>Δσ / s⁻¹</w:t>
            </w:r>
          </w:p>
        </w:tc>
      </w:tr>
      <w:tr>
        <w:tc>
          <w:tcPr>
            <w:tcW w:type="dxa" w:w="3240"/>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同步方式变化：PLL → GFM</w:t>
            </w:r>
          </w:p>
        </w:tc>
        <w:tc>
          <w:tcPr>
            <w:tcW w:type="dxa" w:w="2376"/>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GFL-WT → GFM-GWT</w:t>
            </w:r>
          </w:p>
        </w:tc>
        <w:tc>
          <w:tcPr>
            <w:tcW w:type="dxa" w:w="184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+0.000000</w:t>
            </w:r>
          </w:p>
        </w:tc>
        <w:tc>
          <w:tcPr>
            <w:tcW w:type="dxa" w:w="1901"/>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-0.000000</w:t>
            </w:r>
          </w:p>
        </w:tc>
      </w:tr>
      <w:tr>
        <w:tc>
          <w:tcPr>
            <w:tcW w:type="dxa" w:w="3240"/>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直流控制迁移：GSC-DVC → MSC-DVC</w:t>
            </w:r>
          </w:p>
        </w:tc>
        <w:tc>
          <w:tcPr>
            <w:tcW w:type="dxa" w:w="2376"/>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GFM-GWT → GFM-MWT</w:t>
            </w:r>
          </w:p>
        </w:tc>
        <w:tc>
          <w:tcPr>
            <w:tcW w:type="dxa" w:w="184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-0.005610</w:t>
            </w:r>
          </w:p>
        </w:tc>
        <w:tc>
          <w:tcPr>
            <w:tcW w:type="dxa" w:w="1901"/>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+0.070406</w:t>
            </w:r>
          </w:p>
        </w:tc>
      </w:tr>
      <w:tr>
        <w:tc>
          <w:tcPr>
            <w:tcW w:type="dxa" w:w="3240"/>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附加阻尼：加入 APCAD</w:t>
            </w:r>
          </w:p>
        </w:tc>
        <w:tc>
          <w:tcPr>
            <w:tcW w:type="dxa" w:w="2376"/>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GFM-MWT → GFM-MWT+AD</w:t>
            </w:r>
          </w:p>
        </w:tc>
        <w:tc>
          <w:tcPr>
            <w:tcW w:type="dxa" w:w="184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+0.008413</w:t>
            </w:r>
          </w:p>
        </w:tc>
        <w:tc>
          <w:tcPr>
            <w:tcW w:type="dxa" w:w="1901"/>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-0.104538</w:t>
            </w:r>
          </w:p>
        </w:tc>
      </w:tr>
    </w:tbl>
    <w:p>
      <w:pPr>
        <w:spacing w:after="20"/>
      </w:pPr>
    </w:p>
    <w:p>
      <w:pPr>
        <w:spacing w:before="0" w:after="120" w:line="264" w:lineRule="auto"/>
      </w:pPr>
      <w:r>
        <w:rPr>
          <w:rFonts w:ascii="Calibri" w:hAnsi="Calibri" w:eastAsia="Microsoft YaHei"/>
          <w:b w:val="0"/>
        </w:rPr>
        <w:t>第一步，`GFL-WT → GFM-GWT` 的阻尼变化为数值零量级。这意味着在当前配置中，只把网侧同步与成网机制由 PLL 改为 GFM，而保留 MSC-MPPT 与网侧直流平衡，不足以证明构网控制本身必然激发轴系扭振。</w:t>
      </w:r>
    </w:p>
    <w:p>
      <w:pPr>
        <w:spacing w:before="0" w:after="120" w:line="264" w:lineRule="auto"/>
      </w:pPr>
      <w:r>
        <w:rPr>
          <w:rFonts w:ascii="Calibri" w:hAnsi="Calibri" w:eastAsia="Microsoft YaHei"/>
          <w:b w:val="0"/>
        </w:rPr>
        <w:t>第二步，`GFM-GWT → GFM-MWT` 后，阻尼比由 0.012227 降至 0.006617，下降约 45.88%，极点实部右移 0.070406 s⁻¹，但仍留在左半平面。这一步只改变了直流电压控制承担位置：MSC-DVC 将直流电压波动直接转化为 PMSG 电磁转矩调整，再反馈到两质量块传动链。该闭环通道就是当前模型中“构网型增加机电耦合振荡可能性”的具体机制，与文献 [1]-[2] 的结论一致。</w:t>
      </w:r>
    </w:p>
    <w:p>
      <w:pPr>
        <w:spacing w:before="0" w:after="120" w:line="264" w:lineRule="auto"/>
      </w:pPr>
      <w:r>
        <w:rPr>
          <w:rFonts w:ascii="Calibri" w:hAnsi="Calibri" w:eastAsia="Microsoft YaHei"/>
          <w:b w:val="0"/>
        </w:rPr>
        <w:t>第三步，`GFM-MWT → GFM-MWT+AD` 后，阻尼比从 0.006617 提升至 0.015031，提高约 127.15%，扭振极点左移 0.104538 s⁻¹。APCAD 状态在扭振模态参与因子中进入前列，说明控制器并非仅改变某个不相关的电气模态，而是实际作用于目标轴系振荡。</w:t>
      </w:r>
    </w:p>
    <w:p>
      <w:pPr>
        <w:spacing w:before="100" w:after="60"/>
        <w:jc w:val="center"/>
      </w:pPr>
      <w:r>
        <w:drawing>
          <wp:inline xmlns:a="http://schemas.openxmlformats.org/drawingml/2006/main" xmlns:pic="http://schemas.openxmlformats.org/drawingml/2006/picture">
            <wp:extent cx="5623560" cy="1696657"/>
            <wp:docPr id="2" name="Picture 2"/>
            <wp:cNvGraphicFramePr>
              <a:graphicFrameLocks noChangeAspect="1"/>
            </wp:cNvGraphicFramePr>
            <a:graphic>
              <a:graphicData uri="http://schemas.openxmlformats.org/drawingml/2006/picture">
                <pic:pic>
                  <pic:nvPicPr>
                    <pic:cNvPr id="0" name="torsional_real_part_comparison.png"/>
                    <pic:cNvPicPr/>
                  </pic:nvPicPr>
                  <pic:blipFill>
                    <a:blip r:embed="rId12"/>
                    <a:stretch>
                      <a:fillRect/>
                    </a:stretch>
                  </pic:blipFill>
                  <pic:spPr>
                    <a:xfrm>
                      <a:off x="0" y="0"/>
                      <a:ext cx="5623560" cy="1696657"/>
                    </a:xfrm>
                    <a:prstGeom prst="rect"/>
                  </pic:spPr>
                </pic:pic>
              </a:graphicData>
            </a:graphic>
          </wp:inline>
        </w:drawing>
      </w:r>
    </w:p>
    <w:p>
      <w:pPr>
        <w:spacing w:after="160"/>
        <w:jc w:val="center"/>
      </w:pPr>
      <w:r>
        <w:rPr>
          <w:rFonts w:ascii="Calibri" w:hAnsi="Calibri" w:eastAsia="Microsoft YaHei"/>
          <w:i/>
          <w:color w:val="5B6570"/>
          <w:sz w:val="18"/>
        </w:rPr>
        <w:t>图 2  分阶段拓扑替换下扭振特征值实部对比；实部越负，目标扭振衰减越快</w:t>
      </w:r>
    </w:p>
    <w:tbl>
      <w:tblPr>
        <w:tblW w:type="dxa" w:w="9360"/>
        <w:jc w:val="left"/>
        <w:tblLayout w:type="fixed"/>
        <w:tblLook w:firstColumn="1" w:firstRow="1" w:lastColumn="0" w:lastRow="0" w:noHBand="0" w:noVBand="1" w:val="04A0"/>
        <w:tblInd w:type="dxa" w:w="120"/>
      </w:tblPr>
      <w:tblGrid>
        <w:gridCol w:w="9360"/>
      </w:tblGrid>
      <w:tr>
        <w:tc>
          <w:tcPr>
            <w:tcW w:type="dxa" w:w="9360"/>
            <w:shd w:fill="F4F6F9"/>
            <w:tcMar>
              <w:top w:w="130" w:type="dxa"/>
              <w:start w:w="160" w:type="dxa"/>
              <w:bottom w:w="130" w:type="dxa"/>
              <w:end w:w="160" w:type="dxa"/>
            </w:tcMar>
          </w:tcPr>
          <w:p>
            <w:pPr>
              <w:spacing w:after="60"/>
            </w:pPr>
            <w:r>
              <w:rPr>
                <w:rFonts w:ascii="Calibri" w:hAnsi="Calibri" w:eastAsia="Microsoft YaHei"/>
                <w:b/>
                <w:color w:val="1F4D78"/>
              </w:rPr>
              <w:t>可用于论文的关键表述</w:t>
            </w:r>
          </w:p>
          <w:p>
            <w:pPr>
              <w:spacing w:after="0" w:line="264" w:lineRule="auto"/>
            </w:pPr>
            <w:r>
              <w:rPr>
                <w:rFonts w:ascii="Calibri" w:hAnsi="Calibri" w:eastAsia="Microsoft YaHei"/>
              </w:rPr>
              <w:t>本研究结果不支持“采用 GFM 同步机制即必然恶化轴系扭振”的宽泛结论。结果表明，构网型全功率风机中更关键的风险来源是为获得独立直流电压支撑而采用 MSC-DVC 后形成的直流链能量调节至电磁转矩的反馈通道；该通道降低了约 2 Hz 扭振模态阻尼，而在 GSC 有功参考端配置的 APCAD 能够为同一模态提供有效附加阻尼。</w:t>
            </w:r>
          </w:p>
        </w:tc>
      </w:tr>
    </w:tbl>
    <w:p>
      <w:pPr>
        <w:spacing w:before="0" w:after="60" w:line="264" w:lineRule="auto"/>
      </w:pPr>
    </w:p>
    <w:p>
      <w:pPr>
        <w:pStyle w:val="Heading1"/>
      </w:pPr>
      <w:r>
        <w:rPr>
          <w:rFonts w:ascii="Calibri" w:hAnsi="Calibri" w:eastAsia="Microsoft YaHei"/>
          <w:b/>
          <w:color w:val="2E74B5"/>
        </w:rPr>
        <w:t>6 参与因子与模态归属</w:t>
      </w:r>
    </w:p>
    <w:p>
      <w:pPr>
        <w:spacing w:before="0" w:after="120" w:line="264" w:lineRule="auto"/>
      </w:pPr>
      <w:r>
        <w:rPr>
          <w:rFonts w:ascii="Calibri" w:hAnsi="Calibri" w:eastAsia="Microsoft YaHei"/>
          <w:b w:val="0"/>
        </w:rPr>
        <w:t>本轮参与因子结果显示，GFM-MWT 的目标模态主要由 `theta_tw`（约 0.499）、`omega_g`（约 0.444）和 `omega_t`（约 0.055）主导；这些是典型两质量块扭振状态。加入 APCAD 后，这三个机械状态仍占主导，同时 `x_bp1` 与 `x_bp2` 分别进入约 0.025 的参与度，说明带通提取支路与原扭振模态发生了预期的控制耦合。</w:t>
      </w:r>
    </w:p>
    <w:tbl>
      <w:tblPr>
        <w:tblStyle w:val="TableGrid"/>
        <w:tblW w:type="dxa" w:w="9360"/>
        <w:jc w:val="left"/>
        <w:tblLayout w:type="fixed"/>
        <w:tblLook w:firstColumn="1" w:firstRow="1" w:lastColumn="0" w:lastRow="0" w:noHBand="0" w:noVBand="1" w:val="04A0"/>
        <w:tblInd w:type="dxa" w:w="120"/>
      </w:tblPr>
      <w:tblGrid>
        <w:gridCol w:w="1843"/>
        <w:gridCol w:w="3773"/>
        <w:gridCol w:w="3744"/>
      </w:tblGrid>
      <w:tr>
        <w:tc>
          <w:tcPr>
            <w:tcW w:type="dxa" w:w="1843"/>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8"/>
              </w:rPr>
              <w:t>模型</w:t>
            </w:r>
          </w:p>
        </w:tc>
        <w:tc>
          <w:tcPr>
            <w:tcW w:type="dxa" w:w="3773"/>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8"/>
              </w:rPr>
              <w:t>主要参与状态</w:t>
            </w:r>
          </w:p>
        </w:tc>
        <w:tc>
          <w:tcPr>
            <w:tcW w:type="dxa" w:w="3744"/>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8"/>
              </w:rPr>
              <w:t>物理解释</w:t>
            </w:r>
          </w:p>
        </w:tc>
      </w:tr>
      <w:tr>
        <w:tc>
          <w:tcPr>
            <w:tcW w:type="dxa" w:w="1843"/>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GFM-MWT</w:t>
            </w:r>
          </w:p>
        </w:tc>
        <w:tc>
          <w:tcPr>
            <w:tcW w:type="dxa" w:w="3773"/>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θtw: 0.499；ωg: 0.444；ωt: 0.055</w:t>
            </w:r>
          </w:p>
        </w:tc>
        <w:tc>
          <w:tcPr>
            <w:tcW w:type="dxa" w:w="3744"/>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传动链扭角与两端转速主导的轴系模态</w:t>
            </w:r>
          </w:p>
        </w:tc>
      </w:tr>
      <w:tr>
        <w:tc>
          <w:tcPr>
            <w:tcW w:type="dxa" w:w="1843"/>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GFM-MWT+AD</w:t>
            </w:r>
          </w:p>
        </w:tc>
        <w:tc>
          <w:tcPr>
            <w:tcW w:type="dxa" w:w="3773"/>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θtw: 0.464；ωg: 0.407；ωt: 0.052</w:t>
            </w:r>
          </w:p>
        </w:tc>
        <w:tc>
          <w:tcPr>
            <w:tcW w:type="dxa" w:w="3744"/>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原轴系模态仍被跟踪，身份未改变</w:t>
            </w:r>
          </w:p>
        </w:tc>
      </w:tr>
      <w:tr>
        <w:tc>
          <w:tcPr>
            <w:tcW w:type="dxa" w:w="1843"/>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GFM-MWT+AD</w:t>
            </w:r>
          </w:p>
        </w:tc>
        <w:tc>
          <w:tcPr>
            <w:tcW w:type="dxa" w:w="3773"/>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xbp1: 0.025；xbp2: 0.025；xlead: 0.004</w:t>
            </w:r>
          </w:p>
        </w:tc>
        <w:tc>
          <w:tcPr>
            <w:tcW w:type="dxa" w:w="3744"/>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APCAD 进入目标模态并施加阻尼</w:t>
            </w:r>
          </w:p>
        </w:tc>
      </w:tr>
    </w:tbl>
    <w:p>
      <w:pPr>
        <w:spacing w:after="20"/>
      </w:pPr>
    </w:p>
    <w:p>
      <w:pPr>
        <w:spacing w:before="0" w:after="120" w:line="264" w:lineRule="auto"/>
      </w:pPr>
      <w:r>
        <w:rPr>
          <w:rFonts w:ascii="Calibri" w:hAnsi="Calibri" w:eastAsia="Microsoft YaHei"/>
          <w:b w:val="0"/>
        </w:rPr>
        <w:t>但参与度本身不能告诉我们调大参数会使极点向左还是向右移动。因此，下一节的连续轨迹分析是参数研究的主体，而参与因子是模态识别依据。</w:t>
      </w:r>
    </w:p>
    <w:p>
      <w:pPr>
        <w:pStyle w:val="Heading1"/>
      </w:pPr>
      <w:r>
        <w:rPr>
          <w:rFonts w:ascii="Calibri" w:hAnsi="Calibri" w:eastAsia="Microsoft YaHei"/>
          <w:b/>
          <w:color w:val="2E74B5"/>
        </w:rPr>
        <w:t>7 控制参数扫描与连续轨迹结果</w:t>
      </w:r>
    </w:p>
    <w:p>
      <w:pPr>
        <w:pStyle w:val="Heading2"/>
      </w:pPr>
      <w:r>
        <w:rPr>
          <w:rFonts w:ascii="Calibri" w:hAnsi="Calibri" w:eastAsia="Microsoft YaHei"/>
          <w:b/>
          <w:color w:val="2E74B5"/>
        </w:rPr>
        <w:t>7.1 二维稳定域扫描</w:t>
      </w:r>
    </w:p>
    <w:tbl>
      <w:tblPr>
        <w:tblStyle w:val="TableGrid"/>
        <w:tblW w:type="dxa" w:w="9360"/>
        <w:jc w:val="left"/>
        <w:tblLayout w:type="fixed"/>
        <w:tblLook w:firstColumn="1" w:firstRow="1" w:lastColumn="0" w:lastRow="0" w:noHBand="0" w:noVBand="1" w:val="04A0"/>
        <w:tblInd w:type="dxa" w:w="120"/>
      </w:tblPr>
      <w:tblGrid>
        <w:gridCol w:w="1699"/>
        <w:gridCol w:w="1699"/>
        <w:gridCol w:w="1339"/>
        <w:gridCol w:w="2592"/>
        <w:gridCol w:w="2030"/>
      </w:tblGrid>
      <w:tr>
        <w:tc>
          <w:tcPr>
            <w:tcW w:type="dxa" w:w="1699"/>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模型</w:t>
            </w:r>
          </w:p>
        </w:tc>
        <w:tc>
          <w:tcPr>
            <w:tcW w:type="dxa" w:w="1699"/>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扫描参数</w:t>
            </w:r>
          </w:p>
        </w:tc>
        <w:tc>
          <w:tcPr>
            <w:tcW w:type="dxa" w:w="1339"/>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稳定点</w:t>
            </w:r>
          </w:p>
        </w:tc>
        <w:tc>
          <w:tcPr>
            <w:tcW w:type="dxa" w:w="2592"/>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扭振阻尼比范围</w:t>
            </w:r>
          </w:p>
        </w:tc>
        <w:tc>
          <w:tcPr>
            <w:tcW w:type="dxa" w:w="2030"/>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稳定域内推荐 ζ</w:t>
            </w:r>
          </w:p>
        </w:tc>
      </w:tr>
      <w:tr>
        <w:tc>
          <w:tcPr>
            <w:tcW w:type="dxa" w:w="169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w:t>
            </w:r>
          </w:p>
        </w:tc>
        <w:tc>
          <w:tcPr>
            <w:tcW w:type="dxa" w:w="169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h / mp</w:t>
            </w:r>
          </w:p>
        </w:tc>
        <w:tc>
          <w:tcPr>
            <w:tcW w:type="dxa" w:w="133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687/961</w:t>
            </w:r>
          </w:p>
        </w:tc>
        <w:tc>
          <w:tcPr>
            <w:tcW w:type="dxa" w:w="2592"/>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-0.02630 ~ 0.05187</w:t>
            </w:r>
          </w:p>
        </w:tc>
        <w:tc>
          <w:tcPr>
            <w:tcW w:type="dxa" w:w="2030"/>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0.05187</w:t>
            </w:r>
          </w:p>
        </w:tc>
      </w:tr>
      <w:tr>
        <w:tc>
          <w:tcPr>
            <w:tcW w:type="dxa" w:w="169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GFM-MWT+AD</w:t>
            </w:r>
          </w:p>
        </w:tc>
        <w:tc>
          <w:tcPr>
            <w:tcW w:type="dxa" w:w="169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h / mp</w:t>
            </w:r>
          </w:p>
        </w:tc>
        <w:tc>
          <w:tcPr>
            <w:tcW w:type="dxa" w:w="133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550/961</w:t>
            </w:r>
          </w:p>
        </w:tc>
        <w:tc>
          <w:tcPr>
            <w:tcW w:type="dxa" w:w="2592"/>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-0.14403 ~ 0.11886</w:t>
            </w:r>
          </w:p>
        </w:tc>
        <w:tc>
          <w:tcPr>
            <w:tcW w:type="dxa" w:w="2030"/>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0.08608</w:t>
            </w:r>
          </w:p>
        </w:tc>
      </w:tr>
      <w:tr>
        <w:tc>
          <w:tcPr>
            <w:tcW w:type="dxa" w:w="169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w:t>
            </w:r>
          </w:p>
        </w:tc>
        <w:tc>
          <w:tcPr>
            <w:tcW w:type="dxa" w:w="169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kpdc / kidc</w:t>
            </w:r>
          </w:p>
        </w:tc>
        <w:tc>
          <w:tcPr>
            <w:tcW w:type="dxa" w:w="133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718/961</w:t>
            </w:r>
          </w:p>
        </w:tc>
        <w:tc>
          <w:tcPr>
            <w:tcW w:type="dxa" w:w="2592"/>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-0.00600 ~ 0.02191</w:t>
            </w:r>
          </w:p>
        </w:tc>
        <w:tc>
          <w:tcPr>
            <w:tcW w:type="dxa" w:w="2030"/>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0.02191</w:t>
            </w:r>
          </w:p>
        </w:tc>
      </w:tr>
      <w:tr>
        <w:tc>
          <w:tcPr>
            <w:tcW w:type="dxa" w:w="169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GFM-MWT+AD</w:t>
            </w:r>
          </w:p>
        </w:tc>
        <w:tc>
          <w:tcPr>
            <w:tcW w:type="dxa" w:w="169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kpdc / kidc</w:t>
            </w:r>
          </w:p>
        </w:tc>
        <w:tc>
          <w:tcPr>
            <w:tcW w:type="dxa" w:w="133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715/961</w:t>
            </w:r>
          </w:p>
        </w:tc>
        <w:tc>
          <w:tcPr>
            <w:tcW w:type="dxa" w:w="2592"/>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-0.00943 ~ 0.05902</w:t>
            </w:r>
          </w:p>
        </w:tc>
        <w:tc>
          <w:tcPr>
            <w:tcW w:type="dxa" w:w="2030"/>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0.05902</w:t>
            </w:r>
          </w:p>
        </w:tc>
      </w:tr>
      <w:tr>
        <w:tc>
          <w:tcPr>
            <w:tcW w:type="dxa" w:w="169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w:t>
            </w:r>
          </w:p>
        </w:tc>
        <w:tc>
          <w:tcPr>
            <w:tcW w:type="dxa" w:w="169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kpq / kiq</w:t>
            </w:r>
          </w:p>
        </w:tc>
        <w:tc>
          <w:tcPr>
            <w:tcW w:type="dxa" w:w="133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568/961</w:t>
            </w:r>
          </w:p>
        </w:tc>
        <w:tc>
          <w:tcPr>
            <w:tcW w:type="dxa" w:w="2592"/>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0.00657 ~ 0.00666</w:t>
            </w:r>
          </w:p>
        </w:tc>
        <w:tc>
          <w:tcPr>
            <w:tcW w:type="dxa" w:w="2030"/>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0.00666</w:t>
            </w:r>
          </w:p>
        </w:tc>
      </w:tr>
      <w:tr>
        <w:tc>
          <w:tcPr>
            <w:tcW w:type="dxa" w:w="169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GFM-MWT+AD</w:t>
            </w:r>
          </w:p>
        </w:tc>
        <w:tc>
          <w:tcPr>
            <w:tcW w:type="dxa" w:w="169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kpq / kiq</w:t>
            </w:r>
          </w:p>
        </w:tc>
        <w:tc>
          <w:tcPr>
            <w:tcW w:type="dxa" w:w="133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568/961</w:t>
            </w:r>
          </w:p>
        </w:tc>
        <w:tc>
          <w:tcPr>
            <w:tcW w:type="dxa" w:w="2592"/>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0.01424 ~ 0.01553</w:t>
            </w:r>
          </w:p>
        </w:tc>
        <w:tc>
          <w:tcPr>
            <w:tcW w:type="dxa" w:w="2030"/>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0.01553</w:t>
            </w:r>
          </w:p>
        </w:tc>
      </w:tr>
      <w:tr>
        <w:tc>
          <w:tcPr>
            <w:tcW w:type="dxa" w:w="169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GFM-MWT+AD</w:t>
            </w:r>
          </w:p>
        </w:tc>
        <w:tc>
          <w:tcPr>
            <w:tcW w:type="dxa" w:w="169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K_damp</w:t>
            </w:r>
          </w:p>
        </w:tc>
        <w:tc>
          <w:tcPr>
            <w:tcW w:type="dxa" w:w="133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116/121</w:t>
            </w:r>
          </w:p>
        </w:tc>
        <w:tc>
          <w:tcPr>
            <w:tcW w:type="dxa" w:w="2592"/>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-0.00118 ~ 0.03365</w:t>
            </w:r>
          </w:p>
        </w:tc>
        <w:tc>
          <w:tcPr>
            <w:tcW w:type="dxa" w:w="2030"/>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0.03365</w:t>
            </w:r>
          </w:p>
        </w:tc>
      </w:tr>
    </w:tbl>
    <w:p>
      <w:pPr>
        <w:spacing w:after="20"/>
      </w:pPr>
    </w:p>
    <w:p>
      <w:pPr>
        <w:spacing w:before="0" w:after="120" w:line="264" w:lineRule="auto"/>
      </w:pPr>
      <w:r>
        <w:rPr>
          <w:rFonts w:ascii="Calibri" w:hAnsi="Calibri" w:eastAsia="Microsoft YaHei"/>
          <w:b w:val="0"/>
        </w:rPr>
        <w:t>与补充机械闭环前的扫描不同，本轮所有参数组都出现了稳定区域。`kpdc/kidc` 对 GFM-MWT 的扭振阻尼调节最直接，符合 MSC-DVC 位于电磁转矩入口的物理结构；`kpq/kiq` 对目标扭振阻尼影响较弱，主要作为全系统电气稳定性的约束；`h/mp` 与 APCAD 通道存在交互，因而在加入附加阻尼后需要联合整定。</w:t>
      </w:r>
    </w:p>
    <w:p>
      <w:pPr>
        <w:spacing w:before="100" w:after="60"/>
        <w:jc w:val="center"/>
      </w:pPr>
      <w:r>
        <w:drawing>
          <wp:inline xmlns:a="http://schemas.openxmlformats.org/drawingml/2006/main" xmlns:pic="http://schemas.openxmlformats.org/drawingml/2006/picture">
            <wp:extent cx="5623560" cy="3608270"/>
            <wp:docPr id="3" name="Picture 3"/>
            <wp:cNvGraphicFramePr>
              <a:graphicFrameLocks noChangeAspect="1"/>
            </wp:cNvGraphicFramePr>
            <a:graphic>
              <a:graphicData uri="http://schemas.openxmlformats.org/drawingml/2006/picture">
                <pic:pic>
                  <pic:nvPicPr>
                    <pic:cNvPr id="0" name="dvc_stability_maps.png"/>
                    <pic:cNvPicPr/>
                  </pic:nvPicPr>
                  <pic:blipFill>
                    <a:blip r:embed="rId13"/>
                    <a:stretch>
                      <a:fillRect/>
                    </a:stretch>
                  </pic:blipFill>
                  <pic:spPr>
                    <a:xfrm>
                      <a:off x="0" y="0"/>
                      <a:ext cx="5623560" cy="3608270"/>
                    </a:xfrm>
                    <a:prstGeom prst="rect"/>
                  </pic:spPr>
                </pic:pic>
              </a:graphicData>
            </a:graphic>
          </wp:inline>
        </w:drawing>
      </w:r>
    </w:p>
    <w:p>
      <w:pPr>
        <w:spacing w:after="160"/>
        <w:jc w:val="center"/>
      </w:pPr>
      <w:r>
        <w:rPr>
          <w:rFonts w:ascii="Calibri" w:hAnsi="Calibri" w:eastAsia="Microsoft YaHei"/>
          <w:i/>
          <w:color w:val="5B6570"/>
          <w:sz w:val="18"/>
        </w:rPr>
        <w:t>图 3  MSC 直流电压环参数扫描：稳定域与目标扭振阻尼比分布</w:t>
      </w:r>
    </w:p>
    <w:p>
      <w:pPr>
        <w:pStyle w:val="Heading2"/>
      </w:pPr>
      <w:r>
        <w:rPr>
          <w:rFonts w:ascii="Calibri" w:hAnsi="Calibri" w:eastAsia="Microsoft YaHei"/>
          <w:b/>
          <w:color w:val="2E74B5"/>
        </w:rPr>
        <w:t>7.2 为什么必须看极点移动轨迹</w:t>
      </w:r>
    </w:p>
    <w:tbl>
      <w:tblPr>
        <w:tblStyle w:val="TableGrid"/>
        <w:tblW w:type="dxa" w:w="9360"/>
        <w:jc w:val="left"/>
        <w:tblLayout w:type="fixed"/>
        <w:tblLook w:firstColumn="1" w:firstRow="1" w:lastColumn="0" w:lastRow="0" w:noHBand="0" w:noVBand="1" w:val="04A0"/>
        <w:tblInd w:type="dxa" w:w="120"/>
      </w:tblPr>
      <w:tblGrid>
        <w:gridCol w:w="1757"/>
        <w:gridCol w:w="1368"/>
        <w:gridCol w:w="1483"/>
        <w:gridCol w:w="1483"/>
        <w:gridCol w:w="1627"/>
        <w:gridCol w:w="1642"/>
      </w:tblGrid>
      <w:tr>
        <w:tc>
          <w:tcPr>
            <w:tcW w:type="dxa" w:w="1757"/>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模型</w:t>
            </w:r>
          </w:p>
        </w:tc>
        <w:tc>
          <w:tcPr>
            <w:tcW w:type="dxa" w:w="1368"/>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参数</w:t>
            </w:r>
          </w:p>
        </w:tc>
        <w:tc>
          <w:tcPr>
            <w:tcW w:type="dxa" w:w="1483"/>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ζ 最小</w:t>
            </w:r>
          </w:p>
        </w:tc>
        <w:tc>
          <w:tcPr>
            <w:tcW w:type="dxa" w:w="1483"/>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ζ 最大</w:t>
            </w:r>
          </w:p>
        </w:tc>
        <w:tc>
          <w:tcPr>
            <w:tcW w:type="dxa" w:w="1627"/>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maxRe 最小</w:t>
            </w:r>
          </w:p>
        </w:tc>
        <w:tc>
          <w:tcPr>
            <w:tcW w:type="dxa" w:w="1642"/>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maxRe 最大</w:t>
            </w:r>
          </w:p>
        </w:tc>
      </w:tr>
      <w:tr>
        <w:tc>
          <w:tcPr>
            <w:tcW w:type="dxa" w:w="1757"/>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w:t>
            </w:r>
          </w:p>
        </w:tc>
        <w:tc>
          <w:tcPr>
            <w:tcW w:type="dxa" w:w="1368"/>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h</w:t>
            </w:r>
          </w:p>
        </w:tc>
        <w:tc>
          <w:tcPr>
            <w:tcW w:type="dxa" w:w="148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0.00525</w:t>
            </w:r>
          </w:p>
        </w:tc>
        <w:tc>
          <w:tcPr>
            <w:tcW w:type="dxa" w:w="148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0.00850</w:t>
            </w:r>
          </w:p>
        </w:tc>
        <w:tc>
          <w:tcPr>
            <w:tcW w:type="dxa" w:w="1627"/>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-0.01528</w:t>
            </w:r>
          </w:p>
        </w:tc>
        <w:tc>
          <w:tcPr>
            <w:tcW w:type="dxa" w:w="1642"/>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-0.00105</w:t>
            </w:r>
          </w:p>
        </w:tc>
      </w:tr>
      <w:tr>
        <w:tc>
          <w:tcPr>
            <w:tcW w:type="dxa" w:w="1757"/>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w:t>
            </w:r>
          </w:p>
        </w:tc>
        <w:tc>
          <w:tcPr>
            <w:tcW w:type="dxa" w:w="1368"/>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k_idc</w:t>
            </w:r>
          </w:p>
        </w:tc>
        <w:tc>
          <w:tcPr>
            <w:tcW w:type="dxa" w:w="148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0.00595</w:t>
            </w:r>
          </w:p>
        </w:tc>
        <w:tc>
          <w:tcPr>
            <w:tcW w:type="dxa" w:w="148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0.00764</w:t>
            </w:r>
          </w:p>
        </w:tc>
        <w:tc>
          <w:tcPr>
            <w:tcW w:type="dxa" w:w="1627"/>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-0.01528</w:t>
            </w:r>
          </w:p>
        </w:tc>
        <w:tc>
          <w:tcPr>
            <w:tcW w:type="dxa" w:w="1642"/>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35.77004</w:t>
            </w:r>
          </w:p>
        </w:tc>
      </w:tr>
      <w:tr>
        <w:tc>
          <w:tcPr>
            <w:tcW w:type="dxa" w:w="1757"/>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w:t>
            </w:r>
          </w:p>
        </w:tc>
        <w:tc>
          <w:tcPr>
            <w:tcW w:type="dxa" w:w="1368"/>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k_pdc</w:t>
            </w:r>
          </w:p>
        </w:tc>
        <w:tc>
          <w:tcPr>
            <w:tcW w:type="dxa" w:w="148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0.00661</w:t>
            </w:r>
          </w:p>
        </w:tc>
        <w:tc>
          <w:tcPr>
            <w:tcW w:type="dxa" w:w="148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0.00685</w:t>
            </w:r>
          </w:p>
        </w:tc>
        <w:tc>
          <w:tcPr>
            <w:tcW w:type="dxa" w:w="1627"/>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-0.01528</w:t>
            </w:r>
          </w:p>
        </w:tc>
        <w:tc>
          <w:tcPr>
            <w:tcW w:type="dxa" w:w="1642"/>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0.36649</w:t>
            </w:r>
          </w:p>
        </w:tc>
      </w:tr>
      <w:tr>
        <w:tc>
          <w:tcPr>
            <w:tcW w:type="dxa" w:w="1757"/>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w:t>
            </w:r>
          </w:p>
        </w:tc>
        <w:tc>
          <w:tcPr>
            <w:tcW w:type="dxa" w:w="1368"/>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mp</w:t>
            </w:r>
          </w:p>
        </w:tc>
        <w:tc>
          <w:tcPr>
            <w:tcW w:type="dxa" w:w="148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0.00661</w:t>
            </w:r>
          </w:p>
        </w:tc>
        <w:tc>
          <w:tcPr>
            <w:tcW w:type="dxa" w:w="148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0.00720</w:t>
            </w:r>
          </w:p>
        </w:tc>
        <w:tc>
          <w:tcPr>
            <w:tcW w:type="dxa" w:w="1627"/>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-0.01991</w:t>
            </w:r>
          </w:p>
        </w:tc>
        <w:tc>
          <w:tcPr>
            <w:tcW w:type="dxa" w:w="1642"/>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0.09842</w:t>
            </w:r>
          </w:p>
        </w:tc>
      </w:tr>
      <w:tr>
        <w:tc>
          <w:tcPr>
            <w:tcW w:type="dxa" w:w="1757"/>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GFM-MWT+AD</w:t>
            </w:r>
          </w:p>
        </w:tc>
        <w:tc>
          <w:tcPr>
            <w:tcW w:type="dxa" w:w="1368"/>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K_damp</w:t>
            </w:r>
          </w:p>
        </w:tc>
        <w:tc>
          <w:tcPr>
            <w:tcW w:type="dxa" w:w="148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-0.00118</w:t>
            </w:r>
          </w:p>
        </w:tc>
        <w:tc>
          <w:tcPr>
            <w:tcW w:type="dxa" w:w="148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0.03365</w:t>
            </w:r>
          </w:p>
        </w:tc>
        <w:tc>
          <w:tcPr>
            <w:tcW w:type="dxa" w:w="1627"/>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-0.01554</w:t>
            </w:r>
          </w:p>
        </w:tc>
        <w:tc>
          <w:tcPr>
            <w:tcW w:type="dxa" w:w="1642"/>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0.01483</w:t>
            </w:r>
          </w:p>
        </w:tc>
      </w:tr>
      <w:tr>
        <w:tc>
          <w:tcPr>
            <w:tcW w:type="dxa" w:w="1757"/>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GFM-MWT+AD</w:t>
            </w:r>
          </w:p>
        </w:tc>
        <w:tc>
          <w:tcPr>
            <w:tcW w:type="dxa" w:w="1368"/>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h</w:t>
            </w:r>
          </w:p>
        </w:tc>
        <w:tc>
          <w:tcPr>
            <w:tcW w:type="dxa" w:w="148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-0.02711</w:t>
            </w:r>
          </w:p>
        </w:tc>
        <w:tc>
          <w:tcPr>
            <w:tcW w:type="dxa" w:w="148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0.02173</w:t>
            </w:r>
          </w:p>
        </w:tc>
        <w:tc>
          <w:tcPr>
            <w:tcW w:type="dxa" w:w="1627"/>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-0.01536</w:t>
            </w:r>
          </w:p>
        </w:tc>
        <w:tc>
          <w:tcPr>
            <w:tcW w:type="dxa" w:w="1642"/>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0.33339</w:t>
            </w:r>
          </w:p>
        </w:tc>
      </w:tr>
      <w:tr>
        <w:tc>
          <w:tcPr>
            <w:tcW w:type="dxa" w:w="1757"/>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GFM-MWT+AD</w:t>
            </w:r>
          </w:p>
        </w:tc>
        <w:tc>
          <w:tcPr>
            <w:tcW w:type="dxa" w:w="1368"/>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k_idc</w:t>
            </w:r>
          </w:p>
        </w:tc>
        <w:tc>
          <w:tcPr>
            <w:tcW w:type="dxa" w:w="148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0.01437</w:t>
            </w:r>
          </w:p>
        </w:tc>
        <w:tc>
          <w:tcPr>
            <w:tcW w:type="dxa" w:w="148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0.02000</w:t>
            </w:r>
          </w:p>
        </w:tc>
        <w:tc>
          <w:tcPr>
            <w:tcW w:type="dxa" w:w="1627"/>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-0.01536</w:t>
            </w:r>
          </w:p>
        </w:tc>
        <w:tc>
          <w:tcPr>
            <w:tcW w:type="dxa" w:w="1642"/>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35.77003</w:t>
            </w:r>
          </w:p>
        </w:tc>
      </w:tr>
      <w:tr>
        <w:tc>
          <w:tcPr>
            <w:tcW w:type="dxa" w:w="1757"/>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GFM-MWT+AD</w:t>
            </w:r>
          </w:p>
        </w:tc>
        <w:tc>
          <w:tcPr>
            <w:tcW w:type="dxa" w:w="1368"/>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k_pdc</w:t>
            </w:r>
          </w:p>
        </w:tc>
        <w:tc>
          <w:tcPr>
            <w:tcW w:type="dxa" w:w="148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0.01442</w:t>
            </w:r>
          </w:p>
        </w:tc>
        <w:tc>
          <w:tcPr>
            <w:tcW w:type="dxa" w:w="148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0.01510</w:t>
            </w:r>
          </w:p>
        </w:tc>
        <w:tc>
          <w:tcPr>
            <w:tcW w:type="dxa" w:w="1627"/>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-0.01536</w:t>
            </w:r>
          </w:p>
        </w:tc>
        <w:tc>
          <w:tcPr>
            <w:tcW w:type="dxa" w:w="1642"/>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0.36814</w:t>
            </w:r>
          </w:p>
        </w:tc>
      </w:tr>
      <w:tr>
        <w:tc>
          <w:tcPr>
            <w:tcW w:type="dxa" w:w="1757"/>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GFM-MWT+AD</w:t>
            </w:r>
          </w:p>
        </w:tc>
        <w:tc>
          <w:tcPr>
            <w:tcW w:type="dxa" w:w="1368"/>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mp</w:t>
            </w:r>
          </w:p>
        </w:tc>
        <w:tc>
          <w:tcPr>
            <w:tcW w:type="dxa" w:w="148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0.00675</w:t>
            </w:r>
          </w:p>
        </w:tc>
        <w:tc>
          <w:tcPr>
            <w:tcW w:type="dxa" w:w="148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0.01604</w:t>
            </w:r>
          </w:p>
        </w:tc>
        <w:tc>
          <w:tcPr>
            <w:tcW w:type="dxa" w:w="1627"/>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-0.02013</w:t>
            </w:r>
          </w:p>
        </w:tc>
        <w:tc>
          <w:tcPr>
            <w:tcW w:type="dxa" w:w="1642"/>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0.09921</w:t>
            </w:r>
          </w:p>
        </w:tc>
      </w:tr>
    </w:tbl>
    <w:p>
      <w:pPr>
        <w:spacing w:after="20"/>
      </w:pPr>
    </w:p>
    <w:p>
      <w:pPr>
        <w:spacing w:before="0" w:after="120" w:line="264" w:lineRule="auto"/>
      </w:pPr>
      <w:r>
        <w:rPr>
          <w:rFonts w:ascii="Calibri" w:hAnsi="Calibri" w:eastAsia="Microsoft YaHei"/>
          <w:b w:val="0"/>
        </w:rPr>
        <w:t>连续轨迹算法按特征向量相关性跟踪同一对扭振极点，避免在参数变化时误把附近其他模态当成目标模态。结果显示：未加阻尼的 GFM-MWT 对 `h`、`mp` 的扭振变化相对温和；机侧 DVC 参数会改变该通道的阻尼贡献并可能引发其他不稳定模态；在 APCAD 模型中，`K_damp` 可以将阻尼比提高至约 0.03365，但增益方向反转或过度偏移会使目标模态变为负阻尼。</w:t>
      </w:r>
    </w:p>
    <w:p>
      <w:pPr>
        <w:spacing w:before="100" w:after="60"/>
        <w:jc w:val="center"/>
      </w:pPr>
      <w:r>
        <w:drawing>
          <wp:inline xmlns:a="http://schemas.openxmlformats.org/drawingml/2006/main" xmlns:pic="http://schemas.openxmlformats.org/drawingml/2006/picture">
            <wp:extent cx="5623560" cy="2401613"/>
            <wp:docPr id="4" name="Picture 4"/>
            <wp:cNvGraphicFramePr>
              <a:graphicFrameLocks noChangeAspect="1"/>
            </wp:cNvGraphicFramePr>
            <a:graphic>
              <a:graphicData uri="http://schemas.openxmlformats.org/drawingml/2006/picture">
                <pic:pic>
                  <pic:nvPicPr>
                    <pic:cNvPr id="0" name="K_damp_tracked_trajectory.png"/>
                    <pic:cNvPicPr/>
                  </pic:nvPicPr>
                  <pic:blipFill>
                    <a:blip r:embed="rId14"/>
                    <a:stretch>
                      <a:fillRect/>
                    </a:stretch>
                  </pic:blipFill>
                  <pic:spPr>
                    <a:xfrm>
                      <a:off x="0" y="0"/>
                      <a:ext cx="5623560" cy="2401613"/>
                    </a:xfrm>
                    <a:prstGeom prst="rect"/>
                  </pic:spPr>
                </pic:pic>
              </a:graphicData>
            </a:graphic>
          </wp:inline>
        </w:drawing>
      </w:r>
    </w:p>
    <w:p>
      <w:pPr>
        <w:spacing w:after="160"/>
        <w:jc w:val="center"/>
      </w:pPr>
      <w:r>
        <w:rPr>
          <w:rFonts w:ascii="Calibri" w:hAnsi="Calibri" w:eastAsia="Microsoft YaHei"/>
          <w:i/>
          <w:color w:val="5B6570"/>
          <w:sz w:val="18"/>
        </w:rPr>
        <w:t>图 4  APCAD 增益变化下经连续跟踪的扭振模态轨迹及稳定性边界</w:t>
      </w:r>
    </w:p>
    <w:p>
      <w:pPr>
        <w:pStyle w:val="Heading1"/>
      </w:pPr>
      <w:r>
        <w:rPr>
          <w:rFonts w:ascii="Calibri" w:hAnsi="Calibri" w:eastAsia="Microsoft YaHei"/>
          <w:b/>
          <w:color w:val="2E74B5"/>
        </w:rPr>
        <w:t>8 阻尼控制设计解释与下一轮整定</w:t>
      </w:r>
    </w:p>
    <w:p>
      <w:pPr>
        <w:spacing w:before="0" w:after="120" w:line="264" w:lineRule="auto"/>
      </w:pPr>
      <w:r>
        <w:rPr>
          <w:rFonts w:ascii="Calibri" w:hAnsi="Calibri" w:eastAsia="Microsoft YaHei"/>
          <w:b w:val="0"/>
        </w:rPr>
        <w:t>当前 APCAD 的信号路径与文献 [3] 一致：以发电机转速偏差为测量量，经中心频率约 `2 Hz` 的带通滤波器提取轴系振荡分量，再通过超前环节补偿从网侧功率调制到机侧电磁转矩响应之间的相位滞后，最终将小幅阻尼功率叠加到 VSG 有功参考。</w:t>
      </w:r>
    </w:p>
    <w:tbl>
      <w:tblPr>
        <w:tblStyle w:val="TableGrid"/>
        <w:tblW w:type="dxa" w:w="9360"/>
        <w:jc w:val="left"/>
        <w:tblLayout w:type="fixed"/>
        <w:tblLook w:firstColumn="1" w:firstRow="1" w:lastColumn="0" w:lastRow="0" w:noHBand="0" w:noVBand="1" w:val="04A0"/>
        <w:tblInd w:type="dxa" w:w="120"/>
      </w:tblPr>
      <w:tblGrid>
        <w:gridCol w:w="1699"/>
        <w:gridCol w:w="2333"/>
        <w:gridCol w:w="2779"/>
        <w:gridCol w:w="2549"/>
      </w:tblGrid>
      <w:tr>
        <w:tc>
          <w:tcPr>
            <w:tcW w:type="dxa" w:w="1699"/>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控制环节</w:t>
            </w:r>
          </w:p>
        </w:tc>
        <w:tc>
          <w:tcPr>
            <w:tcW w:type="dxa" w:w="2333"/>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当前程序设置</w:t>
            </w:r>
          </w:p>
        </w:tc>
        <w:tc>
          <w:tcPr>
            <w:tcW w:type="dxa" w:w="2779"/>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作用</w:t>
            </w:r>
          </w:p>
        </w:tc>
        <w:tc>
          <w:tcPr>
            <w:tcW w:type="dxa" w:w="2549"/>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必须补做的验证</w:t>
            </w:r>
          </w:p>
        </w:tc>
      </w:tr>
      <w:tr>
        <w:tc>
          <w:tcPr>
            <w:tcW w:type="dxa" w:w="169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带通滤波 BPF</w:t>
            </w:r>
          </w:p>
        </w:tc>
        <w:tc>
          <w:tcPr>
            <w:tcW w:type="dxa" w:w="2333"/>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fdamp = 2.0 Hz；ζdamp = 0.20</w:t>
            </w:r>
          </w:p>
        </w:tc>
        <w:tc>
          <w:tcPr>
            <w:tcW w:type="dxa" w:w="277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只提取目标轴系频带，抑制慢速功率变化与高频噪声</w:t>
            </w:r>
          </w:p>
        </w:tc>
        <w:tc>
          <w:tcPr>
            <w:tcW w:type="dxa" w:w="254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频率漂移及噪声敏感性</w:t>
            </w:r>
          </w:p>
        </w:tc>
      </w:tr>
      <w:tr>
        <w:tc>
          <w:tcPr>
            <w:tcW w:type="dxa" w:w="169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超前补偿</w:t>
            </w:r>
          </w:p>
        </w:tc>
        <w:tc>
          <w:tcPr>
            <w:tcW w:type="dxa" w:w="2333"/>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Tlead = 1/ωdamp；α = 0.30</w:t>
            </w:r>
          </w:p>
        </w:tc>
        <w:tc>
          <w:tcPr>
            <w:tcW w:type="dxa" w:w="277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在目标频率对齐阻尼转矩相位</w:t>
            </w:r>
          </w:p>
        </w:tc>
        <w:tc>
          <w:tcPr>
            <w:tcW w:type="dxa" w:w="254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SCR、Cdc、风速变化下相位裕度</w:t>
            </w:r>
          </w:p>
        </w:tc>
      </w:tr>
      <w:tr>
        <w:tc>
          <w:tcPr>
            <w:tcW w:type="dxa" w:w="169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阻尼增益</w:t>
            </w:r>
          </w:p>
        </w:tc>
        <w:tc>
          <w:tcPr>
            <w:tcW w:type="dxa" w:w="233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Kdamp = -5.0×10⁶</w:t>
            </w:r>
          </w:p>
        </w:tc>
        <w:tc>
          <w:tcPr>
            <w:tcW w:type="dxa" w:w="277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决定附加阻尼强度与极点左移量</w:t>
            </w:r>
          </w:p>
        </w:tc>
        <w:tc>
          <w:tcPr>
            <w:tcW w:type="dxa" w:w="254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限幅、电流峰值、直流电压峰值</w:t>
            </w:r>
          </w:p>
        </w:tc>
      </w:tr>
      <w:tr>
        <w:tc>
          <w:tcPr>
            <w:tcW w:type="dxa" w:w="169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注入位置</w:t>
            </w:r>
          </w:p>
        </w:tc>
        <w:tc>
          <w:tcPr>
            <w:tcW w:type="dxa" w:w="233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GSC-VSG 有功参考端</w:t>
            </w:r>
          </w:p>
        </w:tc>
        <w:tc>
          <w:tcPr>
            <w:tcW w:type="dxa" w:w="277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通过直流链间接形成电磁阻尼，不直接扰乱 MSC-DVC</w:t>
            </w:r>
          </w:p>
        </w:tc>
        <w:tc>
          <w:tcPr>
            <w:tcW w:type="dxa" w:w="254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与频率支撑/限功率功能协调</w:t>
            </w:r>
          </w:p>
        </w:tc>
      </w:tr>
    </w:tbl>
    <w:p>
      <w:pPr>
        <w:spacing w:after="20"/>
      </w:pPr>
    </w:p>
    <w:p>
      <w:pPr>
        <w:spacing w:before="0" w:after="120" w:line="264" w:lineRule="auto"/>
      </w:pPr>
      <w:r>
        <w:rPr>
          <w:rFonts w:ascii="Calibri" w:hAnsi="Calibri" w:eastAsia="Microsoft YaHei"/>
          <w:b w:val="0"/>
        </w:rPr>
        <w:t>基准增益 `Kdamp = -5.0×10^6` 已把阻尼比提高到 `0.015031`；扫描中稳定点的最大目标阻尼出现在 `Kdamp = -1.5×10^7` 左右，对应 `ζ ≈ 0.033652`。该数值只能作为非线性试验候选上界，而不能直接作为最终设置，因为小信号模型尚未包含功率饱和、电流限幅、PWM 非线性、测量延迟与故障穿越逻辑。</w:t>
      </w:r>
    </w:p>
    <w:p>
      <w:pPr>
        <w:spacing w:before="100" w:after="60"/>
        <w:jc w:val="center"/>
      </w:pPr>
      <w:r>
        <w:drawing>
          <wp:inline xmlns:a="http://schemas.openxmlformats.org/drawingml/2006/main" xmlns:pic="http://schemas.openxmlformats.org/drawingml/2006/picture">
            <wp:extent cx="5623560" cy="2285899"/>
            <wp:docPr id="5" name="Picture 5"/>
            <wp:cNvGraphicFramePr>
              <a:graphicFrameLocks noChangeAspect="1"/>
            </wp:cNvGraphicFramePr>
            <a:graphic>
              <a:graphicData uri="http://schemas.openxmlformats.org/drawingml/2006/picture">
                <pic:pic>
                  <pic:nvPicPr>
                    <pic:cNvPr id="0" name="kdamp_scan.png"/>
                    <pic:cNvPicPr/>
                  </pic:nvPicPr>
                  <pic:blipFill>
                    <a:blip r:embed="rId15"/>
                    <a:stretch>
                      <a:fillRect/>
                    </a:stretch>
                  </pic:blipFill>
                  <pic:spPr>
                    <a:xfrm>
                      <a:off x="0" y="0"/>
                      <a:ext cx="5623560" cy="2285899"/>
                    </a:xfrm>
                    <a:prstGeom prst="rect"/>
                  </pic:spPr>
                </pic:pic>
              </a:graphicData>
            </a:graphic>
          </wp:inline>
        </w:drawing>
      </w:r>
    </w:p>
    <w:p>
      <w:pPr>
        <w:spacing w:after="160"/>
        <w:jc w:val="center"/>
      </w:pPr>
      <w:r>
        <w:rPr>
          <w:rFonts w:ascii="Calibri" w:hAnsi="Calibri" w:eastAsia="Microsoft YaHei"/>
          <w:i/>
          <w:color w:val="5B6570"/>
          <w:sz w:val="18"/>
        </w:rPr>
        <w:t>图 5  APCAD 增益扫描：目标阻尼提升与全系统稳定边界的共同约束</w:t>
      </w:r>
    </w:p>
    <w:p>
      <w:pPr>
        <w:pStyle w:val="Heading1"/>
      </w:pPr>
      <w:r>
        <w:rPr>
          <w:rFonts w:ascii="Calibri" w:hAnsi="Calibri" w:eastAsia="Microsoft YaHei"/>
          <w:b/>
          <w:color w:val="2E74B5"/>
        </w:rPr>
        <w:t>9 非线性验证与 RT-LAB 实验路线</w:t>
      </w:r>
    </w:p>
    <w:p>
      <w:pPr>
        <w:spacing w:before="0" w:after="120" w:line="264" w:lineRule="auto"/>
      </w:pPr>
      <w:r>
        <w:rPr>
          <w:rFonts w:ascii="Calibri" w:hAnsi="Calibri" w:eastAsia="Microsoft YaHei"/>
          <w:b w:val="0"/>
        </w:rPr>
        <w:t>小信号分析回答的是工作点附近的极点位置与阻尼机理；要形成完整的构网型风机机电耦合实验链，必须证明同一控制作用在非线性扰动、限幅以及实时计算条件下仍可重复出现。建议后续验证按以下顺序实施。</w:t>
      </w:r>
    </w:p>
    <w:tbl>
      <w:tblPr>
        <w:tblStyle w:val="TableGrid"/>
        <w:tblW w:type="dxa" w:w="9360"/>
        <w:jc w:val="left"/>
        <w:tblLayout w:type="fixed"/>
        <w:tblLook w:firstColumn="1" w:firstRow="1" w:lastColumn="0" w:lastRow="0" w:noHBand="0" w:noVBand="1" w:val="04A0"/>
        <w:tblInd w:type="dxa" w:w="120"/>
      </w:tblPr>
      <w:tblGrid>
        <w:gridCol w:w="1613"/>
        <w:gridCol w:w="1944"/>
        <w:gridCol w:w="3384"/>
        <w:gridCol w:w="2419"/>
      </w:tblGrid>
      <w:tr>
        <w:tc>
          <w:tcPr>
            <w:tcW w:type="dxa" w:w="1613"/>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阶段</w:t>
            </w:r>
          </w:p>
        </w:tc>
        <w:tc>
          <w:tcPr>
            <w:tcW w:type="dxa" w:w="1944"/>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软件/平台</w:t>
            </w:r>
          </w:p>
        </w:tc>
        <w:tc>
          <w:tcPr>
            <w:tcW w:type="dxa" w:w="3384"/>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模型与激励</w:t>
            </w:r>
          </w:p>
        </w:tc>
        <w:tc>
          <w:tcPr>
            <w:tcW w:type="dxa" w:w="2419"/>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输出与判据</w:t>
            </w:r>
          </w:p>
        </w:tc>
      </w:tr>
      <w:tr>
        <w:tc>
          <w:tcPr>
            <w:tcW w:type="dxa" w:w="1613"/>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A. 参数落地</w:t>
            </w:r>
          </w:p>
        </w:tc>
        <w:tc>
          <w:tcPr>
            <w:tcW w:type="dxa" w:w="1944"/>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MATLAB 脚本</w:t>
            </w:r>
          </w:p>
        </w:tc>
        <w:tc>
          <w:tcPr>
            <w:tcW w:type="dxa" w:w="3384"/>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以目标 PMSG/轴系/变流器参数替换 TEMP 值，重跑特征值</w:t>
            </w:r>
          </w:p>
        </w:tc>
        <w:tc>
          <w:tcPr>
            <w:tcW w:type="dxa" w:w="241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2 Hz 模态身份、阻尼比、稳定域可复现</w:t>
            </w:r>
          </w:p>
        </w:tc>
      </w:tr>
      <w:tr>
        <w:tc>
          <w:tcPr>
            <w:tcW w:type="dxa" w:w="1613"/>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B. EMT 非线性验证</w:t>
            </w:r>
          </w:p>
        </w:tc>
        <w:tc>
          <w:tcPr>
            <w:tcW w:type="dxa" w:w="1944"/>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Simulink / Simscape Electrical</w:t>
            </w:r>
          </w:p>
        </w:tc>
        <w:tc>
          <w:tcPr>
            <w:tcW w:type="dxa" w:w="3384"/>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GFM-GWT、GFM-MWT、GFM-MWT+AD；相角阶跃、电压跌落、风速阶跃</w:t>
            </w:r>
          </w:p>
        </w:tc>
        <w:tc>
          <w:tcPr>
            <w:tcW w:type="dxa" w:w="241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ωt/ωg/轴扭矩/有功/vdc 包络衰减与峰值</w:t>
            </w:r>
          </w:p>
        </w:tc>
      </w:tr>
      <w:tr>
        <w:tc>
          <w:tcPr>
            <w:tcW w:type="dxa" w:w="1613"/>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C. 鲁棒性验证</w:t>
            </w:r>
          </w:p>
        </w:tc>
        <w:tc>
          <w:tcPr>
            <w:tcW w:type="dxa" w:w="1944"/>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Simulink 批处理</w:t>
            </w:r>
          </w:p>
        </w:tc>
        <w:tc>
          <w:tcPr>
            <w:tcW w:type="dxa" w:w="3384"/>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SCR、Cdc、风速、h/mp、DVC 与 Kdamp 联合变化</w:t>
            </w:r>
          </w:p>
        </w:tc>
        <w:tc>
          <w:tcPr>
            <w:tcW w:type="dxa" w:w="241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阻尼控制不以其他模态失稳或过流为代价</w:t>
            </w:r>
          </w:p>
        </w:tc>
      </w:tr>
      <w:tr>
        <w:tc>
          <w:tcPr>
            <w:tcW w:type="dxa" w:w="1613"/>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D. 实时半实物</w:t>
            </w:r>
          </w:p>
        </w:tc>
        <w:tc>
          <w:tcPr>
            <w:tcW w:type="dxa" w:w="1944"/>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RT-LAB / OPAL-RT</w:t>
            </w:r>
          </w:p>
        </w:tc>
        <w:tc>
          <w:tcPr>
            <w:tcW w:type="dxa" w:w="3384"/>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功率级与电机/风轮实时被控对象；控制器实时执行</w:t>
            </w:r>
          </w:p>
        </w:tc>
        <w:tc>
          <w:tcPr>
            <w:tcW w:type="dxa" w:w="241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采样延迟、量化、限幅条件下衰减时间与稳定性</w:t>
            </w:r>
          </w:p>
        </w:tc>
      </w:tr>
    </w:tbl>
    <w:p>
      <w:pPr>
        <w:spacing w:after="20"/>
      </w:pPr>
    </w:p>
    <w:p>
      <w:pPr>
        <w:pStyle w:val="Heading2"/>
      </w:pPr>
      <w:r>
        <w:rPr>
          <w:rFonts w:ascii="Calibri" w:hAnsi="Calibri" w:eastAsia="Microsoft YaHei"/>
          <w:b/>
          <w:color w:val="2E74B5"/>
        </w:rPr>
        <w:t>9.1 最小可执行非线性对照试验</w:t>
      </w:r>
    </w:p>
    <w:p>
      <w:pPr>
        <w:pStyle w:val="ListNumber"/>
        <w:spacing w:after="80" w:line="264" w:lineRule="auto"/>
        <w:ind w:left="720" w:hanging="360"/>
      </w:pPr>
      <w:r>
        <w:rPr>
          <w:rFonts w:ascii="Calibri" w:hAnsi="Calibri" w:eastAsia="Microsoft YaHei"/>
        </w:rPr>
        <w:t>在同一额定功率、风速、SCR 与直流电容下，分别运行 `GFM-GWT`、`GFM-MWT`、`GFM-MWT+AD`，保持扰动幅值一致。</w:t>
      </w:r>
    </w:p>
    <w:p>
      <w:pPr>
        <w:pStyle w:val="ListNumber"/>
        <w:spacing w:after="80" w:line="264" w:lineRule="auto"/>
        <w:ind w:left="720" w:hanging="360"/>
      </w:pPr>
      <w:r>
        <w:rPr>
          <w:rFonts w:ascii="Calibri" w:hAnsi="Calibri" w:eastAsia="Microsoft YaHei"/>
        </w:rPr>
        <w:t>施加网侧相角阶跃（建议从小扰动开始，例如 1°/2°）和电压跌落，记录 `omega_t`、`omega_g`、`theta_tw` 或轴转矩、`P_g` 与 `v_dc`。</w:t>
      </w:r>
    </w:p>
    <w:p>
      <w:pPr>
        <w:pStyle w:val="ListNumber"/>
        <w:spacing w:after="80" w:line="264" w:lineRule="auto"/>
        <w:ind w:left="720" w:hanging="360"/>
      </w:pPr>
      <w:r>
        <w:rPr>
          <w:rFonts w:ascii="Calibri" w:hAnsi="Calibri" w:eastAsia="Microsoft YaHei"/>
        </w:rPr>
        <w:t>对约 2 Hz 分量进行包络拟合或 Prony/矩阵铅笔识别，比较衰减率与阻尼；同时统计直流电压及电流峰值。</w:t>
      </w:r>
    </w:p>
    <w:p>
      <w:pPr>
        <w:pStyle w:val="ListNumber"/>
        <w:spacing w:after="80" w:line="264" w:lineRule="auto"/>
        <w:ind w:left="720" w:hanging="360"/>
      </w:pPr>
      <w:r>
        <w:rPr>
          <w:rFonts w:ascii="Calibri" w:hAnsi="Calibri" w:eastAsia="Microsoft YaHei"/>
        </w:rPr>
        <w:t>将 `Kdamp = -5.0×10^6` 作为基线控制值，以 `-1.5×10^7` 作为候选增强值，在限幅开启状态下逐步验证，拒绝仅凭小信号最大阻尼点直接上机。</w:t>
      </w:r>
    </w:p>
    <w:p>
      <w:pPr>
        <w:pStyle w:val="Heading2"/>
      </w:pPr>
      <w:r>
        <w:rPr>
          <w:rFonts w:ascii="Calibri" w:hAnsi="Calibri" w:eastAsia="Microsoft YaHei"/>
          <w:b/>
          <w:color w:val="2E74B5"/>
        </w:rPr>
        <w:t>9.2 RT-LAB 环节需要特别验证的量</w:t>
      </w:r>
    </w:p>
    <w:p>
      <w:pPr>
        <w:pStyle w:val="ListBullet"/>
        <w:spacing w:after="80" w:line="264" w:lineRule="auto"/>
        <w:ind w:left="720" w:hanging="360"/>
      </w:pPr>
      <w:r>
        <w:rPr>
          <w:rFonts w:ascii="Calibri" w:hAnsi="Calibri" w:eastAsia="Microsoft YaHei"/>
        </w:rPr>
        <w:t>实时步长、采样频率与控制延迟是否使 BPF/超前补偿的目标相位发生偏移。</w:t>
      </w:r>
    </w:p>
    <w:p>
      <w:pPr>
        <w:pStyle w:val="ListBullet"/>
        <w:spacing w:after="80" w:line="264" w:lineRule="auto"/>
        <w:ind w:left="720" w:hanging="360"/>
      </w:pPr>
      <w:r>
        <w:rPr>
          <w:rFonts w:ascii="Calibri" w:hAnsi="Calibri" w:eastAsia="Microsoft YaHei"/>
        </w:rPr>
        <w:t>APCAD 输出限幅后，扭振衰减是否仍优于未加阻尼模型，以及是否造成有功指令或直流电压冲击。</w:t>
      </w:r>
    </w:p>
    <w:p>
      <w:pPr>
        <w:pStyle w:val="ListBullet"/>
        <w:spacing w:after="80" w:line="264" w:lineRule="auto"/>
        <w:ind w:left="720" w:hanging="360"/>
      </w:pPr>
      <w:r>
        <w:rPr>
          <w:rFonts w:ascii="Calibri" w:hAnsi="Calibri" w:eastAsia="Microsoft YaHei"/>
        </w:rPr>
        <w:t>在弱网、风速变化和不同直流电容下，目标模态是否仍保持在控制器带通有效频带内。</w:t>
      </w:r>
    </w:p>
    <w:p>
      <w:pPr>
        <w:pStyle w:val="ListBullet"/>
        <w:spacing w:after="80" w:line="264" w:lineRule="auto"/>
        <w:ind w:left="720" w:hanging="360"/>
      </w:pPr>
      <w:r>
        <w:rPr>
          <w:rFonts w:ascii="Calibri" w:hAnsi="Calibri" w:eastAsia="Microsoft YaHei"/>
        </w:rPr>
        <w:t>实验波形中识别出的频率与小信号预测约 `2 Hz` 是否一致；不一致时应先更新轴系/气动参数，再重新整定滤波器。</w:t>
      </w:r>
    </w:p>
    <w:p>
      <w:pPr>
        <w:pStyle w:val="Heading1"/>
      </w:pPr>
      <w:r>
        <w:rPr>
          <w:rFonts w:ascii="Calibri" w:hAnsi="Calibri" w:eastAsia="Microsoft YaHei"/>
          <w:b/>
          <w:color w:val="2E74B5"/>
        </w:rPr>
        <w:t>10 结论、边界与论文写作版本</w:t>
      </w:r>
    </w:p>
    <w:p>
      <w:pPr>
        <w:pStyle w:val="Heading2"/>
      </w:pPr>
      <w:r>
        <w:rPr>
          <w:rFonts w:ascii="Calibri" w:hAnsi="Calibri" w:eastAsia="Microsoft YaHei"/>
          <w:b/>
          <w:color w:val="2E74B5"/>
        </w:rPr>
        <w:t>10.1 当前可以成立的结论</w:t>
      </w:r>
    </w:p>
    <w:p>
      <w:pPr>
        <w:pStyle w:val="ListNumber"/>
        <w:spacing w:after="80" w:line="264" w:lineRule="auto"/>
        <w:ind w:left="720" w:hanging="360"/>
      </w:pPr>
      <w:r>
        <w:rPr>
          <w:rFonts w:ascii="Calibri" w:hAnsi="Calibri" w:eastAsia="Microsoft YaHei"/>
        </w:rPr>
        <w:t>经气动与机械反馈闭环补充后，四拓扑基准运行点均稳定，说明本轮模型已消除原先由机械恢复机制不完整造成的虚假慢不稳定结论。</w:t>
      </w:r>
    </w:p>
    <w:p>
      <w:pPr>
        <w:pStyle w:val="ListNumber"/>
        <w:spacing w:after="80" w:line="264" w:lineRule="auto"/>
        <w:ind w:left="720" w:hanging="360"/>
      </w:pPr>
      <w:r>
        <w:rPr>
          <w:rFonts w:ascii="Calibri" w:hAnsi="Calibri" w:eastAsia="Microsoft YaHei"/>
        </w:rPr>
        <w:t>目标机电耦合模态位于约 `2 Hz` 且由轴扭角和两端转速主导，属于两质量块传动链扭振模态。</w:t>
      </w:r>
    </w:p>
    <w:p>
      <w:pPr>
        <w:pStyle w:val="ListNumber"/>
        <w:spacing w:after="80" w:line="264" w:lineRule="auto"/>
        <w:ind w:left="720" w:hanging="360"/>
      </w:pPr>
      <w:r>
        <w:rPr>
          <w:rFonts w:ascii="Calibri" w:hAnsi="Calibri" w:eastAsia="Microsoft YaHei"/>
        </w:rPr>
        <w:t>控制风险不能笼统归于 GFM 同步机制；在当前模型中，MSC 承担 DVC 后形成的转矩反馈通道使目标扭振阻尼显著降低。</w:t>
      </w:r>
    </w:p>
    <w:p>
      <w:pPr>
        <w:pStyle w:val="ListNumber"/>
        <w:spacing w:after="80" w:line="264" w:lineRule="auto"/>
        <w:ind w:left="720" w:hanging="360"/>
      </w:pPr>
      <w:r>
        <w:rPr>
          <w:rFonts w:ascii="Calibri" w:hAnsi="Calibri" w:eastAsia="Microsoft YaHei"/>
        </w:rPr>
        <w:t>APCAD 的带通-超前-增益支路能让同一扭振模态明显左移，在基准点把阻尼比从 `0.006617` 提升至 `0.015031`。</w:t>
      </w:r>
    </w:p>
    <w:p>
      <w:pPr>
        <w:pStyle w:val="ListNumber"/>
        <w:spacing w:after="80" w:line="264" w:lineRule="auto"/>
        <w:ind w:left="720" w:hanging="360"/>
      </w:pPr>
      <w:r>
        <w:rPr>
          <w:rFonts w:ascii="Calibri" w:hAnsi="Calibri" w:eastAsia="Microsoft YaHei"/>
        </w:rPr>
        <w:t>传统参数分析不应止于参与因子；连续极点轨迹和全系统最大实部是阐明趋势与整定边界的必要证据。</w:t>
      </w:r>
    </w:p>
    <w:p>
      <w:pPr>
        <w:pStyle w:val="Heading2"/>
      </w:pPr>
      <w:r>
        <w:rPr>
          <w:rFonts w:ascii="Calibri" w:hAnsi="Calibri" w:eastAsia="Microsoft YaHei"/>
          <w:b/>
          <w:color w:val="2E74B5"/>
        </w:rPr>
        <w:t>10.2 不能提前宣称的内容</w:t>
      </w:r>
    </w:p>
    <w:p>
      <w:pPr>
        <w:pStyle w:val="ListBullet"/>
        <w:spacing w:after="80" w:line="264" w:lineRule="auto"/>
        <w:ind w:left="720" w:hanging="360"/>
      </w:pPr>
      <w:r>
        <w:rPr>
          <w:rFonts w:ascii="Calibri" w:hAnsi="Calibri" w:eastAsia="Microsoft YaHei"/>
        </w:rPr>
        <w:t>不能将当前阻尼数值直接等同于某一真实兆瓦级机组的最终指标，因为关键机电参数仍为暂定数据。</w:t>
      </w:r>
    </w:p>
    <w:p>
      <w:pPr>
        <w:pStyle w:val="ListBullet"/>
        <w:spacing w:after="80" w:line="264" w:lineRule="auto"/>
        <w:ind w:left="720" w:hanging="360"/>
      </w:pPr>
      <w:r>
        <w:rPr>
          <w:rFonts w:ascii="Calibri" w:hAnsi="Calibri" w:eastAsia="Microsoft YaHei"/>
        </w:rPr>
        <w:t>不能仅凭小信号极点宣称控制器已满足大扰动、限幅和故障穿越要求；这些必须由 EMT 与 RT-LAB 验证。</w:t>
      </w:r>
    </w:p>
    <w:p>
      <w:pPr>
        <w:pStyle w:val="ListBullet"/>
        <w:spacing w:after="80" w:line="264" w:lineRule="auto"/>
        <w:ind w:left="720" w:hanging="360"/>
      </w:pPr>
      <w:r>
        <w:rPr>
          <w:rFonts w:ascii="Calibri" w:hAnsi="Calibri" w:eastAsia="Microsoft YaHei"/>
        </w:rPr>
        <w:t>不能宣称所有 GFM 架构必然比 GFL 更容易扭振；当前证据定位的是特定直流电压控制配置形成的耦合通道。</w:t>
      </w:r>
    </w:p>
    <w:tbl>
      <w:tblPr>
        <w:tblW w:type="dxa" w:w="9360"/>
        <w:jc w:val="left"/>
        <w:tblLayout w:type="fixed"/>
        <w:tblLook w:firstColumn="1" w:firstRow="1" w:lastColumn="0" w:lastRow="0" w:noHBand="0" w:noVBand="1" w:val="04A0"/>
        <w:tblInd w:type="dxa" w:w="120"/>
      </w:tblPr>
      <w:tblGrid>
        <w:gridCol w:w="9360"/>
      </w:tblGrid>
      <w:tr>
        <w:tc>
          <w:tcPr>
            <w:tcW w:type="dxa" w:w="9360"/>
            <w:shd w:fill="F4F6F9"/>
            <w:tcMar>
              <w:top w:w="130" w:type="dxa"/>
              <w:start w:w="160" w:type="dxa"/>
              <w:bottom w:w="130" w:type="dxa"/>
              <w:end w:w="160" w:type="dxa"/>
            </w:tcMar>
          </w:tcPr>
          <w:p>
            <w:pPr>
              <w:spacing w:after="60"/>
            </w:pPr>
            <w:r>
              <w:rPr>
                <w:rFonts w:ascii="Calibri" w:hAnsi="Calibri" w:eastAsia="Microsoft YaHei"/>
                <w:b/>
                <w:color w:val="1F4D78"/>
              </w:rPr>
              <w:t>可直接纳入论文结果分析的段落</w:t>
            </w:r>
          </w:p>
          <w:p>
            <w:pPr>
              <w:spacing w:after="0" w:line="264" w:lineRule="auto"/>
            </w:pPr>
            <w:r>
              <w:rPr>
                <w:rFonts w:ascii="Calibri" w:hAnsi="Calibri" w:eastAsia="Microsoft YaHei"/>
              </w:rPr>
              <w:t>在含气动转矩线性化、两质量块传动链、PMSG、直流链与全功率变流控制的统一小信号模型中，约 2 Hz 扭振模态主要由轴扭角及机电两端转速状态参与。保持 MSC-MPPT 时，将网侧同步机制由 PLL 替换为 GFM 未显著改变该模态阻尼；当直流电压调节迁移至机侧并经电磁转矩作用于传动链时，扭振阻尼比由 0.012227 降至 0.006617，表明机侧直流电压控制引入了不利机电反馈。针对该通道，在 GSC 有功控制端配置 APCAD 后，扭振阻尼比提高至 0.015031，且附加阻尼状态进入目标模态参与因子排序，证明该控制能够针对性提高轴系模态衰减能力。</w:t>
            </w:r>
          </w:p>
        </w:tc>
      </w:tr>
    </w:tbl>
    <w:p>
      <w:pPr>
        <w:spacing w:before="0" w:after="60" w:line="264" w:lineRule="auto"/>
      </w:pPr>
    </w:p>
    <w:p>
      <w:pPr>
        <w:pStyle w:val="Heading1"/>
      </w:pPr>
      <w:r>
        <w:rPr>
          <w:rFonts w:ascii="Calibri" w:hAnsi="Calibri" w:eastAsia="Microsoft YaHei"/>
          <w:b/>
          <w:color w:val="2E74B5"/>
        </w:rPr>
        <w:t>参考文献</w:t>
      </w:r>
    </w:p>
    <w:p>
      <w:pPr>
        <w:spacing w:before="0" w:after="100" w:line="264" w:lineRule="auto"/>
        <w:ind w:left="425" w:hanging="425"/>
      </w:pPr>
      <w:r>
        <w:rPr>
          <w:rFonts w:ascii="Calibri" w:hAnsi="Calibri" w:eastAsia="Microsoft YaHei"/>
          <w:b w:val="0"/>
        </w:rPr>
        <w:t>[1] S. Liu, H. Wu, T. Bosma, and X. Wang, “Impact of DC-Link Voltage Control on Torsional Vibrations in Grid-Forming PMSG Wind Turbines,” IEEE Transactions on Energy Conversion, vol. 39, no. 4, pp. 2631–2644, 2024, doi: 10.1109/TEC.2024.3394753.</w:t>
      </w:r>
    </w:p>
    <w:p>
      <w:pPr>
        <w:spacing w:before="0" w:after="100" w:line="264" w:lineRule="auto"/>
        <w:ind w:left="425" w:hanging="425"/>
      </w:pPr>
      <w:r>
        <w:rPr>
          <w:rFonts w:ascii="Calibri" w:hAnsi="Calibri" w:eastAsia="Microsoft YaHei"/>
          <w:b w:val="0"/>
        </w:rPr>
        <w:t>[2] S. Liu, R. G. Cirstea, H. Wu, T. Bosma, and X. Wang, “Comparative Evaluation of Converter Control Impact on Torsional Dynamics of Type-IV Grid-Forming Wind Turbines,” IEEE Transactions on Sustainable Energy, vol. 15, no. 4, pp. 2803–2816, 2024, doi: 10.1109/TSTE.2024.3444474.</w:t>
      </w:r>
    </w:p>
    <w:p>
      <w:pPr>
        <w:spacing w:before="0" w:after="100" w:line="264" w:lineRule="auto"/>
        <w:ind w:left="425" w:hanging="425"/>
      </w:pPr>
      <w:r>
        <w:rPr>
          <w:rFonts w:ascii="Calibri" w:hAnsi="Calibri" w:eastAsia="Microsoft YaHei"/>
          <w:b w:val="0"/>
        </w:rPr>
        <w:t>[3] H. E. Udawatte, A. Asbafkan, M. H. Ravanji, and B. Bahrani, “Active Power Control-Based Damping for Torsional Oscillations in Grid-Forming Type-IV Wind Turbines,” IEEE Transactions on Power Electronics, vol. 41, no. 6, pp. 9940–9955, 2026, doi: 10.1109/TPEL.2026.3653039.</w:t>
      </w:r>
    </w:p>
    <w:p>
      <w:pPr>
        <w:spacing w:before="0" w:after="100" w:line="264" w:lineRule="auto"/>
        <w:ind w:left="425" w:hanging="425"/>
      </w:pPr>
      <w:r>
        <w:rPr>
          <w:rFonts w:ascii="Calibri" w:hAnsi="Calibri" w:eastAsia="Microsoft YaHei"/>
          <w:b w:val="0"/>
        </w:rPr>
        <w:t>[4] 马亦卓，谭贝斯，徐晋，等，“基于虚拟同步控制的构网型直驱风机轴系扭振特性分析,” 2025。来源：Zotero 构网型控制文献集合。</w:t>
      </w:r>
    </w:p>
    <w:p>
      <w:pPr>
        <w:spacing w:before="0" w:after="100" w:line="264" w:lineRule="auto"/>
        <w:ind w:left="425" w:hanging="425"/>
      </w:pPr>
      <w:r>
        <w:rPr>
          <w:rFonts w:ascii="Calibri" w:hAnsi="Calibri" w:eastAsia="Microsoft YaHei"/>
          <w:b w:val="0"/>
        </w:rPr>
        <w:t>[5] 李海盼，年珩，胡彬，李萌，“风电并网系统宽频振荡分析与抑制方法综述,” 2023。来源：Zotero 文库。</w:t>
      </w:r>
    </w:p>
    <w:p>
      <w:pPr>
        <w:pStyle w:val="Heading1"/>
      </w:pPr>
      <w:r>
        <w:rPr>
          <w:rFonts w:ascii="Calibri" w:hAnsi="Calibri" w:eastAsia="Microsoft YaHei"/>
          <w:b/>
          <w:color w:val="2E74B5"/>
        </w:rPr>
        <w:t>附录 A 复现文件与输出位置</w:t>
      </w:r>
    </w:p>
    <w:tbl>
      <w:tblPr>
        <w:tblStyle w:val="TableGrid"/>
        <w:tblW w:type="dxa" w:w="9360"/>
        <w:jc w:val="left"/>
        <w:tblLayout w:type="fixed"/>
        <w:tblLook w:firstColumn="1" w:firstRow="1" w:lastColumn="0" w:lastRow="0" w:noHBand="0" w:noVBand="1" w:val="04A0"/>
        <w:tblInd w:type="dxa" w:w="120"/>
      </w:tblPr>
      <w:tblGrid>
        <w:gridCol w:w="2664"/>
        <w:gridCol w:w="6696"/>
      </w:tblGrid>
      <w:tr>
        <w:tc>
          <w:tcPr>
            <w:tcW w:type="dxa" w:w="2664"/>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8"/>
              </w:rPr>
              <w:t>用途</w:t>
            </w:r>
          </w:p>
        </w:tc>
        <w:tc>
          <w:tcPr>
            <w:tcW w:type="dxa" w:w="6696"/>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8"/>
              </w:rPr>
              <w:t>程序/结果文件</w:t>
            </w:r>
          </w:p>
        </w:tc>
      </w:tr>
      <w:tr>
        <w:tc>
          <w:tcPr>
            <w:tcW w:type="dxa" w:w="2664"/>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四拓扑对照分析</w:t>
            </w:r>
          </w:p>
        </w:tc>
        <w:tc>
          <w:tcPr>
            <w:tcW w:type="dxa" w:w="6696"/>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EigenAnalysis\Compare_Control_Mode_Run.m</w:t>
            </w:r>
          </w:p>
        </w:tc>
      </w:tr>
      <w:tr>
        <w:tc>
          <w:tcPr>
            <w:tcW w:type="dxa" w:w="2664"/>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控制参数稳定域扫描</w:t>
            </w:r>
          </w:p>
        </w:tc>
        <w:tc>
          <w:tcPr>
            <w:tcW w:type="dxa" w:w="6696"/>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EigenAnalysis\Scan_GFM_Control_Parameters_Run.m</w:t>
            </w:r>
          </w:p>
        </w:tc>
      </w:tr>
      <w:tr>
        <w:tc>
          <w:tcPr>
            <w:tcW w:type="dxa" w:w="2664"/>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扭振模态连续轨迹</w:t>
            </w:r>
          </w:p>
        </w:tc>
        <w:tc>
          <w:tcPr>
            <w:tcW w:type="dxa" w:w="6696"/>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EigenAnalysis\Track_GFM_Mode_Trajectories.m</w:t>
            </w:r>
          </w:p>
        </w:tc>
      </w:tr>
      <w:tr>
        <w:tc>
          <w:tcPr>
            <w:tcW w:type="dxa" w:w="2664"/>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最新统一模型</w:t>
            </w:r>
          </w:p>
        </w:tc>
        <w:tc>
          <w:tcPr>
            <w:tcW w:type="dxa" w:w="6696"/>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EigenAnalysis\Unified_WT_PMSG_*.mat</w:t>
            </w:r>
          </w:p>
        </w:tc>
      </w:tr>
      <w:tr>
        <w:tc>
          <w:tcPr>
            <w:tcW w:type="dxa" w:w="2664"/>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基准与因果结果</w:t>
            </w:r>
          </w:p>
        </w:tc>
        <w:tc>
          <w:tcPr>
            <w:tcW w:type="dxa" w:w="6696"/>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EigenAnalysis\Control_Mode_Comparison_Results</w:t>
            </w:r>
          </w:p>
        </w:tc>
      </w:tr>
      <w:tr>
        <w:tc>
          <w:tcPr>
            <w:tcW w:type="dxa" w:w="2664"/>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参数扫描结果</w:t>
            </w:r>
          </w:p>
        </w:tc>
        <w:tc>
          <w:tcPr>
            <w:tcW w:type="dxa" w:w="6696"/>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EigenAnalysis\Control_Parameter_Scan_Results</w:t>
            </w:r>
          </w:p>
        </w:tc>
      </w:tr>
      <w:tr>
        <w:tc>
          <w:tcPr>
            <w:tcW w:type="dxa" w:w="2664"/>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模态轨迹结果</w:t>
            </w:r>
          </w:p>
        </w:tc>
        <w:tc>
          <w:tcPr>
            <w:tcW w:type="dxa" w:w="6696"/>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EigenAnalysis\Mode_Trajectory_Results</w:t>
            </w:r>
          </w:p>
        </w:tc>
      </w:tr>
    </w:tbl>
    <w:p>
      <w:pPr>
        <w:spacing w:after="20"/>
      </w:pPr>
    </w:p>
    <w:p>
      <w:pPr>
        <w:spacing w:before="0" w:after="60" w:line="264" w:lineRule="auto"/>
      </w:pPr>
      <w:r>
        <w:rPr>
          <w:rFonts w:ascii="Calibri" w:hAnsi="Calibri" w:eastAsia="Microsoft YaHei"/>
          <w:b w:val="0"/>
          <w:color w:val="5B6570"/>
          <w:sz w:val="19"/>
        </w:rPr>
        <w:t>注：本报告引用的结果均在 2026 年 5 月 24 日从最新导出的统一模型重新计算生成。MATLAB 启动时出现的旧路径警告不影响本轮状态空间模型求解与结果文件输出。</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5B6570"/>
        <w:sz w:val="18"/>
      </w:rPr>
      <w:t xml:space="preserve">研究工作稿  |  2026 年 5 月 24 日  |  第 </w:t>
    </w:r>
    <w:fldSimple w:instr="PAGE"/>
    <w:r>
      <w:rPr>
        <w:rFonts w:ascii="Calibri" w:hAnsi="Calibri" w:eastAsia="Microsoft YaHei"/>
        <w:color w:val="5B657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Calibri" w:hAnsi="Calibri" w:eastAsia="Microsoft YaHei"/>
        <w:color w:val="5B6570"/>
        <w:sz w:val="18"/>
      </w:rPr>
      <w:t>构网型风电机组机电耦合分析 | 更新模型与文献对照</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构网型风电机组机电耦合特性分析：更新模型与文献对照</dc:title>
  <dc:subject>PMSG GFM-WT torsional oscillation, APCAD and validation plan</dc:subject>
  <dc:creator>研究工作稿</dc:creator>
  <cp:keywords/>
  <dc:description>generated by python-docx</dc:description>
  <cp:lastModifiedBy/>
  <cp:revision>1</cp:revision>
  <dcterms:created xsi:type="dcterms:W3CDTF">2013-12-23T23:15:00Z</dcterms:created>
  <dcterms:modified xsi:type="dcterms:W3CDTF">2013-12-23T23:15:00Z</dcterms:modified>
  <cp:category/>
</cp:coreProperties>
</file>