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color w:val="C9952A"/>
          <w:sz w:val="72"/>
          <w:szCs w:val="72"/>
        </w:rPr>
        <w:t xml:space="preserve">⚖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1A1408"/>
          <w:sz w:val="72"/>
          <w:szCs w:val="72"/>
        </w:rPr>
        <w:t xml:space="preserve">LegalEase</w:t>
      </w:r>
    </w:p>
    <w:p>
      <w:pPr>
        <w:spacing w:before="0" w:after="40"/>
      </w:pPr>
      <w:r>
        <w:rPr>
          <w:rFonts w:ascii="Georgia" w:cs="Georgia" w:eastAsia="Georgia" w:hAnsi="Georgia"/>
          <w:color w:val="C9952A"/>
          <w:sz w:val="32"/>
          <w:szCs w:val="32"/>
        </w:rPr>
        <w:t xml:space="preserve">AI-Powered Indian Legal Assistant</w:t>
      </w:r>
    </w:p>
    <w:p>
      <w:pPr>
        <w:spacing w:before="0" w:after="320"/>
      </w:pPr>
      <w:r>
        <w:rPr>
          <w:rFonts w:ascii="Arial" w:cs="Arial" w:eastAsia="Arial" w:hAnsi="Arial"/>
          <w:color w:val="6B6357"/>
          <w:sz w:val="20"/>
          <w:szCs w:val="20"/>
        </w:rPr>
        <w:t xml:space="preserve">Product Architecture &amp; Engineering Plan  ·  v1.0  ·  2025</w:t>
      </w:r>
    </w:p>
    <w:p>
      <w:pPr>
        <w:pBdr>
          <w:bottom w:val="single" w:color="C9952A" w:sz="8" w:space="4"/>
        </w:pBdr>
        <w:spacing w:before="0" w:after="4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6B6357"/>
          <w:sz w:val="20"/>
          <w:szCs w:val="20"/>
        </w:rPr>
        <w:t xml:space="preserve">Coverage:  Consumer Protection Law  ·  Labour &amp; Employment Law  ·  Family Law</w:t>
      </w:r>
    </w:p>
    <w:p>
      <w:pPr>
        <w:spacing w:after="80"/>
      </w:pPr>
      <w:r>
        <w:rPr>
          <w:rFonts w:ascii="Arial" w:cs="Arial" w:eastAsia="Arial" w:hAnsi="Arial"/>
          <w:color w:val="6B6357"/>
          <w:sz w:val="20"/>
          <w:szCs w:val="20"/>
        </w:rPr>
        <w:t xml:space="preserve">Users:  Citizens &amp; Practicing Lawyers</w:t>
      </w:r>
    </w:p>
    <w:p>
      <w:pPr>
        <w:spacing w:after="80"/>
      </w:pPr>
      <w:r>
        <w:rPr>
          <w:rFonts w:ascii="Arial" w:cs="Arial" w:eastAsia="Arial" w:hAnsi="Arial"/>
          <w:color w:val="6B6357"/>
          <w:sz w:val="20"/>
          <w:szCs w:val="20"/>
        </w:rPr>
        <w:t xml:space="preserve">Core Product:  AI Legal Chat  +  Document Upload &amp; Analysis</w:t>
      </w:r>
    </w:p>
    <w:p>
      <w:pPr>
        <w:spacing w:after="6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01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Product Overview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Vision, goals, and scope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color w:val="1A1408"/>
          <w:sz w:val="20"/>
          <w:szCs w:val="20"/>
        </w:rPr>
        <w:t xml:space="preserve">India has 1.4B people but only ~2 lawyers per 1,000 citizens. Legal knowledge is inaccessible — buried in dense Acts, court language, and unaffordable consultations. Citizens routinely lose rightful claims due to ignorance of basic rights.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Solution</w:t>
      </w:r>
    </w:p>
    <w:p>
      <w:pPr>
        <w:spacing w:after="120"/>
      </w:pPr>
      <w:r>
        <w:rPr>
          <w:rFonts w:ascii="Arial" w:cs="Arial" w:eastAsia="Arial" w:hAnsi="Arial"/>
          <w:color w:val="1A1408"/>
          <w:sz w:val="20"/>
          <w:szCs w:val="20"/>
        </w:rPr>
        <w:t xml:space="preserve">LegalEase is a vertical AI SaaS — deeply trained on three areas of Indian law — that gives citizens actionable legal clarity and gives lawyers a research accelerator. Two core flows: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AI Chat: Ask any legal question, get a structured answer citing real Indian statutes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Document Analysis: Upload a legal document, get plain-language breakdown with flagged risks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Who they are &amp; what they need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Citizens (B2C)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Working-class Indians facing consumer fraud, wrongful termination, divorce disputes. Need simple answers fast, in plain language. Not legally literate.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Lawyers (B2B)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Junior advocates, law firm associates needing quick statute lookup, precedent summaries, and draft assistance. Want speed, not hand-holding.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HR / Compliance Teams (B2B)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Companies needing POSH, labour compliance checks. Recurring use-case, high willingness to pay.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Legal Areas — v1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Consumer Protection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COPRA 2019, product liability, e-commerce disputes, deficiency of service, consumer forum filing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Labour &amp; Employment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Industrial Disputes Act 1947, Payment of Wages Act, Gratuity Act, POSH Act, PF &amp; ESI, wrongful termination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Family Law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Hindu Marriage Act 1955, Special Marriage Act, DVPA 2005, Section 125 CrPC maintenance, child custody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02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Feature List &amp; Prioritisation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P0 = MVP · P1 = v1.1 · P2 = future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AI Legal Chat (English)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Contextual, multi-turn chat with statute citations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Legal Area Selector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User picks Consumer / Labour / Family before querying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Document Upload &amp; Parse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PDF + DOCX upload, text extraction, AI analysis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Document Risk Flagging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Highlight unreasonable clauses, missed deadlines, obligations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Quick Question Chips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Preset questions per legal area to reduce cold-start friction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Auth (Email + Google OAuth)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Supabase Auth — email/password + Google SSO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Usage Quota Enforcement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Free: 5 queries/mo · Paid: unlimited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Subscription Billing (Razorpay)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MVP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₹299 Citizen / ₹999 Professional plans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Chat History Persistence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C995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v1.1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Users can revisit past conversations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Hindi Language Support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C995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v1.1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Query and respond in Hindi — critical for mass adoption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Export Chat / Analysis to PDF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C995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v1.1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Download structured legal summary as PDF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Legal Notice Drafting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C995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v1.1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AI generates draft legal notices based on user situation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Lawyer Connect (Referral)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3D5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Match users to verified lawyers for complex matters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Case Tracker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3D5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Track filings, deadlines, hearing dates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3D5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408"/>
                <w:sz w:val="18"/>
                <w:szCs w:val="18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Access LegalEase via WhatsApp for Tier 2/3 cities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03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Tech Stack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Full-stack choices with rationale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Next.js 14 (App Router) — SSR for SEO on landing page, RSC for fast app shell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TypeScript — essential for a legal product where type safety matters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Tailwind CSS + shadcn/ui — fast, consistent, accessible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Zustand — lightweight, no boilerplate for chat state + doc state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react-dropzone — handles drag/drop, validation, chunked upload UX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PDF Rendering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react-pdf — preview uploaded documents in-browser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Vercel — zero-config Next.js, edge functions, built-in analytics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Node.js + Next.js API Routes (or separate Express if scale demands)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AI / LLM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Anthropic Claude API (claude-sonnet) — system prompts per legal domain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Document Parsing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pdf-parse (PDF), mammoth (DOCX) — server-side text extraction before AI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Supabase Storage (S3-compatible) — store uploaded docs linked to user ID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Queue / Background Jobs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Inngest or BullMQ (Redis) — async doc analysis, won't block response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Upstash Redis — per-user quota tracking (free vs paid)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Resend — transactional email (OTP, receipts, alerts)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Infrastructure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Supabase (PostgreSQL) — auth, RLS, realtime, storage all-in-one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Supabase Auth — email/password, Google OAuth, JWT sessions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Razorpay — Indian payment gateway, subscriptions, UPI/cards/netbanking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Vector DB (v1.1)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pgvector (Supabase extension) — for RAG on Indian legal corpus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Sentry (errors) + Vercel Analytics + PostHog (product analytics)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GitHub Actions → Vercel preview deploys on every PR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04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System Architecture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Request flows for core features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color w:val="1A1408"/>
          <w:sz w:val="20"/>
          <w:szCs w:val="20"/>
        </w:rPr>
        <w:t xml:space="preserve">LegalEase follows a clean layered architecture. Next.js handles routing and SSR. API routes act as a secure backend-for-frontend (BFF). All AI calls happen server-side — the Claude API key is never exposed to the client.</w:t>
      </w:r>
    </w:p>
    <w:p>
      <w:pPr>
        <w:spacing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AI Chat —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1. Client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User types query → POST /api/chat with { message, area, conversationId }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2. Auth Middleware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Validate Supabase JWT → extract userId, check quota in Redis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3. Quota Check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If free tier and quota exceeded → return 429 with upgrade prompt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4. Context Build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Fetch last N messages from DB → build conversation history array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5. System Prompt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Inject area-specific system prompt (Consumer / Labour / Family)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6. Claude API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Stream response from claude-sonnet → pipe SSE back to client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7. Persist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Save user message + AI response to messages table asynchronously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8. Quota Update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Increment usage counter in Redis for the userId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Document Analysis —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1. Upload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Client uploads file → POST /api/documents/upload (multipart form)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2. Validate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Check file type (PDF/DOCX/TXT), size limit (10MB), virus scan stub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3. Store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Save to Supabase Storage under /user-id/doc-id path → get public URL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4. Extract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Server: pdf-parse or mammoth extracts raw text from document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5. Chunk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Split text into chunks of ~2000 tokens if large (avoid context overflow)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6. Analyse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Send chunks to Claude with document analysis system prompt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7. Structure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AI returns structured JSON: { type, keyFindings, risks, recommendations }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8. Persist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Save analysis result to documents table linked to userId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9. Respond</w:t>
            </w:r>
          </w:p>
        </w:tc>
        <w:tc>
          <w:tcPr>
            <w:tcW w:type="dxa" w:w="6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Return analysis to client for rendering — also stored for future retrieval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05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Database Schema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PostgreSQL via Supabase — all tables with RLS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users (managed by Supabase Auth)</w:t>
      </w:r>
    </w:p>
    <w:p>
      <w:pPr>
        <w:spacing w:after="120"/>
      </w:pPr>
      <w:r>
        <w:rPr>
          <w:rFonts w:ascii="Arial" w:cs="Arial" w:eastAsia="Arial" w:hAnsi="Arial"/>
          <w:color w:val="1A1408"/>
          <w:sz w:val="20"/>
          <w:szCs w:val="20"/>
        </w:rPr>
        <w:t xml:space="preserve">Extended with a public.profiles table for app-specific fields: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PK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Maps to auth.users.id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User's email address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DEFAULT 'free'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free | citizen | professional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razorpay_customer_id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For subscription management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Active Razorpay subscription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plan_expires_at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Subscription expiry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Account creation time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PK DEFAULT gen_random_uuid()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Conversation ID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FK → profiles.id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Owner of this conversation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legal_area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consumer | labour | family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Auto-generated from first message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When conversation started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Last message time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PK DEFAULT gen_random_uuid()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Message ID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FK → conversations.id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Parent conversation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FK → profiles.id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For RLS enforcement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user | assistant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Message text (markdown)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Claude token count for billing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Message timestamp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PK DEFAULT gen_random_uuid()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Document ID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FK → profiles.id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legal_area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Area context for analysis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file_name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Original filename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storage_path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Supabase Storage path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Bytes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application/pdf, etc.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extracted_text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Raw text from parser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analysis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Structured AI analysis result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DEFAULT 'pending'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pending | analyzing | done | failed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Upload time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usage_logs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PK DEFAULT gen_random_uuid()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Log entry ID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FK → profiles.id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Who used it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chat_query | doc_analysis | export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legal_area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Which area was queried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tokens_in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Prompt tokens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tokens_out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Completion tokens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When the action occurred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PK DEFAULT gen_random_uuid()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Internal record ID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FK → profiles.id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Subscriber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razorpay_subscription_id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UNIQUE 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Razorpay subscription ref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citizen | professional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active | paused | cancelled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Billing cycle start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E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Billing cycle end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4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6"/>
                <w:szCs w:val="16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6"/>
                <w:szCs w:val="16"/>
              </w:rPr>
              <w:t xml:space="preserve">Subscription creation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06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API Design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All routes are Next.js API Routes — server-side only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/api/auth/signup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Register new user → Supabase creates auth.users + profiles row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Email/password login → returns Supabase JWT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GET /api/auth/me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Return current user profile + plan info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Invalidate session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Body: { message, area, conversationId? } → streams SSE response from Claude. Creates new conversation if conversationId not provided.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GET /api/conversations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List all conversations for authed user (paginated)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GET /api/conversations/:id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Get single conversation with all messages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DELETE /api/conversations/:id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Delete conversation + all its messages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/api/documents/upload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Multipart upload → stores in Supabase Storage → triggers async analysis job → returns documentId immediately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GET /api/documents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List user's uploaded documents with status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GET /api/documents/:id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Get single document with full analysis result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DELETE /api/documents/:id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Delete document record + file from storage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/api/documents/:id/reanalyse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Trigger re-analysis (useful if area context changes)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/api/billing/create-subscription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Creates Razorpay subscription → returns checkout data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/api/billing/webhook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Razorpay webhook handler → updates subscription + profiles table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GET /api/billing/status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Returns current plan, usage count, quota limits for user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/api/billing/cancel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Cancel subscription at period 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6B6357"/>
          <w:sz w:val="22"/>
          <w:szCs w:val="22"/>
        </w:rPr>
        <w:t xml:space="preserve">Webhooks &amp; Internal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/api/webhooks/razorpay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Signed webhook — payment.captured, subscription.activated, subscription.cancelled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POST /api/internal/analyse-doc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Internal background job endpoint (called by Inngest) for async doc analysis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07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AI Prompt Architecture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System prompts &amp; safety design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System Prompt Strategy</w:t>
      </w:r>
    </w:p>
    <w:p>
      <w:pPr>
        <w:spacing w:after="120"/>
      </w:pPr>
      <w:r>
        <w:rPr>
          <w:rFonts w:ascii="Arial" w:cs="Arial" w:eastAsia="Arial" w:hAnsi="Arial"/>
          <w:color w:val="1A1408"/>
          <w:sz w:val="20"/>
          <w:szCs w:val="20"/>
        </w:rPr>
        <w:t xml:space="preserve">Each legal area gets a dedicated system prompt injected server-side. Prompts are version-controlled in /prompts directory and can be updated without a code deploy.</w:t>
      </w:r>
    </w:p>
    <w:p>
      <w:pPr>
        <w:spacing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Common Prompt Elements (all areas)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Always cite specific Act name, Section number, and Sub-section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Give practical next steps the user can take — not just legal theory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Distinguish between rights under Central vs State law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If the situation requires a court filing, mention the correct forum (District, High Court, Tribunal)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Add a disclaimer when the matter is complex enough to need a real lawyer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Never fabricate case law citations — if you don't know a precedent, say so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Document Analysis Prompt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Identify document type first (FIR / Agreement / Legal Notice / Court Order / Policy)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Extract: parties, obligations, timelines, penalty clauses,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Flag clauses that are unreasonable, void under Indian law, or disadvantageous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Summarise in plain language — assume a non-lawyer is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Return structured JSON for reliable frontend rendering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Output Schema for Document Analysis</w:t>
      </w:r>
    </w:p>
    <w:p>
      <w:pPr>
        <w:spacing w:after="120"/>
      </w:pPr>
      <w:r>
        <w:rPr>
          <w:rFonts w:ascii="Arial" w:cs="Arial" w:eastAsia="Arial" w:hAnsi="Arial"/>
          <w:color w:val="1A1408"/>
          <w:sz w:val="20"/>
          <w:szCs w:val="20"/>
        </w:rPr>
        <w:t xml:space="preserve">Claude is instructed to return valid JSON matching this schema: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string — e.g. 'Legal Notice under COPRA 2019'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summary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string — 2-3 sentence plain-language overview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parties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array — { name, role } for each named party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key_obligations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array of strings — what each party must do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critical_deadlines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array — { description, date } for any time-bound actions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risk_flags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array — { severity: high|medium|low, description, clause_reference }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recommended_actions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array of strings — what the user should do next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relevant_laws</w:t>
            </w:r>
          </w:p>
        </w:tc>
        <w:tc>
          <w:tcPr>
            <w:tcW w:type="dxa" w:w="6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array — { act_name, section, relevance }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08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Phased Roadmap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What to build when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B3A2A"/>
          <w:sz w:val="22"/>
          <w:szCs w:val="22"/>
        </w:rPr>
        <w:t xml:space="preserve">Phase 1 — MVP  (Weeks 1–6)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408"/>
          <w:sz w:val="20"/>
          <w:szCs w:val="20"/>
        </w:rPr>
        <w:t xml:space="preserve">Project setup: Next.js 14, Supabase, TypeScript, Tailwind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Auth: Email signup/login + Google OAuth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AI Chat: Legal area selector, multi-turn chat, streaming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Document Upload: PDF/DOCX parsing + AI analysis (synchronous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Usage Quota: Free tier (5 queries/month) enforced via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Billing: Razorpay subscription integration (₹299 + ₹999 plans)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Deploy: Vercel + Supabase production environment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Phase 2 — v1.1  (Weeks 7–10)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408"/>
          <w:sz w:val="20"/>
          <w:szCs w:val="20"/>
        </w:rPr>
        <w:t xml:space="preserve">Chat history: Persist + retrieve past conversations with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Hindi language: Toggle in UI, Hindi-aware system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Async doc analysis: Move to Inngest background job, show progress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PDF export: Download chat or doc analysis as formatted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Legal Notice Drafting: Templated AI-generated notices per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Product analytics: PostHog funnels, drop-off tracking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Phase 3 — v2.0  (Weeks 11–18)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408"/>
          <w:sz w:val="20"/>
          <w:szCs w:val="20"/>
        </w:rPr>
        <w:t xml:space="preserve">RAG pipeline: Ingest Indian legal corpus → pgvector → ground AI answers in real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Lawyer Connect: Verified lawyer directory, consultation booking + payment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Team / Firm plan: Multi-seat, admin dashboard, usage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WhatsApp Bot: Twilio/Meta API integration for Tier 2/3 city 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Case Tracker: File tracking, hearing reminders, deadline alerts</w:t>
      </w:r>
    </w:p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09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Security &amp; Compliance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Non-negotiable for a legal product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Key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All API routes protected by Supabase JWT — no unauthenticated access to user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Row Level Security (RLS) on ALL Supabase tables — users can only access their own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Claude API key stored in Vercel environment variables — never in client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Document files stored in private Supabase Storage bucket — accessed via signed URLs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Razorpay webhook signature verification on every inbound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Rate limiting: 60 req/min per IP on public routes, per-user quota on AI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Input sanitisation before passing user content to AI (strip prompt injection attempts)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No PII logged in usage_logs — only action type and token counts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408"/>
          <w:sz w:val="26"/>
          <w:szCs w:val="26"/>
        </w:rPr>
        <w:t xml:space="preserve">Legal Disclaimers (Product)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Every AI response includes: 'This is legal information, not legal advice. Consult a qualified lawyer for your specific situation.'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Document analysis includes: 'AI analysis may miss context. Do not rely solely on this for legal decisions.'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408"/>
          <w:sz w:val="20"/>
          <w:szCs w:val="20"/>
        </w:rPr>
        <w:t xml:space="preserve">T&amp;C must explicitly state LegalEase is not a law firm and does not create a lawyer-client relationship</w:t>
      </w:r>
    </w:p>
    <w:p>
      <w:pPr>
        <w:spacing w:after="200"/>
      </w:pPr>
      <w:r>
        <w:t xml:space="preserve"/>
      </w:r>
    </w:p>
    <w:p>
      <w:pPr>
        <w:shd w:fill="1A1408" w:val="clear"/>
        <w:spacing w:before="240" w:after="0"/>
      </w:pPr>
      <w:r>
        <w:rPr>
          <w:rFonts w:ascii="Georgia" w:cs="Georgia" w:eastAsia="Georgia" w:hAnsi="Georgia"/>
          <w:b/>
          <w:bCs/>
          <w:color w:val="C9952A"/>
          <w:sz w:val="40"/>
          <w:szCs w:val="40"/>
        </w:rPr>
        <w:t xml:space="preserve">010  </w:t>
      </w:r>
      <w:r>
        <w:rPr>
          <w:rFonts w:ascii="Georgia" w:cs="Georgia" w:eastAsia="Georgia" w:hAnsi="Georgia"/>
          <w:b/>
          <w:bCs/>
          <w:color w:val="FFFFFF"/>
          <w:sz w:val="32"/>
          <w:szCs w:val="32"/>
        </w:rPr>
        <w:t xml:space="preserve">Monetisation Strategy</w:t>
      </w:r>
    </w:p>
    <w:p>
      <w:pPr>
        <w:shd w:fill="2A2420" w:val="clear"/>
        <w:spacing w:before="0"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  Pricing, tiers, and unit economics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5 AI queries/month · 1 document upload · No history · Watermarked exports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Citizen  ₹299/mo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50 queries/month · 10 doc uploads/month · Chat history · PDF export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Professional  ₹999/mo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Unlimited queries · Unlimited docs · Legal notice drafting · Priority support · API access (future)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Firm  ₹4,999/mo (future)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Up to 10 seats · Admin dashboard · Usage analytics · Dedicated onboarding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5A47"/>
          <w:sz w:val="22"/>
          <w:szCs w:val="22"/>
        </w:rPr>
        <w:t xml:space="preserve">Unit Economics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Claude API cost per query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~₹0.50–1.50 per query at sonnet pricing (2K tokens avg)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Doc analysis cost per doc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~₹2–5 per doc (5–15K tokens including extracted text)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Citizen plan margin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50 queries × ₹1.50 = ₹75 COGS → ₹299 revenue → ~74% gross margin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Break-even (infra only)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~150 paying users covers Vercel Pro + Supabase Pro + estimated Claude costs</w:t>
            </w:r>
          </w:p>
        </w:tc>
      </w:tr>
      <w:tr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408"/>
                <w:sz w:val="18"/>
                <w:szCs w:val="18"/>
              </w:rPr>
              <w:t xml:space="preserve">Target MRR at 6 months</w:t>
            </w:r>
          </w:p>
        </w:tc>
        <w:tc>
          <w:tcPr>
            <w:tcW w:type="dxa" w:w="6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357"/>
                <w:sz w:val="18"/>
                <w:szCs w:val="18"/>
              </w:rPr>
              <w:t xml:space="preserve">500 Citizen + 100 Professional = ₹2,49,500 MRR (~$3,000)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A1408" w:val="clear"/>
        <w:spacing w:before="200" w:after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  LegalEase — Confidential Engineering Document  ·  Not for distribution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9B0" w:sz="2" w:space="4"/>
      </w:pBdr>
      <w:spacing w:before="80"/>
      <w:jc w:val="right"/>
    </w:pPr>
    <w:r>
      <w:rPr>
        <w:rFonts w:ascii="Arial" w:cs="Arial" w:eastAsia="Arial" w:hAnsi="Arial"/>
        <w:color w:val="6B6357"/>
        <w:sz w:val="16"/>
        <w:szCs w:val="16"/>
      </w:rPr>
      <w:t xml:space="preserve">Page </w:t>
    </w:r>
    <w:r>
      <w:rPr>
        <w:rFonts w:ascii="Arial" w:cs="Arial" w:eastAsia="Arial" w:hAnsi="Arial"/>
        <w:color w:val="6B63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52A" w:sz="4" w:space="4"/>
      </w:pBdr>
      <w:spacing w:after="0"/>
    </w:pPr>
    <w:r>
      <w:rPr>
        <w:rFonts w:ascii="Georgia" w:cs="Georgia" w:eastAsia="Georgia" w:hAnsi="Georgia"/>
        <w:b/>
        <w:bCs/>
        <w:color w:val="1A1408"/>
        <w:sz w:val="20"/>
        <w:szCs w:val="20"/>
      </w:rPr>
      <w:t xml:space="preserve">LegalEase  </w:t>
    </w:r>
    <w:r>
      <w:rPr>
        <w:rFonts w:ascii="Arial" w:cs="Arial" w:eastAsia="Arial" w:hAnsi="Arial"/>
        <w:color w:val="6B6357"/>
        <w:sz w:val="18"/>
        <w:szCs w:val="18"/>
      </w:rPr>
      <w:t xml:space="preserve">Product Architecture &amp; Engineering Plan</w:t>
    </w:r>
    <w:r>
      <w:rPr>
        <w:rFonts w:ascii="Arial" w:cs="Arial" w:eastAsia="Arial" w:hAnsi="Arial"/>
        <w:color w:val="D4C9B0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2026-03-07T08:46:08.733Z</dcterms:created>
  <dcterms:modified xsi:type="dcterms:W3CDTF">2026-03-07T08:46:08.733Z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