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df" ContentType="application/pdf"/>
  <Override PartName="/word/media/rId39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Sequential recommenders treat a user’s interaction history as a token</w:t>
      </w:r>
      <w:r>
        <w:t xml:space="preserve"> </w:t>
      </w:r>
      <w:r>
        <w:t xml:space="preserve">stream, and self-attention models such as SASRec </w:t>
      </w:r>
      <w:r>
        <w:t xml:space="preserve">(Kang and McAuley 2018)</w:t>
      </w:r>
      <w:r>
        <w:t xml:space="preserve"> </w:t>
      </w:r>
      <w:r>
        <w:t xml:space="preserve">and BERT4Rec </w:t>
      </w:r>
      <w:r>
        <w:t xml:space="preserve">(Sun et al. 2019)</w:t>
      </w:r>
      <w:r>
        <w:t xml:space="preserve"> </w:t>
      </w:r>
      <w:r>
        <w:t xml:space="preserve">dominate the leaderboards. In</w:t>
      </w:r>
      <w:r>
        <w:t xml:space="preserve"> </w:t>
      </w:r>
      <w:r>
        <w:t xml:space="preserve">the standard formulation, every interaction is collapsed to a binary</w:t>
      </w:r>
      <w:r>
        <w:t xml:space="preserve"> </w:t>
      </w:r>
      <w:r>
        <w:t xml:space="preserve">“happened”</w:t>
      </w:r>
      <w:r>
        <w:t xml:space="preserve">: item</w:t>
      </w:r>
      <w:r>
        <w:t xml:space="preserve"> </w:t>
      </w:r>
      <m:oMath>
        <m:sSub>
          <m:e>
            <m:r>
              <m:t>i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in the user’s history at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that is the totality of the signal that reaches the attention</w:t>
      </w:r>
      <w:r>
        <w:t xml:space="preserve"> </w:t>
      </w:r>
      <w:r>
        <w:t xml:space="preserve">layer. The underlying intensity of each interaction (a</w:t>
      </w:r>
      <w:r>
        <w:t xml:space="preserve"> </w:t>
      </w:r>
      <m:oMath>
        <m:r>
          <m:t>5</m:t>
        </m:r>
      </m:oMath>
      <w:r>
        <w:t xml:space="preserve">-star rating on MovieLens, hours played on Steam, dwell time or</w:t>
      </w:r>
      <w:r>
        <w:t xml:space="preserve"> </w:t>
      </w:r>
      <w:r>
        <w:t xml:space="preserve">purchase value in industrial logs) is discarded. From a Shannon</w:t>
      </w:r>
      <w:r>
        <w:t xml:space="preserve"> </w:t>
      </w:r>
      <w:r>
        <w:t xml:space="preserve">standpoint that is a lot of supervised information thrown away, and</w:t>
      </w:r>
      <w:r>
        <w:t xml:space="preserve"> </w:t>
      </w:r>
      <w:r>
        <w:t xml:space="preserve">the discard is more notable the richer the intensity signal is:</w:t>
      </w:r>
      <w:r>
        <w:t xml:space="preserve"> </w:t>
      </w:r>
      <w:r>
        <w:t xml:space="preserve">a binary signal carries one bit; a continuous heavy-tailed playtime</w:t>
      </w:r>
      <w:r>
        <w:t xml:space="preserve"> </w:t>
      </w:r>
      <w:r>
        <w:t xml:space="preserve">distribution can carry several.</w:t>
      </w:r>
    </w:p>
    <w:p>
      <w:pPr>
        <w:pStyle w:val="BodyText"/>
      </w:pPr>
      <w:r>
        <w:t xml:space="preserve">A natural hypothesis follows: re-introducing per-interaction intensity</w:t>
      </w:r>
      <w:r>
        <w:t xml:space="preserve"> </w:t>
      </w:r>
      <w:r>
        <w:t xml:space="preserve">into the attention computation should help, and should help in</w:t>
      </w:r>
      <w:r>
        <w:t xml:space="preserve"> </w:t>
      </w:r>
      <w:r>
        <w:t xml:space="preserve">proportion to how informative the underlying signal is. Steam</w:t>
      </w:r>
      <w:r>
        <w:t xml:space="preserve"> </w:t>
      </w:r>
      <w:r>
        <w:t xml:space="preserve">playtime (continuous, heavy-tailed, several bits per interaction)</w:t>
      </w:r>
      <w:r>
        <w:t xml:space="preserve"> </w:t>
      </w:r>
      <w:r>
        <w:t xml:space="preserve">should help more than discrete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5</m:t>
        </m:r>
      </m:oMath>
      <w:r>
        <w:t xml:space="preserve"> </w:t>
      </w:r>
      <w:r>
        <w:t xml:space="preserve">ratings on</w:t>
      </w:r>
      <w:r>
        <w:t xml:space="preserve"> </w:t>
      </w:r>
      <w:r>
        <w:t xml:space="preserve">MovieLens, whose entropy is bounded above by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5</m:t>
        </m:r>
        <m:r>
          <m:rPr>
            <m:sty m:val="p"/>
          </m:rPr>
          <m:t>≈</m:t>
        </m:r>
        <m:r>
          <m:t>2.3</m:t>
        </m:r>
      </m:oMath>
      <w:r>
        <w:t xml:space="preserve"> </w:t>
      </w:r>
      <w:r>
        <w:t xml:space="preserve">bits and is much lower in practice given the well-known rating bias</w:t>
      </w:r>
      <w:r>
        <w:t xml:space="preserve"> </w:t>
      </w:r>
      <w:r>
        <w:t xml:space="preserve">toward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We test this hypothesis with three drop-in modifications of SASRec</w:t>
      </w:r>
      <w:r>
        <w:t xml:space="preserve"> </w:t>
      </w:r>
      <w:r>
        <w:t xml:space="preserve">(IA-SASRec-Add, IA-SASRec-Mul, and IA-SASRec-Val), corresponding</w:t>
      </w:r>
      <w:r>
        <w:t xml:space="preserve"> </w:t>
      </w:r>
      <w:r>
        <w:t xml:space="preserve">to the three algebraic positions in the attention expression where</w:t>
      </w:r>
      <w:r>
        <w:t xml:space="preserve"> </w:t>
      </w:r>
      <w:r>
        <w:t xml:space="preserve">intensity can be threaded in (pre-softmax additive bias, pre-softmax</w:t>
      </w:r>
      <w:r>
        <w:t xml:space="preserve"> </w:t>
      </w:r>
      <w:r>
        <w:t xml:space="preserve">multiplicative scale, post-softmax attention reweighting).</w:t>
      </w:r>
      <w:r>
        <w:t xml:space="preserve"> </w:t>
      </w:r>
      <w:r>
        <w:t xml:space="preserve">Each variant adds exactly one learnable scalar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per</w:t>
      </w:r>
      <w:r>
        <w:t xml:space="preserve"> </w:t>
      </w:r>
      <w:r>
        <w:t xml:space="preserve">attention layer, initialised to</w:t>
      </w:r>
      <w:r>
        <w:t xml:space="preserve"> </w:t>
      </w:r>
      <m:oMath>
        <m:r>
          <m:t>1.0</m:t>
        </m:r>
      </m:oMath>
      <w:r>
        <w:t xml:space="preserve">, designed so that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collapses the variant bit-for-bit to vanilla SASRec. The model is</w:t>
      </w:r>
      <w:r>
        <w:t xml:space="preserve"> </w:t>
      </w:r>
      <w:r>
        <w:t xml:space="preserve">therefore a strict super-set of the baseline: if intensity is</w:t>
      </w:r>
      <w:r>
        <w:t xml:space="preserve"> </w:t>
      </w:r>
      <w:r>
        <w:t xml:space="preserve">not informative, a fair learner can recover SASRec exactly.</w:t>
      </w:r>
    </w:p>
    <w:p>
      <w:pPr>
        <w:pStyle w:val="BodyText"/>
      </w:pPr>
      <w:r>
        <w:t xml:space="preserve">Across seven datasets, spanning the discrete-rating and</w:t>
      </w:r>
      <w:r>
        <w:t xml:space="preserve"> </w:t>
      </w:r>
      <w:r>
        <w:t xml:space="preserve">continuous-playtime regimes, and five random seeds per</w:t>
      </w:r>
      <w:r>
        <w:t xml:space="preserve"> </w:t>
      </w:r>
      <w:r>
        <w:t xml:space="preserve">(dataset, model) cell, the hypothesis fails. Not one of the</w:t>
      </w:r>
      <w:r>
        <w:t xml:space="preserve"> </w:t>
      </w:r>
      <m:oMath>
        <m:r>
          <m:t>63</m:t>
        </m:r>
      </m:oMath>
      <w:r>
        <w:t xml:space="preserve"> </w:t>
      </w:r>
      <w:r>
        <w:t xml:space="preserve">tested cells (</w:t>
      </w:r>
      <m:oMath>
        <m:r>
          <m:t>3</m:t>
        </m:r>
      </m:oMath>
      <w:r>
        <w:t xml:space="preserve"> </w:t>
      </w:r>
      <w:r>
        <w:t xml:space="preserve">variants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t>3</m:t>
        </m:r>
      </m:oMath>
      <w:r>
        <w:t xml:space="preserve"> </w:t>
      </w:r>
      <w:r>
        <w:t xml:space="preserve">metrics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datasets) shows a robust improvement under our dual-criterion</w:t>
      </w:r>
      <w:r>
        <w:t xml:space="preserve"> </w:t>
      </w:r>
      <w:r>
        <w:t xml:space="preserve">significance protocol: a seed-level paired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 per-user</w:t>
      </w:r>
      <w:r>
        <w:t xml:space="preserve"> </w:t>
      </w:r>
      <w:r>
        <w:t xml:space="preserve">paired bootstrap that must both reject, guarded by a per-seed</w:t>
      </w:r>
      <w:r>
        <w:t xml:space="preserve"> </w:t>
      </w:r>
      <w:r>
        <w:t xml:space="preserve">CI sign-majority on the bootstrap. The single</w:t>
      </w:r>
      <w:r>
        <w:t xml:space="preserve"> </w:t>
      </w:r>
      <w:r>
        <w:t xml:space="preserve">positive paired-</w:t>
      </w:r>
      <m:oMath>
        <m:r>
          <m:t>t</m:t>
        </m:r>
      </m:oMath>
      <w:r>
        <w:t xml:space="preserve"> </w:t>
      </w:r>
      <w:r>
        <w:t xml:space="preserve">cell (IA-SASRec-Add on Amazon-Office MRR@10,</w:t>
      </w:r>
      <w:r>
        <w:t xml:space="preserve"> </w:t>
      </w:r>
      <m:oMath>
        <m:r>
          <m:rPr>
            <m:sty m:val="p"/>
          </m:rPr>
          <m:t>+</m:t>
        </m:r>
        <m:r>
          <m:t>3.6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t>0.025</m:t>
        </m:r>
      </m:oMath>
      <w:r>
        <w:t xml:space="preserve">) is suppressed by the per-user bootstrap and</w:t>
      </w:r>
      <w:r>
        <w:t xml:space="preserve"> </w:t>
      </w:r>
      <w:r>
        <w:t xml:space="preserve">the per-seed sign agreement. Worse, the degradation pattern is the</w:t>
      </w:r>
      <w:r>
        <w:t xml:space="preserve"> </w:t>
      </w:r>
      <w:r>
        <w:t xml:space="preserve">opposite of the intensity-richness prediction. Steam, the</w:t>
      </w:r>
      <w:r>
        <w:t xml:space="preserve"> </w:t>
      </w:r>
      <w:r>
        <w:t xml:space="preserve">dataset with the richest signal, hosts the largest and cleanest</w:t>
      </w:r>
      <w:r>
        <w:t xml:space="preserve"> </w:t>
      </w:r>
      <w:r>
        <w:t xml:space="preserve">significant losses (</w:t>
      </w:r>
      <m:oMath>
        <m:r>
          <m:rPr>
            <m:sty m:val="p"/>
          </m:rPr>
          <m:t>−</m:t>
        </m:r>
        <m:r>
          <m:t>9.5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7.3</m:t>
        </m:r>
        <m:r>
          <m:rPr>
            <m:sty m:val="p"/>
          </m:rPr>
          <m:t>%</m:t>
        </m:r>
      </m:oMath>
      <w:r>
        <w:t xml:space="preserve"> </w:t>
      </w:r>
      <w:r>
        <w:t xml:space="preserve">NDCG@10/Recall@10/MRR@10</w:t>
      </w:r>
      <w:r>
        <w:t xml:space="preserve"> </w:t>
      </w:r>
      <w:r>
        <w:t xml:space="preserve">across Steam-3k Mul and Steam-15k Mul/Val, all robust).</w:t>
      </w:r>
    </w:p>
    <w:p>
      <w:pPr>
        <w:pStyle w:val="BodyText"/>
      </w:pPr>
      <w:r>
        <w:t xml:space="preserve">The architecture was designed with an explicit fallback</w:t>
      </w:r>
      <w:r>
        <w:t xml:space="preserve"> </w:t>
      </w:r>
      <w:r>
        <w:t xml:space="preserve">(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recovers SASRec), so the failure has a sharp</w:t>
      </w:r>
      <w:r>
        <w:t xml:space="preserve"> </w:t>
      </w:r>
      <w:r>
        <w:t xml:space="preserve">mechanism question attached, which we answer through an analysis of</w:t>
      </w:r>
      <w:r>
        <w:t xml:space="preserve"> </w:t>
      </w:r>
      <w:r>
        <w:t xml:space="preserve">the learned per-layer</w:t>
      </w:r>
      <w:r>
        <w:t xml:space="preserve"> </w:t>
      </w:r>
      <m:oMath>
        <m:r>
          <m:t>λ</m:t>
        </m:r>
      </m:oMath>
      <w:r>
        <w:t xml:space="preserve">. The learned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does adapt: it</w:t>
      </w:r>
      <w:r>
        <w:t xml:space="preserve"> </w:t>
      </w:r>
      <w:r>
        <w:t xml:space="preserve">drops to</w:t>
      </w:r>
      <w:r>
        <w:t xml:space="preserve"> </w:t>
      </w:r>
      <m:oMath>
        <m:r>
          <m:t>0.07</m:t>
        </m:r>
      </m:oMath>
      <w:r>
        <w:t xml:space="preserve"> </w:t>
      </w:r>
      <w:r>
        <w:t xml:space="preserve">on ML-1M Val (and the model recovers SASRec), so the</w:t>
      </w:r>
      <w:r>
        <w:t xml:space="preserve"> </w:t>
      </w:r>
      <w:r>
        <w:t xml:space="preserve">optimisation path is open. But on Steam it stays at</w:t>
      </w:r>
      <w:r>
        <w:t xml:space="preserve"> </w:t>
      </w:r>
      <m:oMath>
        <m:r>
          <m:t>0.55</m:t>
        </m:r>
      </m:oMath>
      <w:r>
        <w:t xml:space="preserve">–</w:t>
      </w:r>
      <m:oMath>
        <m:r>
          <m:t>0.99</m:t>
        </m:r>
      </m:oMath>
      <w:r>
        <w:t xml:space="preserve"> </w:t>
      </w:r>
      <w:r>
        <w:t xml:space="preserve">across all three variants and all three subset sizes, even as test</w:t>
      </w:r>
      <w:r>
        <w:t xml:space="preserve"> </w:t>
      </w:r>
      <w:r>
        <w:t xml:space="preserve">metrics degrade. The optimiser can disable intensity and chooses not to. A</w:t>
      </w:r>
      <w:r>
        <w:t xml:space="preserve"> </w:t>
      </w:r>
      <w:r>
        <w:t xml:space="preserve">single per-layer scalar is not a sufficient fallback for</w:t>
      </w:r>
      <w:r>
        <w:t xml:space="preserve"> </w:t>
      </w:r>
      <w:r>
        <w:t xml:space="preserve">intensity injection: it cannot down-weight specific intensity values,</w:t>
      </w:r>
      <w:r>
        <w:t xml:space="preserve"> </w:t>
      </w:r>
      <w:r>
        <w:t xml:space="preserve">and it cannot let some attention heads use intensity while others</w:t>
      </w:r>
      <w:r>
        <w:t xml:space="preserve"> </w:t>
      </w:r>
      <w:r>
        <w:t xml:space="preserve">ignore it. It also confounds the signal itself with the way we encoded</w:t>
      </w:r>
      <w:r>
        <w:t xml:space="preserve"> </w:t>
      </w:r>
      <w:r>
        <w:t xml:space="preserve">it: a flat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could mean intensity carries no information, or</w:t>
      </w:r>
      <w:r>
        <w:t xml:space="preserve"> </w:t>
      </w:r>
      <w:r>
        <w:t xml:space="preserve">that our normalisation choice flattened the information that was there.</w:t>
      </w:r>
    </w:p>
    <w:bookmarkStart w:id="9" w:name="contributions."/>
    <w:p>
      <w:pPr>
        <w:pStyle w:val="Heading4"/>
      </w:pPr>
      <w:r>
        <w:t xml:space="preserve">Contributions.</w:t>
      </w:r>
    </w:p>
    <w:p>
      <w:pPr>
        <w:numPr>
          <w:ilvl w:val="0"/>
          <w:numId w:val="1001"/>
        </w:numPr>
      </w:pPr>
      <w:r>
        <w:t xml:space="preserve">Three IA-SASRec variants (Add / Mul / Val) realised as a</w:t>
      </w:r>
      <w:r>
        <w:t xml:space="preserve"> </w:t>
      </w:r>
      <w:r>
        <w:t xml:space="preserve">unified framework with one learnable scalar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per layer, so</w:t>
      </w:r>
      <w:r>
        <w:t xml:space="preserve"> </w:t>
      </w:r>
      <w:r>
        <w:t xml:space="preserve">that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collapses each variant exactly to SASRec.</w:t>
      </w:r>
    </w:p>
    <w:p>
      <w:pPr>
        <w:numPr>
          <w:ilvl w:val="0"/>
          <w:numId w:val="1001"/>
        </w:numPr>
      </w:pPr>
      <w:r>
        <w:t xml:space="preserve">A 7-dataset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5-seed evaluation under a dual-criterion</w:t>
      </w:r>
      <w:r>
        <w:t xml:space="preserve"> </w:t>
      </w:r>
      <w:r>
        <w:t xml:space="preserve">significance protocol (paired-</w:t>
      </w:r>
      <m:oMath>
        <m:r>
          <m:t>t</m:t>
        </m:r>
      </m:oMath>
      <w:r>
        <w:t xml:space="preserve"> </w:t>
      </w:r>
      <w:r>
        <w:t xml:space="preserve">at the seed level and a per-user</w:t>
      </w:r>
      <w:r>
        <w:t xml:space="preserve"> </w:t>
      </w:r>
      <w:r>
        <w:t xml:space="preserve">paired bootstrap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000</m:t>
        </m:r>
      </m:oMath>
      <w:r>
        <w:t xml:space="preserve">, guarded by a per-seed CI</w:t>
      </w:r>
      <w:r>
        <w:t xml:space="preserve"> </w:t>
      </w:r>
      <w:r>
        <w:t xml:space="preserve">sign-majority on the bootstrap) explicitly designed against</w:t>
      </w:r>
      <w:r>
        <w:t xml:space="preserve"> </w:t>
      </w:r>
      <w:r>
        <w:t xml:space="preserve">the failure modes flagged by prior reproducibility critiques </w:t>
      </w:r>
      <w:r>
        <w:t xml:space="preserve">(Ferrari Dacrema et al. 2019; Sun et al. 2020)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A negative result with mechanism evidence: learned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stays large precisely where the variant hurts the most, and the</w:t>
      </w:r>
      <w:r>
        <w:t xml:space="preserve"> </w:t>
      </w:r>
      <w:r>
        <w:t xml:space="preserve">“off-switch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fallback is not realised in</w:t>
      </w:r>
      <w:r>
        <w:t xml:space="preserve"> </w:t>
      </w:r>
      <w:r>
        <w:t xml:space="preserve">practice.</w:t>
      </w:r>
    </w:p>
    <w:bookmarkEnd w:id="9"/>
    <w:bookmarkEnd w:id="10"/>
    <w:bookmarkStart w:id="16" w:name="sec:related"/>
    <w:p>
      <w:pPr>
        <w:pStyle w:val="Heading1"/>
      </w:pPr>
      <w:r>
        <w:t xml:space="preserve">Related Work</w:t>
      </w:r>
    </w:p>
    <w:bookmarkStart w:id="11" w:name="sequential-attention-recommenders."/>
    <w:p>
      <w:pPr>
        <w:pStyle w:val="Heading4"/>
      </w:pPr>
      <w:r>
        <w:t xml:space="preserve">Sequential attention recommenders.</w:t>
      </w:r>
    </w:p>
    <w:p>
      <w:pPr>
        <w:pStyle w:val="FirstParagraph"/>
      </w:pPr>
      <w:r>
        <w:t xml:space="preserve">The Transformer </w:t>
      </w:r>
      <w:r>
        <w:t xml:space="preserve">(Vaswani et al. 2017)</w:t>
      </w:r>
      <w:r>
        <w:t xml:space="preserve"> </w:t>
      </w:r>
      <w:r>
        <w:t xml:space="preserve">brought self-attention to</w:t>
      </w:r>
      <w:r>
        <w:t xml:space="preserve"> </w:t>
      </w:r>
      <w:r>
        <w:t xml:space="preserve">sequence modelling, and SASRec </w:t>
      </w:r>
      <w:r>
        <w:t xml:space="preserve">(Kang and McAuley 2018)</w:t>
      </w:r>
      <w:r>
        <w:t xml:space="preserve"> </w:t>
      </w:r>
      <w:r>
        <w:t xml:space="preserve">adapted causal</w:t>
      </w:r>
      <w:r>
        <w:t xml:space="preserve"> </w:t>
      </w:r>
      <w:r>
        <w:t xml:space="preserve">self-attention to next-item recommendation; it remains the canonical</w:t>
      </w:r>
      <w:r>
        <w:t xml:space="preserve"> </w:t>
      </w:r>
      <w:r>
        <w:t xml:space="preserve">attention-based baseline. BERT4Rec </w:t>
      </w:r>
      <w:r>
        <w:t xml:space="preserve">(Sun et al. 2019)</w:t>
      </w:r>
      <w:r>
        <w:t xml:space="preserve"> </w:t>
      </w:r>
      <w:r>
        <w:t xml:space="preserve">replaces the</w:t>
      </w:r>
      <w:r>
        <w:t xml:space="preserve"> </w:t>
      </w:r>
      <w:r>
        <w:t xml:space="preserve">causal mask with a bidirectional masked-language-modelling objective</w:t>
      </w:r>
      <w:r>
        <w:t xml:space="preserve"> </w:t>
      </w:r>
      <w:r>
        <w:t xml:space="preserve">in the spirit of BERT </w:t>
      </w:r>
      <w:r>
        <w:t xml:space="preserve">(Devlin et al. 2019)</w:t>
      </w:r>
      <w:r>
        <w:t xml:space="preserve">. Both treat each</w:t>
      </w:r>
      <w:r>
        <w:t xml:space="preserve"> </w:t>
      </w:r>
      <w:r>
        <w:t xml:space="preserve">historical interaction as a binary presence signal: the item identity</w:t>
      </w:r>
      <w:r>
        <w:t xml:space="preserve"> </w:t>
      </w:r>
      <w:r>
        <w:t xml:space="preserve">and its position are everything the model sees.</w:t>
      </w:r>
      <w:r>
        <w:t xml:space="preserve"> </w:t>
      </w:r>
      <w:r>
        <w:t xml:space="preserve">TiSASRec </w:t>
      </w:r>
      <w:r>
        <w:t xml:space="preserve">(Li et al. 2020)</w:t>
      </w:r>
      <w:r>
        <w:t xml:space="preserve"> </w:t>
      </w:r>
      <w:r>
        <w:t xml:space="preserve">is the closest prior work; it injects</w:t>
      </w:r>
      <w:r>
        <w:t xml:space="preserve"> </w:t>
      </w:r>
      <w:r>
        <w:t xml:space="preserve">relative time gaps between adjacent interactions directly into the</w:t>
      </w:r>
      <w:r>
        <w:t xml:space="preserve"> </w:t>
      </w:r>
      <w:r>
        <w:t xml:space="preserve">attention computation through a learned bias on the absolute time</w:t>
      </w:r>
      <w:r>
        <w:t xml:space="preserve"> </w:t>
      </w:r>
      <w:r>
        <w:t xml:space="preserve">delta. The architectural surface is the same as IA-SASRec, a learned</w:t>
      </w:r>
      <w:r>
        <w:t xml:space="preserve"> </w:t>
      </w:r>
      <w:r>
        <w:t xml:space="preserve">modifier applied to attention scores, but the injected signal is</w:t>
      </w:r>
      <w:r>
        <w:t xml:space="preserve"> </w:t>
      </w:r>
      <w:r>
        <w:t xml:space="preserve">different: TiSASRec injects temporal spacing, a structural feature of</w:t>
      </w:r>
      <w:r>
        <w:t xml:space="preserve"> </w:t>
      </w:r>
      <w:r>
        <w:t xml:space="preserve">the sequence; IA-SASRec injects interaction strength, which varies</w:t>
      </w:r>
      <w:r>
        <w:t xml:space="preserve"> </w:t>
      </w:r>
      <w:r>
        <w:t xml:space="preserve">across users for the same item-position pair. Earlier non-attention</w:t>
      </w:r>
      <w:r>
        <w:t xml:space="preserve"> </w:t>
      </w:r>
      <w:r>
        <w:t xml:space="preserve">sequential recommenders (GRU4Rec </w:t>
      </w:r>
      <w:r>
        <w:t xml:space="preserve">(Hidasi et al. 2016)</w:t>
      </w:r>
      <w:r>
        <w:t xml:space="preserve">,</w:t>
      </w:r>
      <w:r>
        <w:t xml:space="preserve"> </w:t>
      </w:r>
      <w:r>
        <w:t xml:space="preserve">NARM </w:t>
      </w:r>
      <w:r>
        <w:t xml:space="preserve">(Li et al. 2017)</w:t>
      </w:r>
      <w:r>
        <w:t xml:space="preserve">, FPMC </w:t>
      </w:r>
      <w:r>
        <w:t xml:space="preserve">(Rendle et al. 2010)</w:t>
      </w:r>
      <w:r>
        <w:t xml:space="preserve">,</w:t>
      </w:r>
      <w:r>
        <w:t xml:space="preserve"> </w:t>
      </w:r>
      <w:r>
        <w:t xml:space="preserve">Caser </w:t>
      </w:r>
      <w:r>
        <w:t xml:space="preserve">(Tang and Wang 2018)</w:t>
      </w:r>
      <w:r>
        <w:t xml:space="preserve">, NextItNet </w:t>
      </w:r>
      <w:r>
        <w:t xml:space="preserve">(Yuan et al. 2019)</w:t>
      </w:r>
      <w:r>
        <w:t xml:space="preserve">)</w:t>
      </w:r>
      <w:r>
        <w:t xml:space="preserve"> </w:t>
      </w:r>
      <w:r>
        <w:t xml:space="preserve">and the classic implicit-feedback ranker BPR </w:t>
      </w:r>
      <w:r>
        <w:t xml:space="preserve">(Rendle et al. 2009)</w:t>
      </w:r>
      <w:r>
        <w:t xml:space="preserve"> </w:t>
      </w:r>
      <w:r>
        <w:t xml:space="preserve">likewise make no use of per-interaction intensity at the architectural</w:t>
      </w:r>
      <w:r>
        <w:t xml:space="preserve"> </w:t>
      </w:r>
      <w:r>
        <w:t xml:space="preserve">level.</w:t>
      </w:r>
    </w:p>
    <w:bookmarkEnd w:id="11"/>
    <w:bookmarkStart w:id="12" w:name="side-information-in-sequence-models."/>
    <w:p>
      <w:pPr>
        <w:pStyle w:val="Heading4"/>
      </w:pPr>
      <w:r>
        <w:t xml:space="preserve">Side information in sequence models.</w:t>
      </w:r>
    </w:p>
    <w:p>
      <w:pPr>
        <w:pStyle w:val="FirstParagraph"/>
      </w:pPr>
      <w:r>
        <w:t xml:space="preserve">FDSA </w:t>
      </w:r>
      <w:r>
        <w:t xml:space="preserve">(Zhang et al. 2019)</w:t>
      </w:r>
      <w:r>
        <w:t xml:space="preserve"> </w:t>
      </w:r>
      <w:r>
        <w:t xml:space="preserve">runs separate self-attention streams over</w:t>
      </w:r>
      <w:r>
        <w:t xml:space="preserve"> </w:t>
      </w:r>
      <w:r>
        <w:t xml:space="preserve">item identities and item-side features (category, brand, attributes)</w:t>
      </w:r>
      <w:r>
        <w:t xml:space="preserve"> </w:t>
      </w:r>
      <w:r>
        <w:t xml:space="preserve">and concatenates their outputs.</w:t>
      </w:r>
      <w:r>
        <w:t xml:space="preserve"> </w:t>
      </w:r>
      <m:oMath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-Rec </w:t>
      </w:r>
      <w:r>
        <w:t xml:space="preserve">(Zhou et al. 2020)</w:t>
      </w:r>
      <w:r>
        <w:t xml:space="preserve"> </w:t>
      </w:r>
      <w:r>
        <w:t xml:space="preserve">brings</w:t>
      </w:r>
      <w:r>
        <w:t xml:space="preserve"> </w:t>
      </w:r>
      <w:r>
        <w:t xml:space="preserve">side information in through pretraining objectives that mask</w:t>
      </w:r>
      <w:r>
        <w:t xml:space="preserve"> </w:t>
      </w:r>
      <w:r>
        <w:t xml:space="preserve">attributes, items, and segments. Both inject</w:t>
      </w:r>
      <w:r>
        <w:t xml:space="preserve"> </w:t>
      </w:r>
      <w:r>
        <w:t xml:space="preserve">item-side metadata: features that are constant across the</w:t>
      </w:r>
      <w:r>
        <w:t xml:space="preserve"> </w:t>
      </w:r>
      <w:r>
        <w:t xml:space="preserve">population for a given item. IA-SASRec instead injects an</w:t>
      </w:r>
      <w:r>
        <w:t xml:space="preserve"> </w:t>
      </w:r>
      <w:r>
        <w:t xml:space="preserve">interaction-side signal: the same item appears with different</w:t>
      </w:r>
      <w:r>
        <w:t xml:space="preserve"> </w:t>
      </w:r>
      <w:r>
        <w:t xml:space="preserve">intensities in different users’ histories, so the injected quantity</w:t>
      </w:r>
      <w:r>
        <w:t xml:space="preserve"> </w:t>
      </w:r>
      <w:r>
        <w:t xml:space="preserve">carries personalisation information that item-side features cannot.</w:t>
      </w:r>
      <w:r>
        <w:t xml:space="preserve"> </w:t>
      </w:r>
      <w:r>
        <w:t xml:space="preserve">At the loss / sampling level, weighted matrix</w:t>
      </w:r>
      <w:r>
        <w:t xml:space="preserve"> </w:t>
      </w:r>
      <w:r>
        <w:t xml:space="preserve">factorisation </w:t>
      </w:r>
      <w:r>
        <w:t xml:space="preserve">(Hu et al. 2008)</w:t>
      </w:r>
      <w:r>
        <w:t xml:space="preserve"> </w:t>
      </w:r>
      <w:r>
        <w:t xml:space="preserve">and one-class collaborative</w:t>
      </w:r>
      <w:r>
        <w:t xml:space="preserve"> </w:t>
      </w:r>
      <w:r>
        <w:t xml:space="preserve">filtering </w:t>
      </w:r>
      <w:r>
        <w:t xml:space="preserve">(Pan et al. 2008)</w:t>
      </w:r>
      <w:r>
        <w:t xml:space="preserve"> </w:t>
      </w:r>
      <w:r>
        <w:t xml:space="preserve">use interaction strength to weight</w:t>
      </w:r>
      <w:r>
        <w:t xml:space="preserve"> </w:t>
      </w:r>
      <w:r>
        <w:t xml:space="preserve">the training objective in non-sequential recommenders. Those approaches modify what is</w:t>
      </w:r>
      <w:r>
        <w:t xml:space="preserve"> </w:t>
      </w:r>
      <w:r>
        <w:t xml:space="preserve">optimised, not what the attention layer sees; IA-SASRec is a strictly</w:t>
      </w:r>
      <w:r>
        <w:t xml:space="preserve"> </w:t>
      </w:r>
      <w:r>
        <w:t xml:space="preserve">more invasive intervention.</w:t>
      </w:r>
    </w:p>
    <w:bookmarkEnd w:id="12"/>
    <w:bookmarkStart w:id="13" w:name="Xb3eee710bf17344e3ce695fc46e0a003eb91c60"/>
    <w:p>
      <w:pPr>
        <w:pStyle w:val="Heading4"/>
      </w:pPr>
      <w:r>
        <w:t xml:space="preserve">Invasive vs. decoupled side-information fusion.</w:t>
      </w:r>
    </w:p>
    <w:p>
      <w:pPr>
        <w:pStyle w:val="FirstParagraph"/>
      </w:pPr>
      <w:r>
        <w:t xml:space="preserve">A growing body of work has recognised that fusing auxiliary signals</w:t>
      </w:r>
      <w:r>
        <w:t xml:space="preserve"> </w:t>
      </w:r>
      <w:r>
        <w:t xml:space="preserve">into standard self-attention is structurally fragile.</w:t>
      </w:r>
      <w:r>
        <w:t xml:space="preserve"> </w:t>
      </w:r>
      <w:r>
        <w:t xml:space="preserve">NOVA </w:t>
      </w:r>
      <w:r>
        <w:t xml:space="preserve">(C. Liu et al. 2021)</w:t>
      </w:r>
      <w:r>
        <w:t xml:space="preserve"> </w:t>
      </w:r>
      <w:r>
        <w:t xml:space="preserve">argues explicitly against</w:t>
      </w:r>
      <w:r>
        <w:t xml:space="preserve"> </w:t>
      </w:r>
      <w:r>
        <w:t xml:space="preserve">invasive fusion: mixing side information into item embeddings</w:t>
      </w:r>
      <w:r>
        <w:t xml:space="preserve"> </w:t>
      </w:r>
      <w:r>
        <w:t xml:space="preserve">or attention logits creates semantic interference and degrades the</w:t>
      </w:r>
      <w:r>
        <w:t xml:space="preserve"> </w:t>
      </w:r>
      <w:r>
        <w:t xml:space="preserve">value path; it proposes using side information only to shape attention</w:t>
      </w:r>
      <w:r>
        <w:t xml:space="preserve"> </w:t>
      </w:r>
      <w:r>
        <w:t xml:space="preserve">weights while keeping the value matrix purely semantic.</w:t>
      </w:r>
      <w:r>
        <w:t xml:space="preserve"> </w:t>
      </w:r>
      <w:r>
        <w:t xml:space="preserve">DIF-SR </w:t>
      </w:r>
      <w:r>
        <w:t xml:space="preserve">(Y. Xie et al. 2022)</w:t>
      </w:r>
      <w:r>
        <w:t xml:space="preserve"> </w:t>
      </w:r>
      <w:r>
        <w:t xml:space="preserve">extends this critique to early fusion and</w:t>
      </w:r>
      <w:r>
        <w:t xml:space="preserve"> </w:t>
      </w:r>
      <w:r>
        <w:t xml:space="preserve">shows that auxiliary signals require their own decoupled attention</w:t>
      </w:r>
      <w:r>
        <w:t xml:space="preserve"> </w:t>
      </w:r>
      <w:r>
        <w:t xml:space="preserve">sub-spaces to be effective. CARCA </w:t>
      </w:r>
      <w:r>
        <w:t xml:space="preserve">(Rashed et al. 2022)</w:t>
      </w:r>
      <w:r>
        <w:t xml:space="preserve"> </w:t>
      </w:r>
      <w:r>
        <w:t xml:space="preserve">sidesteps</w:t>
      </w:r>
      <w:r>
        <w:t xml:space="preserve"> </w:t>
      </w:r>
      <w:r>
        <w:t xml:space="preserve">self-attention injection entirely by querying context and attribute</w:t>
      </w:r>
      <w:r>
        <w:t xml:space="preserve"> </w:t>
      </w:r>
      <w:r>
        <w:t xml:space="preserve">information through cross-attention, treating them as external</w:t>
      </w:r>
      <w:r>
        <w:t xml:space="preserve"> </w:t>
      </w:r>
      <w:r>
        <w:t xml:space="preserve">key–value pairs rather than perturbations to the causal sequence.</w:t>
      </w:r>
      <w:r>
        <w:t xml:space="preserve"> </w:t>
      </w:r>
      <w:r>
        <w:t xml:space="preserve">Dense routing alternatives reinforce the same point:</w:t>
      </w:r>
      <w:r>
        <w:t xml:space="preserve"> </w:t>
      </w:r>
      <w:r>
        <w:t xml:space="preserve">HGN </w:t>
      </w:r>
      <w:r>
        <w:t xml:space="preserve">(Ma et al. 2019)</w:t>
      </w:r>
      <w:r>
        <w:t xml:space="preserve"> </w:t>
      </w:r>
      <w:r>
        <w:t xml:space="preserve">introduces hierarchical instance and feature</w:t>
      </w:r>
      <w:r>
        <w:t xml:space="preserve"> </w:t>
      </w:r>
      <w:r>
        <w:t xml:space="preserve">gating mechanisms rather than scalar gates, and</w:t>
      </w:r>
      <w:r>
        <w:t xml:space="preserve"> </w:t>
      </w:r>
      <w:r>
        <w:t xml:space="preserve">UniSRec </w:t>
      </w:r>
      <w:r>
        <w:t xml:space="preserve">(Hou, Mu, et al. 2022)</w:t>
      </w:r>
      <w:r>
        <w:t xml:space="preserve"> </w:t>
      </w:r>
      <w:r>
        <w:t xml:space="preserve">routes heterogeneous textual features</w:t>
      </w:r>
      <w:r>
        <w:t xml:space="preserve"> </w:t>
      </w:r>
      <w:r>
        <w:t xml:space="preserve">through a mixture-of-experts blender. SSE-PT </w:t>
      </w:r>
      <w:r>
        <w:t xml:space="preserve">(Wu et al. 2020)</w:t>
      </w:r>
      <w:r>
        <w:t xml:space="preserve"> </w:t>
      </w:r>
      <w:r>
        <w:t xml:space="preserve">critiques vanilla SASRec’s lack of explicit personalisation and</w:t>
      </w:r>
      <w:r>
        <w:t xml:space="preserve"> </w:t>
      </w:r>
      <w:r>
        <w:t xml:space="preserve">injects user identity through stochastic shared embeddings.</w:t>
      </w:r>
      <w:r>
        <w:t xml:space="preserve"> </w:t>
      </w:r>
      <w:r>
        <w:t xml:space="preserve">MEANTIME </w:t>
      </w:r>
      <w:r>
        <w:t xml:space="preserve">(Cho et al. 2020)</w:t>
      </w:r>
      <w:r>
        <w:t xml:space="preserve"> </w:t>
      </w:r>
      <w:r>
        <w:t xml:space="preserve">similarly argues that a single</w:t>
      </w:r>
      <w:r>
        <w:t xml:space="preserve"> </w:t>
      </w:r>
      <w:r>
        <w:t xml:space="preserve">attention head cannot absorb heterogeneous temporal signals and</w:t>
      </w:r>
      <w:r>
        <w:t xml:space="preserve"> </w:t>
      </w:r>
      <w:r>
        <w:t xml:space="preserve">allocates separate heads to different temporal embedding types. By</w:t>
      </w:r>
      <w:r>
        <w:t xml:space="preserve"> </w:t>
      </w:r>
      <w:r>
        <w:t xml:space="preserve">construction, IA-SASRec acts as an invasive, mid-attention,</w:t>
      </w:r>
      <w:r>
        <w:t xml:space="preserve"> </w:t>
      </w:r>
      <w:r>
        <w:t xml:space="preserve">scalar-gated intervention. It sits precisely in the architectural</w:t>
      </w:r>
      <w:r>
        <w:t xml:space="preserve"> </w:t>
      </w:r>
      <w:r>
        <w:t xml:space="preserve">region this literature flags as fragile, setting up a strict</w:t>
      </w:r>
      <w:r>
        <w:t xml:space="preserve"> </w:t>
      </w:r>
      <w:r>
        <w:t xml:space="preserve">empirical test of whether a shared scalar gate can overcome the</w:t>
      </w:r>
      <w:r>
        <w:t xml:space="preserve"> </w:t>
      </w:r>
      <w:r>
        <w:t xml:space="preserve">predicted semantic interference.</w:t>
      </w:r>
    </w:p>
    <w:bookmarkEnd w:id="13"/>
    <w:bookmarkStart w:id="14" w:name="Xefd551501ddc5cb1be4bf4da0a654ee5bee7ec5"/>
    <w:p>
      <w:pPr>
        <w:pStyle w:val="Heading4"/>
      </w:pPr>
      <w:r>
        <w:t xml:space="preserve">Attention pathologies and regularization.</w:t>
      </w:r>
    </w:p>
    <w:p>
      <w:pPr>
        <w:pStyle w:val="FirstParagraph"/>
      </w:pPr>
      <w:r>
        <w:t xml:space="preserve">A parallel line of work argues that dot-product self-attention itself</w:t>
      </w:r>
      <w:r>
        <w:t xml:space="preserve"> </w:t>
      </w:r>
      <w:r>
        <w:t xml:space="preserve">is an unreliable substrate for sequential recommendation.</w:t>
      </w:r>
      <w:r>
        <w:t xml:space="preserve"> </w:t>
      </w:r>
      <w:r>
        <w:t xml:space="preserve">FMLP-Rec </w:t>
      </w:r>
      <w:r>
        <w:t xml:space="preserve">(Zhou et al. 2022)</w:t>
      </w:r>
      <w:r>
        <w:t xml:space="preserve"> </w:t>
      </w:r>
      <w:r>
        <w:t xml:space="preserve">replaces attention with a</w:t>
      </w:r>
      <w:r>
        <w:t xml:space="preserve"> </w:t>
      </w:r>
      <w:r>
        <w:t xml:space="preserve">filter-enhanced MLP to dampen frequency noise;</w:t>
      </w:r>
      <w:r>
        <w:t xml:space="preserve"> </w:t>
      </w:r>
      <w:r>
        <w:t xml:space="preserve">STOSA </w:t>
      </w:r>
      <w:r>
        <w:t xml:space="preserve">(Fan et al. 2022)</w:t>
      </w:r>
      <w:r>
        <w:t xml:space="preserve"> </w:t>
      </w:r>
      <w:r>
        <w:t xml:space="preserve">replaces point-attention with stochastic</w:t>
      </w:r>
      <w:r>
        <w:t xml:space="preserve"> </w:t>
      </w:r>
      <w:r>
        <w:t xml:space="preserve">Gaussian distributions and a Wasserstein-distance ranker;</w:t>
      </w:r>
      <w:r>
        <w:t xml:space="preserve"> </w:t>
      </w:r>
      <w:r>
        <w:t xml:space="preserve">LightSANs </w:t>
      </w:r>
      <w:r>
        <w:t xml:space="preserve">(Fan et al. 2021)</w:t>
      </w:r>
      <w:r>
        <w:t xml:space="preserve"> </w:t>
      </w:r>
      <w:r>
        <w:t xml:space="preserve">restricts attention to a low-rank</w:t>
      </w:r>
      <w:r>
        <w:t xml:space="preserve"> </w:t>
      </w:r>
      <w:r>
        <w:t xml:space="preserve">subspace to prevent the optimiser from exploiting shortcuts; and</w:t>
      </w:r>
      <w:r>
        <w:t xml:space="preserve"> </w:t>
      </w:r>
      <w:r>
        <w:t xml:space="preserve">CORE </w:t>
      </w:r>
      <w:r>
        <w:t xml:space="preserve">(Hou, Hu, et al. 2022)</w:t>
      </w:r>
      <w:r>
        <w:t xml:space="preserve"> </w:t>
      </w:r>
      <w:r>
        <w:t xml:space="preserve">diagnoses a representation inconsistency</w:t>
      </w:r>
      <w:r>
        <w:t xml:space="preserve"> </w:t>
      </w:r>
      <w:r>
        <w:t xml:space="preserve">between sequence encoding and the final dot-product ranker. A second</w:t>
      </w:r>
      <w:r>
        <w:t xml:space="preserve"> </w:t>
      </w:r>
      <w:r>
        <w:t xml:space="preserve">strand of regularization tackles representation degeneration</w:t>
      </w:r>
      <w:r>
        <w:t xml:space="preserve"> </w:t>
      </w:r>
      <w:r>
        <w:t xml:space="preserve">(embeddings collapsing into a narrow cone where small perturbations</w:t>
      </w:r>
      <w:r>
        <w:t xml:space="preserve"> </w:t>
      </w:r>
      <w:r>
        <w:t xml:space="preserve">dominate) through contrastive learning over augmented or intent-clustered</w:t>
      </w:r>
      <w:r>
        <w:t xml:space="preserve"> </w:t>
      </w:r>
      <w:r>
        <w:t xml:space="preserve">sequences </w:t>
      </w:r>
      <w:r>
        <w:t xml:space="preserve">(X. Xie et al. 2022; Qiu et al. 2022; Chen et al. 2022)</w:t>
      </w:r>
      <w:r>
        <w:t xml:space="preserve">,</w:t>
      </w:r>
      <w:r>
        <w:t xml:space="preserve"> </w:t>
      </w:r>
      <w:r>
        <w:t xml:space="preserve">or through data augmentation alone </w:t>
      </w:r>
      <w:r>
        <w:t xml:space="preserve">(Z. Liu et al. 2021)</w:t>
      </w:r>
      <w:r>
        <w:t xml:space="preserve">. These</w:t>
      </w:r>
      <w:r>
        <w:t xml:space="preserve"> </w:t>
      </w:r>
      <w:r>
        <w:t xml:space="preserve">critiques are directly relevant to the design under test: if an</w:t>
      </w:r>
      <w:r>
        <w:t xml:space="preserve"> </w:t>
      </w:r>
      <w:r>
        <w:t xml:space="preserve">invasive scalar-gated injection drives representation degeneration</w:t>
      </w:r>
      <w:r>
        <w:t xml:space="preserve"> </w:t>
      </w:r>
      <w:r>
        <w:t xml:space="preserve">of the kind this literature identifies, the optimiser can settle</w:t>
      </w:r>
      <w:r>
        <w:t xml:space="preserve"> </w:t>
      </w:r>
      <w:r>
        <w:t xml:space="preserve">into a configuration that maximises training-loss fit while damaging</w:t>
      </w:r>
      <w:r>
        <w:t xml:space="preserve"> </w:t>
      </w:r>
      <w:r>
        <w:t xml:space="preserve">held-out generalisation, and a global scalar gate provides no</w:t>
      </w:r>
      <w:r>
        <w:t xml:space="preserve"> </w:t>
      </w:r>
      <w:r>
        <w:t xml:space="preserve">gradient path back out.</w:t>
      </w:r>
    </w:p>
    <w:bookmarkEnd w:id="14"/>
    <w:bookmarkStart w:id="15" w:name="X7f0cfe612701e85bc8acc5606e3fc9b31842212"/>
    <w:p>
      <w:pPr>
        <w:pStyle w:val="Heading4"/>
      </w:pPr>
      <w:r>
        <w:t xml:space="preserve">Reproducibility and benchmarking critiques.</w:t>
      </w:r>
    </w:p>
    <w:p>
      <w:pPr>
        <w:pStyle w:val="FirstParagraph"/>
      </w:pPr>
      <w:r>
        <w:t xml:space="preserve">Prior reproducibility critiques </w:t>
      </w:r>
      <w:r>
        <w:t xml:space="preserve">(Ferrari Dacrema et al. 2019; Sun et al. 2020)</w:t>
      </w:r>
      <w:r>
        <w:t xml:space="preserve"> </w:t>
      </w:r>
      <w:r>
        <w:t xml:space="preserve">have shown that many neural recommender models do not beat well-tuned</w:t>
      </w:r>
      <w:r>
        <w:t xml:space="preserve"> </w:t>
      </w:r>
      <w:r>
        <w:t xml:space="preserve">classical baselines </w:t>
      </w:r>
      <w:r>
        <w:t xml:space="preserve">(Rendle et al. 2020)</w:t>
      </w:r>
      <w:r>
        <w:t xml:space="preserve"> </w:t>
      </w:r>
      <w:r>
        <w:t xml:space="preserve">once the protocol is fixed across methods, and that single-seed</w:t>
      </w:r>
      <w:r>
        <w:t xml:space="preserve"> </w:t>
      </w:r>
      <w:r>
        <w:t xml:space="preserve">reporting lets small effects survive significance testing on one seed</w:t>
      </w:r>
      <w:r>
        <w:t xml:space="preserve"> </w:t>
      </w:r>
      <w:r>
        <w:t xml:space="preserve">only to disappear on the next. Sampled top-</w:t>
      </w:r>
      <m:oMath>
        <m:r>
          <m:t>k</m:t>
        </m:r>
      </m:oMath>
      <w:r>
        <w:t xml:space="preserve"> </w:t>
      </w:r>
      <w:r>
        <w:t xml:space="preserve">metrics misrank</w:t>
      </w:r>
      <w:r>
        <w:t xml:space="preserve"> </w:t>
      </w:r>
      <w:r>
        <w:t xml:space="preserve">methods systematically relative to full-vocabulary</w:t>
      </w:r>
      <w:r>
        <w:t xml:space="preserve"> </w:t>
      </w:r>
      <w:r>
        <w:t xml:space="preserve">scoring </w:t>
      </w:r>
      <w:r>
        <w:t xml:space="preserve">(Krichene and Rendle 2020)</w:t>
      </w:r>
      <w:r>
        <w:t xml:space="preserve">, and even widely cited baselines</w:t>
      </w:r>
      <w:r>
        <w:t xml:space="preserve"> </w:t>
      </w:r>
      <w:r>
        <w:t xml:space="preserve">such as BERT4Rec </w:t>
      </w:r>
      <w:r>
        <w:t xml:space="preserve">(Sun et al. 2019)</w:t>
      </w:r>
      <w:r>
        <w:t xml:space="preserve"> </w:t>
      </w:r>
      <w:r>
        <w:t xml:space="preserve">are sensitive to implementation</w:t>
      </w:r>
      <w:r>
        <w:t xml:space="preserve"> </w:t>
      </w:r>
      <w:r>
        <w:t xml:space="preserve">choices that go unreported in the original publications </w:t>
      </w:r>
      <w:r>
        <w:t xml:space="preserve">(Petrov and Macdonald 2022)</w:t>
      </w:r>
      <w:r>
        <w:t xml:space="preserve">.</w:t>
      </w:r>
      <w:r>
        <w:t xml:space="preserve"> </w:t>
      </w:r>
      <w:r>
        <w:t xml:space="preserve">Our dual-criterion significance protocol is designed against exactly</w:t>
      </w:r>
      <w:r>
        <w:t xml:space="preserve"> </w:t>
      </w:r>
      <w:r>
        <w:t xml:space="preserve">these failure modes: it requires both a seed-level paired</w:t>
      </w:r>
      <w:r>
        <w:t xml:space="preserve"> </w:t>
      </w:r>
      <m:oMath>
        <m:r>
          <m:t>t</m:t>
        </m:r>
      </m:oMath>
      <w:r>
        <w:t xml:space="preserve">-test</w:t>
      </w:r>
      <w:r>
        <w:t xml:space="preserve"> </w:t>
      </w:r>
      <w:r>
        <w:t xml:space="preserve">and a per-user paired bootstrap to reject, with a per-seed sign-majority</w:t>
      </w:r>
      <w:r>
        <w:t xml:space="preserve"> </w:t>
      </w:r>
      <w:r>
        <w:t xml:space="preserve">guarding against single-seed dominance, and we score against the full</w:t>
      </w:r>
      <w:r>
        <w:t xml:space="preserve"> </w:t>
      </w:r>
      <w:r>
        <w:t xml:space="preserve">item vocabulary rather than a random negative pool. The IA-SASRec-Add</w:t>
      </w:r>
      <w:r>
        <w:t xml:space="preserve"> </w:t>
      </w:r>
      <w:r>
        <w:t xml:space="preserve">Amazon-Office MRR@10</w:t>
      </w:r>
      <w:r>
        <w:t xml:space="preserve"> </w:t>
      </w:r>
      <w:r>
        <w:t xml:space="preserve">“win”</w:t>
      </w:r>
      <w:r>
        <w:t xml:space="preserve"> </w:t>
      </w:r>
      <w:r>
        <w:t xml:space="preserve">we observe is a textbook example of the</w:t>
      </w:r>
      <w:r>
        <w:t xml:space="preserve"> </w:t>
      </w:r>
      <w:r>
        <w:t xml:space="preserve">failure mode this protocol catches.</w:t>
      </w:r>
    </w:p>
    <w:bookmarkEnd w:id="15"/>
    <w:bookmarkEnd w:id="16"/>
    <w:bookmarkStart w:id="25" w:name="sec:method"/>
    <w:p>
      <w:pPr>
        <w:pStyle w:val="Heading1"/>
      </w:pPr>
      <w:r>
        <w:t xml:space="preserve">IA-SASRec: Intensity-Aware Self-Attention</w:t>
      </w:r>
    </w:p>
    <w:bookmarkStart w:id="17" w:name="sec:method:background"/>
    <w:p>
      <w:pPr>
        <w:pStyle w:val="Heading2"/>
      </w:pPr>
      <w:r>
        <w:t xml:space="preserve">Background: SASRec attention</w:t>
      </w:r>
    </w:p>
    <w:p>
      <w:pPr>
        <w:pStyle w:val="FirstParagraph"/>
      </w:pPr>
      <w:r>
        <w:t xml:space="preserve">SASRec </w:t>
      </w:r>
      <w:r>
        <w:t xml:space="preserve">(Kang and McAuley 2018)</w:t>
      </w:r>
      <w:r>
        <w:t xml:space="preserve"> </w:t>
      </w:r>
      <w:r>
        <w:t xml:space="preserve">encodes a user’s left-padded history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(sequence length</w:t>
      </w:r>
      <w:r>
        <w:t xml:space="preserve"> </w:t>
      </w:r>
      <m:oMath>
        <m:r>
          <m:t>T</m:t>
        </m:r>
      </m:oMath>
      <w:r>
        <w:t xml:space="preserve">) as embeddings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T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, where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embedding dimension.</w:t>
      </w:r>
      <w:r>
        <w:t xml:space="preserve"> </w:t>
      </w:r>
      <w:r>
        <w:t xml:space="preserve">Each transformer block projects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to queries, keys, and values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T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, and computes scaled dot-product</w:t>
      </w:r>
      <w:r>
        <w:t xml:space="preserve"> </w:t>
      </w:r>
      <w:r>
        <w:t xml:space="preserve">self-attention with a causal mask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∞</m:t>
        </m:r>
        <m:sSup>
          <m:e>
            <m:r>
              <m:rPr>
                <m:sty m:val="p"/>
              </m:rPr>
              <m:t>}</m:t>
            </m:r>
          </m:e>
          <m:sup>
            <m:r>
              <m:t>T</m:t>
            </m:r>
            <m:r>
              <m:rPr>
                <m:sty m:val="p"/>
              </m:rPr>
              <m:t>×</m:t>
            </m:r>
            <m:r>
              <m:t>T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M</m:t>
              </m:r>
            </m:e>
          </m:d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Only an item’s identity (via the embedding lookup) and its position (via the</w:t>
      </w:r>
      <w:r>
        <w:t xml:space="preserve"> </w:t>
      </w:r>
      <w:r>
        <w:t xml:space="preserve">positional embedding) enter equation </w:t>
      </w:r>
      <w:hyperlink w:anchor="eq:sasrec">
        <w:r>
          <w:rPr>
            <w:rStyle w:val="Hyperlink"/>
          </w:rPr>
          <w:t xml:space="preserve">[eq:sasrec]</w:t>
        </w:r>
      </w:hyperlink>
      <w:r>
        <w:t xml:space="preserve">; the</w:t>
      </w:r>
      <w:r>
        <w:t xml:space="preserve"> </w:t>
      </w:r>
      <w:r>
        <w:t xml:space="preserve">strength of each interaction (a 5-star rating, hours played,</w:t>
      </w:r>
      <w:r>
        <w:t xml:space="preserve"> </w:t>
      </w:r>
      <w:r>
        <w:t xml:space="preserve">or dwell time) is not used. IA-SASRec re-introduces that signal.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be the per-position intensity vector for the</w:t>
      </w:r>
      <w:r>
        <w:t xml:space="preserve"> </w:t>
      </w:r>
      <w:r>
        <w:t xml:space="preserve">user’s history (after the normalisation step described below). Define</w:t>
      </w:r>
      <w:r>
        <w:t xml:space="preserve"> </w:t>
      </w:r>
      <w:r>
        <w:t xml:space="preserve">the intensity matrix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T</m:t>
            </m:r>
            <m:r>
              <m:rPr>
                <m:sty m:val="p"/>
              </m:rPr>
              <m:t>×</m:t>
            </m:r>
            <m:r>
              <m:t>T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  <m:r>
          <m:rPr>
            <m:sty m:val="p"/>
          </m:rPr>
          <m:t>[</m:t>
        </m:r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 broadcasting intensity along the key axis,</w:t>
      </w:r>
      <w:r>
        <w:t xml:space="preserve"> </w:t>
      </w:r>
      <w:r>
        <w:t xml:space="preserve">which is the axis the softmax normalises.</w:t>
      </w:r>
    </w:p>
    <w:bookmarkEnd w:id="17"/>
    <w:bookmarkStart w:id="21" w:name="sec:method:variants"/>
    <w:p>
      <w:pPr>
        <w:pStyle w:val="Heading2"/>
      </w:pPr>
      <w:r>
        <w:t xml:space="preserve">Three injection points</w:t>
      </w:r>
    </w:p>
    <w:p>
      <w:pPr>
        <w:pStyle w:val="FirstParagraph"/>
      </w:pPr>
      <w:r>
        <w:t xml:space="preserve">The attention expression </w:t>
      </w:r>
      <w:hyperlink w:anchor="eq:sasrec">
        <w:r>
          <w:rPr>
            <w:rStyle w:val="Hyperlink"/>
          </w:rPr>
          <w:t xml:space="preserve">[eq:sasrec]</w:t>
        </w:r>
      </w:hyperlink>
      <w:r>
        <w:t xml:space="preserve"> </w:t>
      </w:r>
      <w:r>
        <w:t xml:space="preserve">has three algebraic positions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can be threaded in: as a pre-softmax additive bias, as a</w:t>
      </w:r>
      <w:r>
        <w:t xml:space="preserve"> </w:t>
      </w:r>
      <w:r>
        <w:t xml:space="preserve">pre-softmax multiplicative scale, or as a post-softmax attention reweighting.</w:t>
      </w:r>
      <w:r>
        <w:t xml:space="preserve"> </w:t>
      </w:r>
      <w:r>
        <w:t xml:space="preserve">We instantiate all three. Each adds one learnable scalar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per attention layer, initialised to</w:t>
      </w:r>
      <w:r>
        <w:t xml:space="preserve"> </w:t>
      </w:r>
      <m:oMath>
        <m:r>
          <m:t>1.0</m:t>
        </m:r>
      </m:oMath>
      <w:r>
        <w:t xml:space="preserve">, so</w:t>
      </w:r>
      <w:r>
        <w:t xml:space="preserve"> </w:t>
      </w:r>
      <w:r>
        <w:t xml:space="preserve">that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collapses the variant exactly to</w:t>
      </w:r>
      <w:r>
        <w:t xml:space="preserve"> </w:t>
      </w:r>
      <w:r>
        <w:t xml:space="preserve">SASRec </w:t>
      </w:r>
      <w:hyperlink w:anchor="eq:sasrec">
        <w:r>
          <w:rPr>
            <w:rStyle w:val="Hyperlink"/>
          </w:rPr>
          <w:t xml:space="preserve">[eq:sasrec]</w:t>
        </w:r>
      </w:hyperlink>
      <w:r>
        <w:t xml:space="preserve">. This learnable gate is the central design</w:t>
      </w:r>
      <w:r>
        <w:t xml:space="preserve"> </w:t>
      </w:r>
      <w:r>
        <w:t xml:space="preserve">discipline of IA-SASRec.</w:t>
      </w:r>
    </w:p>
    <w:bookmarkStart w:id="18" w:name="ia-sasrec-add-additive-logit-bias."/>
    <w:p>
      <w:pPr>
        <w:pStyle w:val="Heading4"/>
      </w:pPr>
      <w:r>
        <w:t xml:space="preserve">IA-SASRec-Add (additive logit bias).</w:t>
      </w:r>
    </w:p>
    <w:p>
      <w:pPr>
        <w:pStyle w:val="FirstParagraph"/>
      </w:pPr>
      <w:r>
        <w:t xml:space="preserve">Intensity enters as an explicit bias on the raw attention logits: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λ</m:t>
              </m:r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</m:e>
          </m:d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high-intensity key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inflates column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logit matrix and is</w:t>
      </w:r>
      <w:r>
        <w:t xml:space="preserve"> </w:t>
      </w:r>
      <w:r>
        <w:t xml:space="preserve">forced to receive large attention probability, irrespective of semantic</w:t>
      </w:r>
      <w:r>
        <w:t xml:space="preserve"> </w:t>
      </w:r>
      <w:r>
        <w:t xml:space="preserve">similarity to the query. As</w:t>
      </w:r>
      <w:r>
        <w:t xml:space="preserve">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the variant approaches</w:t>
      </w:r>
      <w:r>
        <w:t xml:space="preserve"> </w:t>
      </w:r>
      <w:r>
        <w:t xml:space="preserve">a hard intensity-argmax.</w:t>
      </w:r>
    </w:p>
    <w:bookmarkEnd w:id="18"/>
    <w:bookmarkStart w:id="19" w:name="Xb880d8e5362f83dba97286be667414dbdf06317"/>
    <w:p>
      <w:pPr>
        <w:pStyle w:val="Heading4"/>
      </w:pPr>
      <w:r>
        <w:t xml:space="preserve">IA-SASRec-Mul (multiplicative logit scaling).</w:t>
      </w:r>
    </w:p>
    <w:p>
      <w:pPr>
        <w:pStyle w:val="FirstParagraph"/>
      </w:pPr>
      <w:r>
        <w:t xml:space="preserve">Instead of an additive bias, the semantic similarity itself is scaled</w:t>
      </w:r>
      <w:r>
        <w:t xml:space="preserve"> </w:t>
      </w:r>
      <w:r>
        <w:t xml:space="preserve">by intensity: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(</m:t>
              </m:r>
              <m:r>
                <m:t>&amp;</m:t>
              </m:r>
              <m:f>
                <m:fPr>
                  <m:type m:val="lin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</m:den>
              </m:f>
              <m:r>
                <m:rPr>
                  <m:sty m:val="p"/>
                </m:rPr>
                <m:t>⊙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t>​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element-wise. The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parameterisation interpolates</w:t>
      </w:r>
      <w:r>
        <w:t xml:space="preserve"> </w:t>
      </w:r>
      <w:r>
        <w:t xml:space="preserve">between two endpoints: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multiplier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variant collapses to SASRec;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multiplier is exactly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 recovering the original hard-gatekeeper formulation. The causal</w:t>
      </w:r>
      <w:r>
        <w:t xml:space="preserve"> </w:t>
      </w:r>
      <w:r>
        <w:t xml:space="preserve">mask is added after scaling so padded keys remain 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bookmarkEnd w:id="19"/>
    <w:bookmarkStart w:id="20" w:name="Xb99ee0b613df34005ddc9e07991b960f95858df"/>
    <w:p>
      <w:pPr>
        <w:pStyle w:val="Heading4"/>
      </w:pPr>
      <w:r>
        <w:t xml:space="preserve">IA-SASRec-Val (post-softmax attention reweighting).</w:t>
      </w:r>
    </w:p>
    <w:p>
      <w:pPr>
        <w:pStyle w:val="FirstParagraph"/>
      </w:pPr>
      <w:r>
        <w:t xml:space="preserve">The standard softmax computes the attention distribution; intensity then</w:t>
      </w:r>
      <w:r>
        <w:t xml:space="preserve"> </w:t>
      </w:r>
      <w:r>
        <w:t xml:space="preserve">reweights each key position’s attention probability before the value</w:t>
      </w:r>
      <w:r>
        <w:t xml:space="preserve"> </w:t>
      </w:r>
      <w:r>
        <w:t xml:space="preserve">mix. Equivalently, since the factor depends only on</w:t>
      </w:r>
      <w:r>
        <w:t xml:space="preserve"> </w:t>
      </w:r>
      <m:oMath>
        <m:r>
          <m:t>k</m:t>
        </m:r>
      </m:oMath>
      <w:r>
        <w:t xml:space="preserve">, this is</w:t>
      </w:r>
      <w:r>
        <w:t xml:space="preserve"> </w:t>
      </w:r>
      <w:r>
        <w:t xml:space="preserve">algebraically identical to pre-scaling each value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by its</w:t>
      </w:r>
      <w:r>
        <w:t xml:space="preserve"> </w:t>
      </w:r>
      <w:r>
        <w:t xml:space="preserve">intensity: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⊙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λ</m:t>
            </m:r>
            <m:r>
              <m:rPr>
                <m:sty m:val="p"/>
              </m:rPr>
              <m:t>(</m:t>
            </m:r>
            <m:sSub>
              <m:e>
                <m:r>
                  <m:t>M</m:t>
                </m:r>
              </m:e>
              <m:sub>
                <m:r>
                  <m:t>W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 </m:t>
        </m:r>
        <m:r>
          <m:t>V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λ</m:t>
            </m:r>
          </m:sub>
        </m:sSub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Hence the name</w:t>
      </w:r>
      <w:r>
        <w:t xml:space="preserve"> </w:t>
      </w:r>
      <w:r>
        <w:rPr>
          <w:i/>
          <w:iCs/>
        </w:rPr>
        <w:t xml:space="preserve">Val</w:t>
      </w:r>
      <w:r>
        <w:t xml:space="preserve">: the operation acts at the value-mixing stage of attention.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 </m:t>
              </m:r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Q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d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⊙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]</m:t>
              </m:r>
              <m:r>
                <m:t> 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Unlike Mul, which acts on raw logits and can be diluted by the</w:t>
      </w:r>
      <w:r>
        <w:t xml:space="preserve"> </w:t>
      </w:r>
      <w:r>
        <w:t xml:space="preserve">softmax normalisation, Val acts directly on the attention</w:t>
      </w:r>
      <w:r>
        <w:t xml:space="preserve"> </w:t>
      </w:r>
      <w:r>
        <w:t xml:space="preserve">probabilities that mix the values. We deliberately do not renormalise</w:t>
      </w:r>
      <w:r>
        <w:t xml:space="preserve"> </w:t>
      </w:r>
      <w:r>
        <w:t xml:space="preserve">the reweighted distribution: any magnitude inflation introduced by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absorbed by the post-attention layer</w:t>
      </w:r>
      <w:r>
        <w:t xml:space="preserve"> </w:t>
      </w:r>
      <w:r>
        <w:t xml:space="preserve">normalisation </w:t>
      </w:r>
      <w:r>
        <w:t xml:space="preserve">(Ba et al. 2016)</w:t>
      </w:r>
      <w:r>
        <w:t xml:space="preserve"> </w:t>
      </w:r>
      <w:r>
        <w:t xml:space="preserve">in the residual block, while the</w:t>
      </w:r>
      <w:r>
        <w:t xml:space="preserve"> </w:t>
      </w:r>
      <w:r>
        <w:t xml:space="preserve">intensity-driven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change in the output vector — the</w:t>
      </w:r>
      <w:r>
        <w:t xml:space="preserve"> </w:t>
      </w:r>
      <w:r>
        <w:t xml:space="preserve">part that actually re-ranks candidates — passes through unaffected.</w:t>
      </w:r>
    </w:p>
    <w:p>
      <w:pPr>
        <w:pStyle w:val="BodyText"/>
      </w:pPr>
      <w:r>
        <w:t xml:space="preserve">Equation </w:t>
      </w:r>
      <w:hyperlink w:anchor="eq:val">
        <w:r>
          <w:rPr>
            <w:rStyle w:val="Hyperlink"/>
          </w:rPr>
          <w:t xml:space="preserve">[eq:val]</w:t>
        </w:r>
      </w:hyperlink>
      <w:r>
        <w:t xml:space="preserve"> </w:t>
      </w:r>
      <w:r>
        <w:t xml:space="preserve">is a breaking change from a previous formulation</w:t>
      </w:r>
      <w:r>
        <w:t xml:space="preserve"> </w:t>
      </w:r>
      <w:r>
        <w:t xml:space="preserve">of Val, which multiplied the post-attention context by</w:t>
      </w:r>
      <w:r>
        <w:t xml:space="preserve"> </w:t>
      </w:r>
      <w:r>
        <w:t xml:space="preserve">query-position intensity. At prediction time only the last query is</w:t>
      </w:r>
      <w:r>
        <w:t xml:space="preserve"> </w:t>
      </w:r>
      <w:r>
        <w:t xml:space="preserve">read out, so every candidate score was rescaled by the same constant</w:t>
      </w:r>
      <w:r>
        <w:t xml:space="preserve"> </w:t>
      </w:r>
      <w:r>
        <w:t xml:space="preserve">and the ranking was identical to vanilla SASRec: the variant could</w:t>
      </w:r>
      <w:r>
        <w:t xml:space="preserve"> </w:t>
      </w:r>
      <w:r>
        <w:t xml:space="preserve">not reorder candidates and is not a meaningful test of intensity</w:t>
      </w:r>
      <w:r>
        <w:t xml:space="preserve"> </w:t>
      </w:r>
      <w:r>
        <w:t xml:space="preserve">injection.</w:t>
      </w:r>
    </w:p>
    <w:bookmarkEnd w:id="20"/>
    <w:bookmarkEnd w:id="21"/>
    <w:bookmarkStart w:id="22" w:name="sec:method:escape"/>
    <w:p>
      <w:pPr>
        <w:pStyle w:val="Heading2"/>
      </w:pPr>
      <w:r>
        <w:t xml:space="preserve">The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fallback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each variant equals SASRec bit-for-bit (verified by</w:t>
      </w:r>
      <w:r>
        <w:t xml:space="preserve"> </w:t>
      </w:r>
      <w:r>
        <w:t xml:space="preserve">unit tests on the attention math). A fair learner that finds intensity</w:t>
      </w:r>
      <w:r>
        <w:t xml:space="preserve"> </w:t>
      </w:r>
      <w:r>
        <w:t xml:space="preserve">not informative should therefore drive</w:t>
      </w:r>
      <w:r>
        <w:t xml:space="preserve"> </w:t>
      </w:r>
      <m:oMath>
        <m:r>
          <m:t>λ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 recover the</w:t>
      </w:r>
      <w:r>
        <w:t xml:space="preserve"> </w:t>
      </w:r>
      <w:r>
        <w:t xml:space="preserve">baseline. This is the load-bearing prediction we test empirically: if</w:t>
      </w:r>
      <w:r>
        <w:t xml:space="preserve"> </w:t>
      </w:r>
      <w:r>
        <w:t xml:space="preserve">the fallback holds, learned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should be small wherever IA-SASRec fails to improve over SASRec, and</w:t>
      </w:r>
      <w:r>
        <w:t xml:space="preserve"> </w:t>
      </w:r>
      <w:r>
        <w:t xml:space="preserve">large only where it helps.</w:t>
      </w:r>
    </w:p>
    <w:bookmarkEnd w:id="22"/>
    <w:bookmarkStart w:id="23" w:name="sec:method:norm"/>
    <w:p>
      <w:pPr>
        <w:pStyle w:val="Heading2"/>
      </w:pPr>
      <w:r>
        <w:t xml:space="preserve">Intensity normalisation</w:t>
      </w:r>
    </w:p>
    <w:p>
      <w:pPr>
        <w:pStyle w:val="FirstParagraph"/>
      </w:pPr>
      <w:r>
        <w:t xml:space="preserve">Raw intensities are heterogeneous: Steam hours range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1000</m:t>
        </m:r>
        <m:r>
          <m:rPr>
            <m:sty m:val="p"/>
          </m:rPr>
          <m:t>+</m:t>
        </m:r>
      </m:oMath>
      <w:r>
        <w:t xml:space="preserve">, while ratings live in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. Feeding raw values</w:t>
      </w:r>
      <w:r>
        <w:t xml:space="preserve"> </w:t>
      </w:r>
      <w:r>
        <w:t xml:space="preserve">through a softmax causes severe value collapse, so normalisation is</w:t>
      </w:r>
      <w:r>
        <w:t xml:space="preserve"> </w:t>
      </w:r>
      <w:r>
        <w:t xml:space="preserve">essential rather than cosmetic. We expose four modes as a single</w:t>
      </w:r>
      <w:r>
        <w:t xml:space="preserve"> </w:t>
      </w:r>
      <w:r>
        <w:t xml:space="preserve">hyperparameter</w:t>
      </w:r>
      <w:r>
        <w:t xml:space="preserve"> </w:t>
      </w:r>
      <w:r>
        <w:rPr>
          <w:rStyle w:val="VerbatimChar"/>
        </w:rPr>
        <w:t xml:space="preserve">intensity_norm</w:t>
      </w:r>
      <w:r>
        <w:t xml:space="preserve"> </w:t>
      </w:r>
      <w:r>
        <w:t xml:space="preserve">selected by Optuna </w:t>
      </w:r>
      <w:r>
        <w:t xml:space="preserve">(Akiba et al. 2019)</w:t>
      </w:r>
      <w:r>
        <w:t xml:space="preserve">:</w:t>
      </w:r>
      <w:r>
        <w:t xml:space="preserve"> </w:t>
      </w:r>
      <w:r>
        <w:rPr>
          <w:rStyle w:val="VerbatimChar"/>
        </w:rPr>
        <w:t xml:space="preserve">log1p_minmax</w:t>
      </w:r>
      <w:r>
        <w:t xml:space="preserve"> </w:t>
      </w:r>
      <w:r>
        <w:t xml:space="preserve">(default; per-user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then divide by</w:t>
      </w:r>
      <w:r>
        <w:t xml:space="preserve"> </w:t>
      </w:r>
      <w:r>
        <w:t xml:space="preserve">the masked max),</w:t>
      </w:r>
      <w:r>
        <w:t xml:space="preserve"> </w:t>
      </w:r>
      <w:r>
        <w:rPr>
          <w:rStyle w:val="VerbatimChar"/>
        </w:rPr>
        <w:t xml:space="preserve">minmax</w:t>
      </w:r>
      <w:r>
        <w:t xml:space="preserve"> </w:t>
      </w:r>
      <w:r>
        <w:t xml:space="preserve">(per-user with a floor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so</w:t>
      </w:r>
      <w:r>
        <w:t xml:space="preserve"> </w:t>
      </w:r>
      <w:r>
        <w:t xml:space="preserve">the weakest real signal stays distinguishable from padding),</w:t>
      </w:r>
      <w:r>
        <w:t xml:space="preserve"> </w:t>
      </w:r>
      <w:r>
        <w:rPr>
          <w:rStyle w:val="VerbatimChar"/>
        </w:rPr>
        <w:t xml:space="preserve">zscore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(sanity-check ablation). The floor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non-cosmetic: without it the least-intense real item maps to</w:t>
      </w:r>
      <w:r>
        <w:t xml:space="preserve"> </w:t>
      </w:r>
      <w:r>
        <w:t xml:space="preserve">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becomes indistinguishable from padding, silently</w:t>
      </w:r>
      <w:r>
        <w:t xml:space="preserve"> </w:t>
      </w:r>
      <w:r>
        <w:t xml:space="preserve">discarding one interaction per sequence in Mul and Val. After every</w:t>
      </w:r>
      <w:r>
        <w:t xml:space="preserve"> </w:t>
      </w:r>
      <w:r>
        <w:t xml:space="preserve">mode, padding positions are forcibly zeroed.</w:t>
      </w:r>
    </w:p>
    <w:bookmarkEnd w:id="23"/>
    <w:bookmarkStart w:id="24" w:name="sec:method:cost"/>
    <w:p>
      <w:pPr>
        <w:pStyle w:val="Heading2"/>
      </w:pPr>
      <w:r>
        <w:t xml:space="preserve">Parameter cost</w:t>
      </w:r>
    </w:p>
    <w:p>
      <w:pPr>
        <w:pStyle w:val="FirstParagraph"/>
      </w:pPr>
      <w:r>
        <w:t xml:space="preserve">Each variant adds exactly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learnable scalars</w:t>
      </w:r>
      <w:r>
        <w:t xml:space="preserve"> </w:t>
      </w:r>
      <w:r>
        <w:t xml:space="preserve">total (</w:t>
      </w:r>
      <m:oMath>
        <m:r>
          <m:t>2</m:t>
        </m:r>
      </m:oMath>
      <w:r>
        <w:t xml:space="preserve">–</w:t>
      </w:r>
      <m:oMath>
        <m:r>
          <m:t>3</m:t>
        </m:r>
      </m:oMath>
      <w:r>
        <w:t xml:space="preserve"> </w:t>
      </w:r>
      <w:r>
        <w:t xml:space="preserve">in our configurations), strictly less than any</w:t>
      </w:r>
      <w:r>
        <w:t xml:space="preserve"> </w:t>
      </w:r>
      <w:r>
        <w:t xml:space="preserve">prior side-information injection. Table </w:t>
      </w:r>
      <w:hyperlink w:anchor="tab:variants">
        <w:r>
          <w:rPr>
            <w:rStyle w:val="Hyperlink"/>
          </w:rPr>
          <w:t xml:space="preserve">[tab:variants]</w:t>
        </w:r>
      </w:hyperlink>
      <w:r>
        <w:t xml:space="preserve"> </w:t>
      </w:r>
      <w:r>
        <w:t xml:space="preserve">summarises</w:t>
      </w:r>
      <w:r>
        <w:t xml:space="preserve"> </w:t>
      </w:r>
      <w:r>
        <w:t xml:space="preserve">the three formulations.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d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t> 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e>
              </m:d>
              <m:r>
                <m:t>​</m:t>
              </m:r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d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⊙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e>
              </m:d>
              <m:r>
                <m:t>​</m:t>
              </m:r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x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Q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d</m:t>
                              </m:r>
                            </m:e>
                          </m:rad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</m:e>
                  </m:d>
                  <m:r>
                    <m:rPr>
                      <m:sty m:val="p"/>
                    </m:rPr>
                    <m:t>⊙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V</m:t>
              </m:r>
            </m:oMath>
          </w:p>
        </w:tc>
      </w:tr>
    </w:tbl>
    <w:bookmarkEnd w:id="24"/>
    <w:bookmarkEnd w:id="25"/>
    <w:bookmarkStart w:id="30" w:name="sec:setup"/>
    <w:p>
      <w:pPr>
        <w:pStyle w:val="Heading1"/>
      </w:pPr>
      <w:r>
        <w:t xml:space="preserve">Experimental Setup</w:t>
      </w:r>
    </w:p>
    <w:bookmarkStart w:id="26" w:name="sec:setup:data"/>
    <w:p>
      <w:pPr>
        <w:pStyle w:val="Heading2"/>
      </w:pPr>
      <w:r>
        <w:t xml:space="preserve">Datasets</w:t>
      </w:r>
    </w:p>
    <w:p>
      <w:pPr>
        <w:pStyle w:val="FirstParagraph"/>
      </w:pPr>
      <w:r>
        <w:t xml:space="preserve">Table </w:t>
      </w:r>
      <w:hyperlink w:anchor="tab:datasets">
        <w:r>
          <w:rPr>
            <w:rStyle w:val="Hyperlink"/>
          </w:rPr>
          <w:t xml:space="preserve">[tab:datasets]</w:t>
        </w:r>
      </w:hyperlink>
      <w:r>
        <w:t xml:space="preserve"> </w:t>
      </w:r>
      <w:r>
        <w:t xml:space="preserve">lists the seven datasets used. They are</w:t>
      </w:r>
      <w:r>
        <w:t xml:space="preserve"> </w:t>
      </w:r>
      <w:r>
        <w:t xml:space="preserve">chosen to span two regimes of intensity signal: discrete,</w:t>
      </w:r>
      <w:r>
        <w:t xml:space="preserve"> </w:t>
      </w:r>
      <w:r>
        <w:t xml:space="preserve">low-entropy explicit ratings (</w:t>
      </w:r>
      <m:oMath>
        <m:r>
          <m:t>1</m:t>
        </m:r>
      </m:oMath>
      <w:r>
        <w:t xml:space="preserve">–</w:t>
      </w:r>
      <m:oMath>
        <m:r>
          <m:t>5</m:t>
        </m:r>
      </m:oMath>
      <w:r>
        <w:t xml:space="preserve">) on MovieLens-100K and</w:t>
      </w:r>
      <w:r>
        <w:t xml:space="preserve"> </w:t>
      </w:r>
      <w:r>
        <w:t xml:space="preserve">MovieLens-1M </w:t>
      </w:r>
      <w:r>
        <w:t xml:space="preserve">(Harper and Konstan 2015)</w:t>
      </w:r>
      <w:r>
        <w:t xml:space="preserve">,</w:t>
      </w:r>
      <w:r>
        <w:t xml:space="preserve"> </w:t>
      </w:r>
      <w:r>
        <w:t xml:space="preserve">Amazon Digital Music 5-core and Amazon Office Products 5-core </w:t>
      </w:r>
      <w:r>
        <w:t xml:space="preserve">(McAuley et al. 2015; He and McAuley 2016)</w:t>
      </w:r>
      <w:r>
        <w:t xml:space="preserve">;</w:t>
      </w:r>
      <w:r>
        <w:t xml:space="preserve"> </w:t>
      </w:r>
      <w:r>
        <w:t xml:space="preserve">and continuous, heavy-tailed implicit hours-played on three Steam</w:t>
      </w:r>
      <w:r>
        <w:t xml:space="preserve"> </w:t>
      </w:r>
      <w:r>
        <w:t xml:space="preserve">Reviews subsamples </w:t>
      </w:r>
      <w:r>
        <w:t xml:space="preserve">(Pathak et al. 2017; Wan and McAuley 2018)</w:t>
      </w:r>
      <w:r>
        <w:t xml:space="preserve"> </w:t>
      </w:r>
      <w:r>
        <w:t xml:space="preserve">(</w:t>
      </w:r>
      <m:oMath>
        <m:r>
          <m:t>3</m:t>
        </m:r>
      </m:oMath>
      <w:r>
        <w:t xml:space="preserve">k,</w:t>
      </w:r>
      <w:r>
        <w:t xml:space="preserve"> </w:t>
      </w:r>
      <m:oMath>
        <m:r>
          <m:t>8</m:t>
        </m:r>
      </m:oMath>
      <w:r>
        <w:t xml:space="preserve">k,</w:t>
      </w:r>
      <w:r>
        <w:t xml:space="preserve"> </w:t>
      </w:r>
      <m:oMath>
        <m:r>
          <m:t>15</m:t>
        </m:r>
      </m:oMath>
      <w:r>
        <w:t xml:space="preserve">k users; fixed seed 2020). All</w:t>
      </w:r>
      <w:r>
        <w:t xml:space="preserve"> </w:t>
      </w:r>
      <w:r>
        <w:t xml:space="preserve">datasets are 5-core filtered (</w:t>
      </w:r>
      <m:oMath>
        <m:r>
          <m:rPr>
            <m:sty m:val="p"/>
          </m:rPr>
          <m:t>|</m:t>
        </m:r>
        <m:sSub>
          <m:e>
            <m:r>
              <m:rPr>
                <m:nor/>
                <m:sty m:val="p"/>
              </m:rPr>
              <m:t>interactions</m:t>
            </m:r>
          </m:e>
          <m:sub>
            <m:r>
              <m:t>u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,</m:t>
        </m:r>
        <m:r>
          <m:rPr>
            <m:sty m:val="p"/>
          </m:rPr>
          <m:t>|</m:t>
        </m:r>
        <m:sSub>
          <m:e>
            <m:r>
              <m:rPr>
                <m:nor/>
                <m:sty m:val="p"/>
              </m:rPr>
              <m:t>interactions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t>5</m:t>
        </m:r>
      </m:oMath>
      <w:r>
        <w:t xml:space="preserve">).</w:t>
      </w:r>
      <w:r>
        <w:t xml:space="preserve"> </w:t>
      </w:r>
      <w:r>
        <w:t xml:space="preserve">The split is per-user chronological leave-one-out: the latest interaction</w:t>
      </w:r>
      <w:r>
        <w:t xml:space="preserve"> </w:t>
      </w:r>
      <w:r>
        <w:t xml:space="preserve">forms the test target, the second-latest is held out as validation, the</w:t>
      </w:r>
      <w:r>
        <w:t xml:space="preserve"> </w:t>
      </w:r>
      <w:r>
        <w:t xml:space="preserve">remainder is training.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U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V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ML-100K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1–5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1–5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Amazon-Music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1–5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Amazon-Office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1–5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Steam-3k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played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Steam-8k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played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Steam-15k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187,004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played</w:t>
            </w:r>
          </w:p>
        </w:tc>
      </w:tr>
    </w:tbl>
    <w:bookmarkEnd w:id="26"/>
    <w:bookmarkStart w:id="27" w:name="sec:setup:hpo"/>
    <w:p>
      <w:pPr>
        <w:pStyle w:val="Heading2"/>
      </w:pPr>
      <w:r>
        <w:t xml:space="preserve">Training and hyperparameter optimisation</w:t>
      </w:r>
    </w:p>
    <w:p>
      <w:pPr>
        <w:pStyle w:val="FirstParagraph"/>
      </w:pPr>
      <w:r>
        <w:t xml:space="preserve">Every (dataset, model) pair receives an identical hyperparameter budget:</w:t>
      </w:r>
      <w:r>
        <w:t xml:space="preserve"> </w:t>
      </w:r>
      <m:oMath>
        <m:r>
          <m:t>25</m:t>
        </m:r>
      </m:oMath>
      <w:r>
        <w:t xml:space="preserve"> </w:t>
      </w:r>
      <w:r>
        <w:t xml:space="preserve">Optuna </w:t>
      </w:r>
      <w:r>
        <w:t xml:space="preserve">(Akiba et al. 2019)</w:t>
      </w:r>
      <w:r>
        <w:t xml:space="preserve"> </w:t>
      </w:r>
      <w:r>
        <w:t xml:space="preserve">trials with the TPE sampler,</w:t>
      </w:r>
      <w:r>
        <w:t xml:space="preserve"> </w:t>
      </w:r>
      <w:r>
        <w:t xml:space="preserve">optimising validation NDCG@10 with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epochs per trial (short HPO).</w:t>
      </w:r>
      <w:r>
        <w:t xml:space="preserve"> </w:t>
      </w:r>
      <w:r>
        <w:t xml:space="preserve">The search space for SASRec and the three IA-SASRec variants is the</w:t>
      </w:r>
      <w:r>
        <w:t xml:space="preserve"> </w:t>
      </w:r>
      <w:r>
        <w:t xml:space="preserve">same on the SASRec hyperparameters (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_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z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_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z</m:t>
        </m:r>
        <m:r>
          <m:rPr>
            <m:sty m:val="p"/>
          </m:rPr>
          <m:t>e</m:t>
        </m:r>
      </m:oMath>
      <w:r>
        <w:t xml:space="preserve">,</w:t>
      </w:r>
      <w:r>
        <w:t xml:space="preserve"> </w:t>
      </w:r>
      <w:r>
        <w:t xml:space="preserve">dropouts, learning rate), with one extra categorical for IA-SASRec</w:t>
      </w:r>
      <w:r>
        <w:t xml:space="preserve"> </w:t>
      </w:r>
      <w:r>
        <w:t xml:space="preserve">selecting</w:t>
      </w:r>
      <w:r>
        <w:t xml:space="preserve"> </w:t>
      </w:r>
      <m:oMath>
        <m:r>
          <m:rPr>
            <m:nor/>
            <m:scr m:val="monospace"/>
            <m:sty m:val="p"/>
          </m:rPr>
          <m:t>intensity_norm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cr m:val="monospace"/>
            <m:sty m:val="p"/>
          </m:rPr>
          <m:t>log1p_minmax</m:t>
        </m:r>
        <m:r>
          <m:rPr>
            <m:sty m:val="p"/>
          </m:rPr>
          <m:t>,</m:t>
        </m:r>
        <m:r>
          <m:rPr>
            <m:nor/>
            <m:scr m:val="monospace"/>
            <m:sty m:val="p"/>
          </m:rPr>
          <m:t>minmax</m:t>
        </m:r>
        <m:r>
          <m:rPr>
            <m:sty m:val="p"/>
          </m:rPr>
          <m:t>,</m:t>
        </m:r>
        <m:r>
          <m:rPr>
            <m:nor/>
            <m:scr m:val="monospace"/>
            <m:sty m:val="p"/>
          </m:rPr>
          <m:t>zscore</m:t>
        </m:r>
        <m:r>
          <m:rPr>
            <m:sty m:val="p"/>
          </m:rPr>
          <m:t>,</m:t>
        </m:r>
        <m:r>
          <m:rPr>
            <m:nor/>
            <m:scr m:val="monospace"/>
            <m:sty m:val="p"/>
          </m:rPr>
          <m:t>none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learnable</w:t>
      </w:r>
      <w:r>
        <w:t xml:space="preserve"> </w:t>
      </w:r>
      <m:oMath>
        <m:r>
          <m:t>λ</m:t>
        </m:r>
      </m:oMath>
      <w:r>
        <w:t xml:space="preserve">’s are model parameters, not hyperparameters.</w:t>
      </w:r>
      <w:r>
        <w:t xml:space="preserve"> </w:t>
      </w:r>
      <w:r>
        <w:t xml:space="preserve">The final fit uses each model’s HPO-best configuration, trains for up</w:t>
      </w:r>
      <w:r>
        <w:t xml:space="preserve"> </w:t>
      </w:r>
      <w:r>
        <w:t xml:space="preserve">to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epochs with early stopping on validation NDCG@10 (patience</w:t>
      </w:r>
      <w:r>
        <w:t xml:space="preserve"> </w:t>
      </w:r>
      <m:oMath>
        <m:r>
          <m:t>5</m:t>
        </m:r>
      </m:oMath>
      <w:r>
        <w:t xml:space="preserve">),</w:t>
      </w:r>
      <w:r>
        <w:t xml:space="preserve"> </w:t>
      </w:r>
      <w:r>
        <w:t xml:space="preserve">and is repeated across five seeds.</w:t>
      </w:r>
      <w:r>
        <w:t xml:space="preserve"> </w:t>
      </w:r>
      <w:r>
        <w:t xml:space="preserve">Test metrics come from a single pass using the best-on-validation</w:t>
      </w:r>
      <w:r>
        <w:t xml:space="preserve"> </w:t>
      </w:r>
      <w:r>
        <w:t xml:space="preserve">checkpoint; validation data is never folded back into training.</w:t>
      </w:r>
    </w:p>
    <w:p>
      <w:pPr>
        <w:pStyle w:val="BodyText"/>
      </w:pPr>
      <w:r>
        <w:t xml:space="preserve">This protocol gives the IA-SASRec variants strictly more</w:t>
      </w:r>
      <w:r>
        <w:t xml:space="preserve"> </w:t>
      </w:r>
      <w:r>
        <w:t xml:space="preserve">hyperparameter freedom than SASRec (one extra categorical at no extra</w:t>
      </w:r>
      <w:r>
        <w:t xml:space="preserve"> </w:t>
      </w:r>
      <w:r>
        <w:t xml:space="preserve">trial cost), and identical training budget per seed. Under this</w:t>
      </w:r>
      <w:r>
        <w:t xml:space="preserve"> </w:t>
      </w:r>
      <w:r>
        <w:t xml:space="preserve">protocol, an under-tuning explanation would require a configuration</w:t>
      </w:r>
      <w:r>
        <w:t xml:space="preserve"> </w:t>
      </w:r>
      <w:r>
        <w:t xml:space="preserve">outside the shared search space.</w:t>
      </w:r>
    </w:p>
    <w:bookmarkEnd w:id="27"/>
    <w:bookmarkStart w:id="28" w:name="sec:setup:eval"/>
    <w:p>
      <w:pPr>
        <w:pStyle w:val="Heading2"/>
      </w:pPr>
      <w:r>
        <w:t xml:space="preserve">Evaluation: dual-criterion significance with a per-seed stability check</w:t>
      </w:r>
    </w:p>
    <w:p>
      <w:pPr>
        <w:pStyle w:val="FirstParagraph"/>
      </w:pPr>
      <w:r>
        <w:t xml:space="preserve">We report NDCG@10, Recall@10, and MRR@10 at the standard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sequential-recommendation cutoff </w:t>
      </w:r>
      <w:r>
        <w:t xml:space="preserve">(Kang and McAuley 2018; Sun et al. 2019)</w:t>
      </w:r>
      <w:r>
        <w:t xml:space="preserve">.</w:t>
      </w:r>
      <w:r>
        <w:t xml:space="preserve"> </w:t>
      </w:r>
      <w:r>
        <w:t xml:space="preserve">Under our leave-one-out full-ranking protocol — exactly one held-out</w:t>
      </w:r>
      <w:r>
        <w:t xml:space="preserve"> </w:t>
      </w:r>
      <w:r>
        <w:t xml:space="preserve">positive per user, ranked against the full item catalogue — Hit@K</w:t>
      </w:r>
      <w:r>
        <w:t xml:space="preserve"> </w:t>
      </w:r>
      <w:r>
        <w:t xml:space="preserve">coincides with Recall@K and Precision@K equals Recall@K</w:t>
      </w:r>
      <m:oMath>
        <m:r>
          <m:rPr>
            <m:sty m:val="p"/>
          </m:rPr>
          <m:t>/</m:t>
        </m:r>
        <m:r>
          <m:t>K</m:t>
        </m:r>
      </m:oMath>
      <w:r>
        <w:t xml:space="preserve">, so the</w:t>
      </w:r>
      <w:r>
        <w:t xml:space="preserve"> </w:t>
      </w:r>
      <w:r>
        <w:t xml:space="preserve">three metrics we report are the non-redundant trio (set-membership,</w:t>
      </w:r>
      <w:r>
        <w:t xml:space="preserve"> </w:t>
      </w:r>
      <w:r>
        <w:t xml:space="preserve">reciprocal rank, log-discounted rank); Hit and Precision are computed</w:t>
      </w:r>
      <w:r>
        <w:t xml:space="preserve"> </w:t>
      </w:r>
      <w:r>
        <w:t xml:space="preserve">but omitted as they carry no information beyond Recall.</w:t>
      </w:r>
    </w:p>
    <w:p>
      <w:pPr>
        <w:pStyle w:val="BodyText"/>
      </w:pPr>
      <w:r>
        <w:t xml:space="preserve">A standard single-seed table is underpowered for small effect sizes:</w:t>
      </w:r>
      <w:r>
        <w:t xml:space="preserve"> </w:t>
      </w:r>
      <w:r>
        <w:t xml:space="preserve">training stochasticity and test-population sampling are both large at</w:t>
      </w:r>
      <w:r>
        <w:t xml:space="preserve"> </w:t>
      </w:r>
      <w:r>
        <w:t xml:space="preserve">the scale of these datasets </w:t>
      </w:r>
      <w:r>
        <w:t xml:space="preserve">(Ferrari Dacrema et al. 2019; Sun et al. 2020)</w:t>
      </w:r>
      <w:r>
        <w:t xml:space="preserve">. We</w:t>
      </w:r>
      <w:r>
        <w:t xml:space="preserve"> </w:t>
      </w:r>
      <w:r>
        <w:t xml:space="preserve">report a metric difference as robust only when two independent</w:t>
      </w:r>
      <w:r>
        <w:t xml:space="preserve"> </w:t>
      </w:r>
      <w:r>
        <w:t xml:space="preserve">hypothesis tests, each sensitive to a different source of variance,</w:t>
      </w:r>
      <w:r>
        <w:t xml:space="preserve"> </w:t>
      </w:r>
      <w:r>
        <w:t xml:space="preserve">both reject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and a per-seed stability check</w:t>
      </w:r>
      <w:r>
        <w:t xml:space="preserve"> </w:t>
      </w:r>
      <w:r>
        <w:t xml:space="preserve">confirms that the per-user test is not dominated by a single seed:</w:t>
      </w:r>
    </w:p>
    <w:p>
      <w:pPr>
        <w:numPr>
          <w:ilvl w:val="0"/>
          <w:numId w:val="1002"/>
        </w:numPr>
      </w:pPr>
      <w:r>
        <w:t xml:space="preserve">Seed-level paired</w:t>
      </w:r>
      <w:r>
        <w:t xml:space="preserve"> </w:t>
      </w:r>
      <m:oMath>
        <m:r>
          <m:t>t</m:t>
        </m:r>
      </m:oMath>
      <w:r>
        <w:t xml:space="preserve">-test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per-seed</w:t>
      </w:r>
      <w:r>
        <w:t xml:space="preserve"> </w:t>
      </w:r>
      <w:r>
        <w:t xml:space="preserve">test metrics (</w:t>
      </w:r>
      <m:oMath>
        <m:r>
          <m:rPr>
            <m:sty m:val="p"/>
          </m:rPr>
          <m:t>d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4</m:t>
        </m:r>
      </m:oMath>
      <w:r>
        <w:t xml:space="preserve">, two-sided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). Unit of</w:t>
      </w:r>
      <w:r>
        <w:t xml:space="preserve"> </w:t>
      </w:r>
      <w:r>
        <w:t xml:space="preserve">variation: random training seed. Pairing is by seed so the same</w:t>
      </w:r>
      <w:r>
        <w:t xml:space="preserve"> </w:t>
      </w:r>
      <w:r>
        <w:t xml:space="preserve">data split sits on both sides of the comparison.</w:t>
      </w:r>
    </w:p>
    <w:p>
      <w:pPr>
        <w:numPr>
          <w:ilvl w:val="0"/>
          <w:numId w:val="1002"/>
        </w:numPr>
      </w:pPr>
      <w:r>
        <w:t xml:space="preserve">Per-user paired bootstrap </w:t>
      </w:r>
      <w:r>
        <w:t xml:space="preserve">(Efron and Tibshirani 1993)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resamples)</w:t>
      </w:r>
      <w:r>
        <w:t xml:space="preserve"> </w:t>
      </w:r>
      <w:r>
        <w:t xml:space="preserve">on aligned per-user metric differences pooled across seeds, with</w:t>
      </w:r>
      <w:r>
        <w:t xml:space="preserve"> </w:t>
      </w:r>
      <w:r>
        <w:t xml:space="preserve">percentile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CI and two-sided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sty m:val="p"/>
          </m:rPr>
          <m:t>Pr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rPr>
            <m:sty m:val="p"/>
          </m:rPr>
          <m:t>Pr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≥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floored at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B</m:t>
        </m:r>
      </m:oMath>
      <w:r>
        <w:t xml:space="preserve">. Unit of variation: test user.</w:t>
      </w:r>
    </w:p>
    <w:p>
      <w:pPr>
        <w:numPr>
          <w:ilvl w:val="0"/>
          <w:numId w:val="1002"/>
        </w:numPr>
      </w:pPr>
      <w:r>
        <w:t xml:space="preserve">Per-seed CI sign-agreement majority: a stability</w:t>
      </w:r>
      <w:r>
        <w:t xml:space="preserve"> </w:t>
      </w:r>
      <w:r>
        <w:t xml:space="preserve">check, not an independent hypothesis test. We re-run the bootstrap</w:t>
      </w:r>
      <w:r>
        <w:t xml:space="preserve"> </w:t>
      </w:r>
      <w:r>
        <w:t xml:space="preserve">of (ii) independently within each seed and require</w:t>
      </w:r>
      <w:r>
        <w:t xml:space="preserve"> </w:t>
      </w:r>
      <m:oMath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per-seed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CIs to sit entirely on the same side of zero. This</w:t>
      </w:r>
      <w:r>
        <w:t xml:space="preserve"> </w:t>
      </w:r>
      <w:r>
        <w:t xml:space="preserve">guards against (ii) being driven by a single lucky seed.</w:t>
      </w:r>
    </w:p>
    <w:p>
      <w:pPr>
        <w:pStyle w:val="FirstParagraph"/>
      </w:pPr>
      <w:r>
        <w:t xml:space="preserve">Cells in our main results table are bolded only when (i) and (ii) both</w:t>
      </w:r>
      <w:r>
        <w:t xml:space="preserve"> </w:t>
      </w:r>
      <w:r>
        <w:t xml:space="preserve">reject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and the stability check holds. For</w:t>
      </w:r>
      <w:r>
        <w:t xml:space="preserve"> </w:t>
      </w:r>
      <w:r>
        <w:t xml:space="preserve">full-vocabulary scoring rather than sampled top-</w:t>
      </w:r>
      <m:oMath>
        <m:r>
          <m:t>k</m:t>
        </m:r>
      </m:oMath>
      <w:r>
        <w:t xml:space="preserve">, see the cautions</w:t>
      </w:r>
      <w:r>
        <w:t xml:space="preserve"> </w:t>
      </w:r>
      <w:r>
        <w:t xml:space="preserve">in </w:t>
      </w:r>
      <w:r>
        <w:t xml:space="preserve">(Krichene and Rendle 2020)</w:t>
      </w:r>
      <w:r>
        <w:t xml:space="preserve">.</w:t>
      </w:r>
    </w:p>
    <w:bookmarkEnd w:id="28"/>
    <w:bookmarkStart w:id="29" w:name="sec:setup:repro"/>
    <w:p>
      <w:pPr>
        <w:pStyle w:val="Heading2"/>
      </w:pPr>
      <w:r>
        <w:t xml:space="preserve">Implementation and reproducibility</w:t>
      </w:r>
    </w:p>
    <w:p>
      <w:pPr>
        <w:pStyle w:val="FirstParagraph"/>
      </w:pPr>
      <w:r>
        <w:t xml:space="preserve">The model is built on top of RecBole </w:t>
      </w:r>
      <w:r>
        <w:t xml:space="preserve">(Zhao et al. 2021)</w:t>
      </w:r>
      <w:r>
        <w:t xml:space="preserve"> </w:t>
      </w:r>
      <w:r>
        <w:t xml:space="preserve">(PyTorch </w:t>
      </w:r>
      <w:r>
        <w:t xml:space="preserve">(Paszke et al. 2019)</w:t>
      </w:r>
      <w:r>
        <w:t xml:space="preserve"> </w:t>
      </w:r>
      <w:r>
        <w:t xml:space="preserve">back-end), with an</w:t>
      </w:r>
      <w:r>
        <w:t xml:space="preserve"> </w:t>
      </w:r>
      <w:r>
        <w:t xml:space="preserve">additional intensity column threaded through the shared data pipeline</w:t>
      </w:r>
      <w:r>
        <w:t xml:space="preserve"> </w:t>
      </w:r>
      <w:r>
        <w:t xml:space="preserve">so that baselines and intensity-aware variants run on identical inputs.</w:t>
      </w:r>
      <w:r>
        <w:t xml:space="preserve"> </w:t>
      </w:r>
      <w:r>
        <w:t xml:space="preserve">All artefacts needed to reproduce the analysis (code, checkpoints,</w:t>
      </w:r>
      <w:r>
        <w:t xml:space="preserve"> </w:t>
      </w:r>
      <w:r>
        <w:t xml:space="preserve">per-seed evaluation outputs, and per-user metric tables) are released</w:t>
      </w:r>
      <w:r>
        <w:t xml:space="preserve"> </w:t>
      </w:r>
      <w:r>
        <w:t xml:space="preserve">alongside the paper.</w:t>
      </w:r>
    </w:p>
    <w:bookmarkEnd w:id="29"/>
    <w:bookmarkEnd w:id="30"/>
    <w:bookmarkStart w:id="38" w:name="sec:results"/>
    <w:p>
      <w:pPr>
        <w:pStyle w:val="Heading1"/>
      </w:pPr>
      <w:r>
        <w:t xml:space="preserve">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IA-SASRec-Add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IA-SASRec-Mul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IA-SASRec-Val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2-4</w:t>
            </w:r>
            <w:r>
              <w:t xml:space="preserve"> </w:t>
            </w:r>
            <w:r>
              <w:t xml:space="preserve">(lr)</w:t>
            </w:r>
            <w:r>
              <w:t xml:space="preserve">5-7</w:t>
            </w:r>
            <w:r>
              <w:t xml:space="preserve"> </w:t>
            </w:r>
            <w:r>
              <w:t xml:space="preserve">(lr)</w:t>
            </w:r>
            <w:r>
              <w:t xml:space="preserve">8-10</w:t>
            </w:r>
            <w:r>
              <w:t xml:space="preserve"> </w:t>
            </w:r>
            <w:r>
              <w:t xml:space="preserve">Dataset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NDCG@10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Recall@10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MRR@10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NDCG@10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Recall@10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MRR@10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NDCG@10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Recall@10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MRR@10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ML-100K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-5.4%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-6.1%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-8.2%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ML-1M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Amazon-Music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-3.9%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+1.8%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-2.7%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-2.9%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-2.6%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Amazon-Office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+3.6%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+0.9%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-2.3%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-6.1%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+1.9%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Steam-3k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-6.9%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-7.8%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-6.1%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-9.5%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-7.6%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-10.7%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-8.9%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Steam-8k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Steam-15k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-5.0%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-4.5%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-5.7%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-6.2%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-5.1%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-7.3%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Table </w:t>
      </w:r>
      <w:hyperlink w:anchor="tab:main_results">
        <w:r>
          <w:rPr>
            <w:rStyle w:val="Hyperlink"/>
          </w:rPr>
          <w:t xml:space="preserve">[tab:main_results]</w:t>
        </w:r>
      </w:hyperlink>
      <w:r>
        <w:t xml:space="preserve"> </w:t>
      </w:r>
      <w:r>
        <w:t xml:space="preserve">reports the relative change in</w:t>
      </w:r>
      <w:r>
        <w:t xml:space="preserve"> </w:t>
      </w:r>
      <w:r>
        <w:t xml:space="preserve">NDCG@10, Recall@10, and MRR@10 of each IA-SASRec variant against</w:t>
      </w:r>
      <w:r>
        <w:t xml:space="preserve"> </w:t>
      </w:r>
      <w:r>
        <w:t xml:space="preserve">the SASRec baseline, paired by seed. Stars indicate paired-</w:t>
      </w:r>
      <m:oMath>
        <m:r>
          <m:t>t</m:t>
        </m:r>
      </m:oMath>
      <w:r>
        <w:t xml:space="preserve"> </w:t>
      </w:r>
      <w:r>
        <w:t xml:space="preserve">significance; cells in bold are robust under the dual-criterion</w:t>
      </w:r>
      <w:r>
        <w:t xml:space="preserve"> </w:t>
      </w:r>
      <w:r>
        <w:t xml:space="preserve">protocol described in the previous section (paired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per-user</w:t>
      </w:r>
      <w:r>
        <w:t xml:space="preserve"> </w:t>
      </w:r>
      <w:r>
        <w:t xml:space="preserve">bootstrap both reject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with the per-seed</w:t>
      </w:r>
      <w:r>
        <w:t xml:space="preserve"> </w:t>
      </w:r>
      <w:r>
        <w:t xml:space="preserve">sign-majority stability check holding).</w:t>
      </w:r>
      <w:r>
        <w:t xml:space="preserve"> </w:t>
      </w:r>
      <w:r>
        <w:t xml:space="preserve">Figure </w:t>
      </w:r>
      <w:hyperlink w:anchor="fig:fores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per-user paired bootstrap CIs for</w:t>
      </w:r>
      <w:r>
        <w:t xml:space="preserve"> </w:t>
      </w:r>
      <w:r>
        <w:t xml:space="preserve">NDCG@10 across every (dataset, variant) pair: nearly every</w:t>
      </w:r>
      <w:r>
        <w:t xml:space="preserve"> </w:t>
      </w:r>
      <w:r>
        <w:t xml:space="preserve">confidence interval either crosses zero or sits to its left.</w:t>
      </w:r>
    </w:p>
    <w:bookmarkStart w:id="34" w:name="fig:forest"/>
    <w:p>
      <w:pPr>
        <w:pStyle w:val="CaptionedFigure"/>
      </w:pPr>
      <w:r>
        <w:drawing>
          <wp:inline>
            <wp:extent cx="5334000" cy="593725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ures/forest_ndcg10.pdf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3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Per-user paired bootstrap (</w:t>
      </w:r>
      <m:oMath>
        <m:r>
          <m:t>B</m:t>
        </m:r>
        <m:r>
          <m:rPr>
            <m:sty m:val="p"/>
          </m:rPr>
          <m:t>=</m:t>
        </m:r>
        <m:r>
          <m:t>2000</m:t>
        </m:r>
      </m:oMath>
      <w:r>
        <w:t xml:space="preserve">) on aligned NDCG@10 differences vs SASRec, pooled across five seeds. Each row is one (dataset, variant) cell; centre = mean per-user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, whiskers = 95% percentile CI. Red rows have CI entirely below zero; green rows entirely above; grey rows cross zero. No robust positive cell exists for NDCG@10.</w:t>
      </w:r>
    </w:p>
    <w:bookmarkEnd w:id="34"/>
    <w:p>
      <w:pPr>
        <w:pStyle w:val="BodyText"/>
      </w:pPr>
      <w:r>
        <w:t xml:space="preserve">The headline is that across</w:t>
      </w:r>
      <w:r>
        <w:t xml:space="preserve"> </w:t>
      </w:r>
      <m:oMath>
        <m:r>
          <m:t>63</m:t>
        </m:r>
      </m:oMath>
      <w:r>
        <w:t xml:space="preserve"> </w:t>
      </w:r>
      <w:r>
        <w:t xml:space="preserve">tested cells (</w:t>
      </w:r>
      <m:oMath>
        <m:r>
          <m:t>7</m:t>
        </m:r>
      </m:oMath>
      <w:r>
        <w:t xml:space="preserve"> </w:t>
      </w:r>
      <w:r>
        <w:t xml:space="preserve">datasets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t>3</m:t>
        </m:r>
      </m:oMath>
      <w:r>
        <w:t xml:space="preserve"> </w:t>
      </w:r>
      <w:r>
        <w:t xml:space="preserve">variants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t>3</m:t>
        </m:r>
      </m:oMath>
      <w:r>
        <w:t xml:space="preserve"> </w:t>
      </w:r>
      <w:r>
        <w:t xml:space="preserve">metrics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), no positive cell</w:t>
      </w:r>
      <w:r>
        <w:t xml:space="preserve"> </w:t>
      </w:r>
      <w:r>
        <w:t xml:space="preserve">survives the dual-criterion test with the per-seed stability check.</w:t>
      </w:r>
      <w:r>
        <w:t xml:space="preserve"> </w:t>
      </w:r>
      <w:r>
        <w:t xml:space="preserve">Every robust cell is a significant degradation. Extending the same</w:t>
      </w:r>
      <w:r>
        <w:t xml:space="preserve"> </w:t>
      </w:r>
      <w:r>
        <w:t xml:space="preserve">dual-criterion test to deeper cutoffs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 </w:t>
      </w:r>
      <w:r>
        <w:t xml:space="preserve">for the</w:t>
      </w:r>
      <w:r>
        <w:t xml:space="preserve"> </w:t>
      </w:r>
      <w:r>
        <w:t xml:space="preserve">same metric trio adds</w:t>
      </w:r>
      <w:r>
        <w:t xml:space="preserve"> </w:t>
      </w:r>
      <m:oMath>
        <m:r>
          <m:t>189</m:t>
        </m:r>
      </m:oMath>
      <w:r>
        <w:t xml:space="preserve"> </w:t>
      </w:r>
      <w:r>
        <w:t xml:space="preserve">further cells,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of which robustly reject</w:t>
      </w:r>
      <w:r>
        <w:t xml:space="preserve"> </w:t>
      </w:r>
      <w:r>
        <w:t xml:space="preserve">positively; the null verdict is not an artefact of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choice. We unpack the pattern dataset</w:t>
      </w:r>
      <w:r>
        <w:t xml:space="preserve"> </w:t>
      </w:r>
      <w:r>
        <w:t xml:space="preserve">by dataset.</w:t>
      </w:r>
    </w:p>
    <w:bookmarkStart w:id="35" w:name="movielens-ml-100k-ml-1m."/>
    <w:p>
      <w:pPr>
        <w:pStyle w:val="Heading4"/>
      </w:pPr>
      <w:r>
        <w:t xml:space="preserve">MovieLens (ML-100K, ML-1M).</w:t>
      </w:r>
    </w:p>
    <w:p>
      <w:pPr>
        <w:pStyle w:val="FirstParagraph"/>
      </w:pPr>
      <w:r>
        <w:t xml:space="preserve">Every cell is non-significant under paired-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ML-100K shows numerically large drops (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13</m:t>
        </m:r>
        <m:r>
          <m:rPr>
            <m:sty m:val="p"/>
          </m:rPr>
          <m:t>%</m:t>
        </m:r>
      </m:oMath>
      <w:r>
        <w:t xml:space="preserve">) but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seeds and the small per-user counts of a</w:t>
      </w:r>
      <w:r>
        <w:t xml:space="preserve"> </w:t>
      </w:r>
      <m:oMath>
        <m:r>
          <m:t>943</m:t>
        </m:r>
      </m:oMath>
      <w:r>
        <w:t xml:space="preserve">-user dataset</w:t>
      </w:r>
      <w:r>
        <w:t xml:space="preserve"> </w:t>
      </w:r>
      <w:r>
        <w:t xml:space="preserve">the paired-</w:t>
      </w:r>
      <m:oMath>
        <m:r>
          <m:t>t</m:t>
        </m:r>
      </m:oMath>
      <w:r>
        <w:t xml:space="preserve"> </w:t>
      </w:r>
      <w:r>
        <w:t xml:space="preserve">cannot reject. ML-1M is essentially flat:</w:t>
      </w:r>
      <w:r>
        <w:t xml:space="preserve"> </w:t>
      </w:r>
      <m:oMath>
        <m:r>
          <m:rPr>
            <m:sty m:val="p"/>
          </m:rPr>
          <m:t>−</m:t>
        </m:r>
        <m:r>
          <m:t>0.9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1.7</m:t>
        </m:r>
        <m:r>
          <m:rPr>
            <m:sty m:val="p"/>
          </m:rPr>
          <m:t>%</m:t>
        </m:r>
      </m:oMath>
      <w:r>
        <w:t xml:space="preserve"> </w:t>
      </w:r>
      <w:r>
        <w:t xml:space="preserve">relative change across all nine cells. Bounded discrete</w:t>
      </w:r>
      <w:r>
        <w:t xml:space="preserve"> </w:t>
      </w:r>
      <w:r>
        <w:t xml:space="preserve">rating intensity does nothing measurable, neither helping nor robustly</w:t>
      </w:r>
      <w:r>
        <w:t xml:space="preserve"> </w:t>
      </w:r>
      <w:r>
        <w:t xml:space="preserve">hurting, consistent with the prior assumption that rating-as-side-signal</w:t>
      </w:r>
      <w:r>
        <w:t xml:space="preserve"> </w:t>
      </w:r>
      <w:r>
        <w:t xml:space="preserve">is information-poor.</w:t>
      </w:r>
    </w:p>
    <w:bookmarkEnd w:id="35"/>
    <w:bookmarkStart w:id="36" w:name="amazon-digital-music-office-products."/>
    <w:p>
      <w:pPr>
        <w:pStyle w:val="Heading4"/>
      </w:pPr>
      <w:r>
        <w:t xml:space="preserve">Amazon (Digital Music, Office Products).</w:t>
      </w:r>
    </w:p>
    <w:p>
      <w:pPr>
        <w:pStyle w:val="FirstParagraph"/>
      </w:pPr>
      <w:r>
        <w:t xml:space="preserve">Mixed and small. The single positive paired-</w:t>
      </w:r>
      <m:oMath>
        <m:r>
          <m:t>t</m:t>
        </m:r>
      </m:oMath>
      <w:r>
        <w:t xml:space="preserve"> </w:t>
      </w:r>
      <w:r>
        <w:t xml:space="preserve">cell in the entire</w:t>
      </w:r>
      <w:r>
        <w:t xml:space="preserve"> </w:t>
      </w:r>
      <w:r>
        <w:t xml:space="preserve">campaign (IA-SASRec-Add on Amazon-Office MRR@10,</w:t>
      </w:r>
      <w:r>
        <w:t xml:space="preserve"> </w:t>
      </w:r>
      <m:oMath>
        <m:r>
          <m:rPr>
            <m:sty m:val="p"/>
          </m:rPr>
          <m:t>+</m:t>
        </m:r>
        <m:r>
          <m:t>3.6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0.025</m:t>
        </m:r>
      </m:oMath>
      <w:r>
        <w:t xml:space="preserve">) is exactly what a single-seed protocol would publish</w:t>
      </w:r>
      <w:r>
        <w:t xml:space="preserve"> </w:t>
      </w:r>
      <w:r>
        <w:t xml:space="preserve">as a win. Under our dual-criterion test with the per-seed stability check it does not survive: the per-user</w:t>
      </w:r>
      <w:r>
        <w:t xml:space="preserve"> </w:t>
      </w:r>
      <w:r>
        <w:t xml:space="preserve">bootstrap or the per-seed sign majority fails, and the same</w:t>
      </w:r>
      <w:r>
        <w:t xml:space="preserve"> </w:t>
      </w:r>
      <w:r>
        <w:t xml:space="preserve">configuration is non-significant on NDCG@10 (</w:t>
      </w:r>
      <m:oMath>
        <m:r>
          <m:rPr>
            <m:sty m:val="p"/>
          </m:rPr>
          <m:t>+</m:t>
        </m:r>
        <m:r>
          <m:t>2.5</m:t>
        </m:r>
        <m:r>
          <m:rPr>
            <m:sty m:val="p"/>
          </m:rPr>
          <m:t>%</m:t>
        </m:r>
      </m:oMath>
      <w:r>
        <w:t xml:space="preserve">) and Recall@10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1.4</m:t>
        </m:r>
        <m:r>
          <m:rPr>
            <m:sty m:val="p"/>
          </m:rPr>
          <m:t>%</m:t>
        </m:r>
      </m:oMath>
      <w:r>
        <w:t xml:space="preserve">). Mul on Amazon-Music degrades NDCG@10 (</w:t>
      </w:r>
      <m:oMath>
        <m:r>
          <m:rPr>
            <m:sty m:val="p"/>
          </m:rPr>
          <m:t>−</m:t>
        </m:r>
        <m:r>
          <m:t>2.7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0.012</m:t>
        </m:r>
      </m:oMath>
      <w:r>
        <w:t xml:space="preserve">)</w:t>
      </w:r>
      <w:r>
        <w:t xml:space="preserve"> </w:t>
      </w:r>
      <w:r>
        <w:t xml:space="preserve">and Recall@10 (</w:t>
      </w:r>
      <m:oMath>
        <m:r>
          <m:rPr>
            <m:sty m:val="p"/>
          </m:rPr>
          <m:t>−</m:t>
        </m:r>
        <m:r>
          <m:t>2.9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0.021</m:t>
        </m:r>
      </m:oMath>
      <w:r>
        <w:t xml:space="preserve">); Val on Amazon-Office degrades</w:t>
      </w:r>
      <w:r>
        <w:t xml:space="preserve"> </w:t>
      </w:r>
      <w:r>
        <w:t xml:space="preserve">Recall@10 robustly (</w:t>
      </w:r>
      <m:oMath>
        <m:r>
          <m:rPr>
            <m:sty m:val="p"/>
          </m:rPr>
          <m:t>−</m:t>
        </m:r>
        <m:r>
          <m:t>6.1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, bold in</w:t>
      </w:r>
      <w:r>
        <w:t xml:space="preserve"> </w:t>
      </w:r>
      <w:r>
        <w:t xml:space="preserve">Table </w:t>
      </w:r>
      <w:hyperlink w:anchor="tab:main_results">
        <w:r>
          <w:rPr>
            <w:rStyle w:val="Hyperlink"/>
          </w:rPr>
          <w:t xml:space="preserve">[tab:main_results]</w:t>
        </w:r>
      </w:hyperlink>
      <w:r>
        <w:t xml:space="preserve">). The Amazon cluster shows the value of</w:t>
      </w:r>
      <w:r>
        <w:t xml:space="preserve"> </w:t>
      </w:r>
      <w:r>
        <w:t xml:space="preserve">a dual-criterion protocol with a stability check: it suppresses exactly the cell that would</w:t>
      </w:r>
      <w:r>
        <w:t xml:space="preserve"> </w:t>
      </w:r>
      <w:r>
        <w:t xml:space="preserve">otherwise be the headline win.</w:t>
      </w:r>
    </w:p>
    <w:bookmarkEnd w:id="36"/>
    <w:bookmarkStart w:id="37" w:name="steam-3k-8k-15k."/>
    <w:p>
      <w:pPr>
        <w:pStyle w:val="Heading4"/>
      </w:pPr>
      <w:r>
        <w:t xml:space="preserve">Steam (3k / 8k / 15k).</w:t>
      </w:r>
    </w:p>
    <w:p>
      <w:pPr>
        <w:pStyle w:val="FirstParagraph"/>
      </w:pPr>
      <w:r>
        <w:t xml:space="preserve">The hypothesis-killer cluster. Every variant degrades NDCG@10 across</w:t>
      </w:r>
      <w:r>
        <w:t xml:space="preserve"> </w:t>
      </w:r>
      <w:r>
        <w:t xml:space="preserve">all three subset sizes. Steam-3k Mul is</w:t>
      </w:r>
      <w:r>
        <w:t xml:space="preserve"> </w:t>
      </w:r>
      <m:oMath>
        <m:r>
          <m:rPr>
            <m:sty m:val="p"/>
          </m:rPr>
          <m:t>−</m:t>
        </m:r>
        <m:r>
          <m:t>9.5</m:t>
        </m:r>
        <m:sSup>
          <m:e>
            <m:r>
              <m:rPr>
                <m:sty m:val="p"/>
              </m:rPr>
              <m:t>%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NDCG@10 and</w:t>
      </w:r>
      <w:r>
        <w:t xml:space="preserve"> </w:t>
      </w:r>
      <m:oMath>
        <m:r>
          <m:rPr>
            <m:sty m:val="p"/>
          </m:rPr>
          <m:t>−</m:t>
        </m:r>
        <m:r>
          <m:t>10.7</m:t>
        </m:r>
        <m:sSup>
          <m:e>
            <m:r>
              <m:rPr>
                <m:sty m:val="p"/>
              </m:rPr>
              <m:t>%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MRR@10, both robust; Steam-15k Mul lands at</w:t>
      </w:r>
      <w:r>
        <w:t xml:space="preserve"> </w:t>
      </w:r>
      <m:oMath>
        <m:r>
          <m:rPr>
            <m:sty m:val="p"/>
          </m:rPr>
          <m:t>−</m:t>
        </m:r>
        <m:r>
          <m:t>5.0</m:t>
        </m:r>
        <m:sSup>
          <m:e>
            <m:r>
              <m:rPr>
                <m:sty m:val="p"/>
              </m:rPr>
              <m:t>%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/</w:t>
      </w:r>
      <m:oMath>
        <m:r>
          <m:rPr>
            <m:sty m:val="p"/>
          </m:rPr>
          <m:t>−</m:t>
        </m:r>
        <m:r>
          <m:t>4.5</m:t>
        </m:r>
        <m:sSup>
          <m:e>
            <m:r>
              <m:rPr>
                <m:sty m:val="p"/>
              </m:rPr>
              <m:t>%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/</w:t>
      </w:r>
      <m:oMath>
        <m:r>
          <m:rPr>
            <m:sty m:val="p"/>
          </m:rPr>
          <m:t>−</m:t>
        </m:r>
        <m:r>
          <m:t>5.7</m:t>
        </m:r>
        <m:sSup>
          <m:e>
            <m:r>
              <m:rPr>
                <m:sty m:val="p"/>
              </m:rPr>
              <m:t>%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across NDCG@10/Recall@10/MRR@10 and</w:t>
      </w:r>
      <w:r>
        <w:t xml:space="preserve"> </w:t>
      </w:r>
      <w:r>
        <w:t xml:space="preserve">Steam-15k Val at</w:t>
      </w:r>
      <w:r>
        <w:t xml:space="preserve"> </w:t>
      </w:r>
      <m:oMath>
        <m:r>
          <m:rPr>
            <m:sty m:val="p"/>
          </m:rPr>
          <m:t>−</m:t>
        </m:r>
        <m:r>
          <m:t>6.2</m:t>
        </m:r>
        <m:sSup>
          <m:e>
            <m:r>
              <m:rPr>
                <m:sty m:val="p"/>
              </m:rPr>
              <m:t>%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/</w:t>
      </w:r>
      <m:oMath>
        <m:r>
          <m:rPr>
            <m:sty m:val="p"/>
          </m:rPr>
          <m:t>−</m:t>
        </m:r>
        <m:r>
          <m:t>5.1</m:t>
        </m:r>
        <m:sSup>
          <m:e>
            <m:r>
              <m:rPr>
                <m:sty m:val="p"/>
              </m:rPr>
              <m:t>%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/</w:t>
      </w:r>
      <m:oMath>
        <m:r>
          <m:rPr>
            <m:sty m:val="p"/>
          </m:rPr>
          <m:t>−</m:t>
        </m:r>
        <m:r>
          <m:t>7.3</m:t>
        </m:r>
        <m:sSup>
          <m:e>
            <m:r>
              <m:rPr>
                <m:sty m:val="p"/>
              </m:rPr>
              <m:t>%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 six</w:t>
      </w:r>
      <w:r>
        <w:t xml:space="preserve"> </w:t>
      </w:r>
      <w:r>
        <w:t xml:space="preserve">robust degradations in a single dataset cluster.</w:t>
      </w:r>
      <w:r>
        <w:t xml:space="preserve"> </w:t>
      </w:r>
      <w:r>
        <w:t xml:space="preserve">This is the opposite of what the intensity-richness hypothesis</w:t>
      </w:r>
      <w:r>
        <w:t xml:space="preserve"> </w:t>
      </w:r>
      <w:r>
        <w:t xml:space="preserve">predicts: Steam carries the richest, most continuous interaction</w:t>
      </w:r>
      <w:r>
        <w:t xml:space="preserve"> </w:t>
      </w:r>
      <w:r>
        <w:t xml:space="preserve">signal of the seven datasets, and is exactly where IA-SASRec hurts</w:t>
      </w:r>
      <w:r>
        <w:t xml:space="preserve"> </w:t>
      </w:r>
      <w:r>
        <w:t xml:space="preserve">most.</w:t>
      </w:r>
    </w:p>
    <w:bookmarkEnd w:id="37"/>
    <w:bookmarkEnd w:id="38"/>
    <w:bookmarkStart w:id="48" w:name="sec:analysis"/>
    <w:p>
      <w:pPr>
        <w:pStyle w:val="Heading1"/>
      </w:pPr>
      <w:r>
        <w:t xml:space="preserve">Analysis: why does intensity hurt?</w:t>
      </w:r>
    </w:p>
    <w:p>
      <w:pPr>
        <w:pStyle w:val="FirstParagraph"/>
      </w:pPr>
      <w:r>
        <w:t xml:space="preserve">The negative result documented above is sharper than</w:t>
      </w:r>
      <w:r>
        <w:t xml:space="preserve"> </w:t>
      </w:r>
      <w:r>
        <w:t xml:space="preserve">“the</w:t>
      </w:r>
      <w:r>
        <w:t xml:space="preserve"> </w:t>
      </w:r>
      <w:r>
        <w:t xml:space="preserve">hypothesis was wrong.”</w:t>
      </w:r>
      <w:r>
        <w:t xml:space="preserve"> </w:t>
      </w:r>
      <w:r>
        <w:t xml:space="preserve">The variants are designed to be a strict</w:t>
      </w:r>
      <w:r>
        <w:t xml:space="preserve"> </w:t>
      </w:r>
      <w:r>
        <w:t xml:space="preserve">super-set of SASRec: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each one collapses, layer-by-layer,</w:t>
      </w:r>
      <w:r>
        <w:t xml:space="preserve"> </w:t>
      </w:r>
      <w:r>
        <w:t xml:space="preserve">to the baseline. A fair learner should therefore have driven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toward zero whenever intensity was a hindrance and recovered SASRec</w:t>
      </w:r>
      <w:r>
        <w:t xml:space="preserve"> </w:t>
      </w:r>
      <w:r>
        <w:t xml:space="preserve">exactly. It did not. This section makes the mechanism precise.</w:t>
      </w:r>
    </w:p>
    <w:bookmarkStart w:id="45" w:name="sec:analysis:lambda"/>
    <w:p>
      <w:pPr>
        <w:pStyle w:val="Heading2"/>
      </w:pPr>
      <m:oMath>
        <m:r>
          <m:t>λ</m:t>
        </m:r>
      </m:oMath>
      <w:r>
        <w:t xml:space="preserve"> </w:t>
      </w:r>
      <w:r>
        <w:t xml:space="preserve">calibration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ML-100K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ML-1M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Amazon-Music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Amazon-Office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Steam-3k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Steam-8k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Steam-15k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0.04</w:t>
            </w:r>
          </w:p>
        </w:tc>
      </w:tr>
    </w:tbl>
    <w:bookmarkStart w:id="42" w:name="fig:lambda_vs_delta"/>
    <w:p>
      <w:pPr>
        <w:pStyle w:val="CaptionedFigure"/>
      </w:pPr>
      <w:r>
        <w:drawing>
          <wp:inline>
            <wp:extent cx="5334000" cy="346131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ures/lambda_vs_delta.pdf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1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m:oMath>
        <m:r>
          <m:t>λ</m:t>
        </m:r>
      </m:oMath>
      <w:r>
        <w:t xml:space="preserve">-vs-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calibration: each marker is one (dataset, variant) cell.</w:t>
      </w:r>
      <w:r>
        <w:t xml:space="preserve"> </w:t>
      </w:r>
      <m:oMath>
        <m:r>
          <m:t>x</m:t>
        </m:r>
      </m:oMath>
      <w:r>
        <w:t xml:space="preserve">-axis = mean learned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across attention layers and seeds (cf. Table </w:t>
      </w:r>
      <w:hyperlink w:anchor="tab:lambda">
        <w:r>
          <w:rPr>
            <w:rStyle w:val="Hyperlink"/>
          </w:rPr>
          <w:t xml:space="preserve">[tab:lambda]</w:t>
        </w:r>
      </w:hyperlink>
      <w:r>
        <w:t xml:space="preserve">);</w:t>
      </w:r>
      <w:r>
        <w:t xml:space="preserve"> </w:t>
      </w:r>
      <m:oMath>
        <m:r>
          <m:t>y</m:t>
        </m:r>
      </m:oMath>
      <w:r>
        <w:t xml:space="preserve">-axis = mean test-NDCG@10 relative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vs SASRec. Top-right would be the predicted</w:t>
      </w:r>
      <w:r>
        <w:t xml:space="preserve"> </w:t>
      </w:r>
      <w:r>
        <w:t xml:space="preserve">“model uses intensity and gains”</w:t>
      </w:r>
      <w:r>
        <w:t xml:space="preserve">; observed: empty. Bottom-right is</w:t>
      </w:r>
      <w:r>
        <w:t xml:space="preserve"> </w:t>
      </w:r>
      <w:r>
        <w:t xml:space="preserve">“model uses intensity and loses”</w:t>
      </w:r>
      <w:r>
        <w:t xml:space="preserve">, where Steam clusters.</w:t>
      </w:r>
    </w:p>
    <w:bookmarkEnd w:id="42"/>
    <w:p>
      <w:pPr>
        <w:pStyle w:val="BodyText"/>
      </w:pPr>
      <w:r>
        <w:t xml:space="preserve">Table </w:t>
      </w:r>
      <w:hyperlink w:anchor="tab:lambda">
        <w:r>
          <w:rPr>
            <w:rStyle w:val="Hyperlink"/>
          </w:rPr>
          <w:t xml:space="preserve">[tab:lambda]</w:t>
        </w:r>
      </w:hyperlink>
      <w:r>
        <w:t xml:space="preserve"> </w:t>
      </w:r>
      <w:r>
        <w:t xml:space="preserve">reports the per-(dataset, variant) learned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averaged across attention layers and 5 seeds, and</w:t>
      </w:r>
      <w:r>
        <w:t xml:space="preserve"> </w:t>
      </w:r>
      <w:r>
        <w:t xml:space="preserve">Figure </w:t>
      </w:r>
      <w:hyperlink w:anchor="fig:lambda_vs_delta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plots it against the relative</w:t>
      </w:r>
      <w:r>
        <w:t xml:space="preserve"> </w:t>
      </w:r>
      <w:r>
        <w:t xml:space="preserve">NDCG@10 change. Two facts dominate.</w:t>
      </w:r>
    </w:p>
    <w:bookmarkStart w:id="43" w:name="X4fe3091e5147f32d6424434b4aaf8e5efbef788"/>
    <w:p>
      <w:pPr>
        <w:pStyle w:val="Heading4"/>
      </w:pPr>
      <m:oMath>
        <m:r>
          <m:t>λ</m:t>
        </m:r>
      </m:oMath>
      <w:r>
        <w:t xml:space="preserve"> </w:t>
      </w:r>
      <w:r>
        <w:t xml:space="preserve">does adapt away from its initialisation.</w:t>
      </w:r>
    </w:p>
    <w:p>
      <w:pPr>
        <w:pStyle w:val="FirstParagraph"/>
      </w:pPr>
      <w:r>
        <w:t xml:space="preserve">The learned values span</w:t>
      </w:r>
      <w:r>
        <w:t xml:space="preserve"> </w:t>
      </w:r>
      <m:oMath>
        <m:r>
          <m:t>0.07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0.99</m:t>
        </m:r>
      </m:oMath>
      <w:r>
        <w:t xml:space="preserve">, two orders of magnitude</w:t>
      </w:r>
      <w:r>
        <w:t xml:space="preserve"> </w:t>
      </w:r>
      <w:r>
        <w:t xml:space="preserve">of variation around the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initialisation. On ML-1M, Val drops to</w:t>
      </w:r>
      <w:r>
        <w:t xml:space="preserve"> </w:t>
      </w:r>
      <m:oMath>
        <m:r>
          <m:t>λ</m:t>
        </m:r>
        <m:r>
          <m:rPr>
            <m:sty m:val="p"/>
          </m:rPr>
          <m:t>≈</m:t>
        </m:r>
        <m:r>
          <m:t>0.07</m:t>
        </m:r>
      </m:oMath>
      <w:r>
        <w:t xml:space="preserve"> </w:t>
      </w:r>
      <w:r>
        <w:t xml:space="preserve">and Mul to</w:t>
      </w:r>
      <w:r>
        <w:t xml:space="preserve"> </w:t>
      </w:r>
      <m:oMath>
        <m:r>
          <m:t>λ</m:t>
        </m:r>
        <m:r>
          <m:rPr>
            <m:sty m:val="p"/>
          </m:rPr>
          <m:t>≈</m:t>
        </m:r>
        <m:r>
          <m:t>0.15</m:t>
        </m:r>
      </m:oMath>
      <w:r>
        <w:t xml:space="preserve">, and on</w:t>
      </w:r>
      <w:r>
        <w:t xml:space="preserve"> </w:t>
      </w:r>
      <w:r>
        <w:t xml:space="preserve">ML-100K Mul reaches</w:t>
      </w:r>
      <w:r>
        <w:t xml:space="preserve"> </w:t>
      </w:r>
      <m:oMath>
        <m:r>
          <m:t>λ</m:t>
        </m:r>
        <m:r>
          <m:rPr>
            <m:sty m:val="p"/>
          </m:rPr>
          <m:t>≈</m:t>
        </m:r>
        <m:r>
          <m:t>0.21</m:t>
        </m:r>
      </m:oMath>
      <w:r>
        <w:t xml:space="preserve">. Wherever the optimiser</w:t>
      </w:r>
      <w:r>
        <w:t xml:space="preserve"> </w:t>
      </w:r>
      <w:r>
        <w:t xml:space="preserve">“wants”</w:t>
      </w:r>
      <w:r>
        <w:t xml:space="preserve"> </w:t>
      </w:r>
      <w:r>
        <w:t xml:space="preserve">to shrink the intensity channel, it can: the gradient path</w:t>
      </w:r>
      <w:r>
        <w:t xml:space="preserve"> </w:t>
      </w:r>
      <w:r>
        <w:t xml:space="preserve">is open.</w:t>
      </w:r>
    </w:p>
    <w:bookmarkEnd w:id="43"/>
    <w:bookmarkStart w:id="44" w:name="Xb3c8b6c005041e6d7b835f16c163731b90c0c58"/>
    <w:p>
      <w:pPr>
        <w:pStyle w:val="Heading4"/>
      </w:pPr>
      <m:oMath>
        <m:r>
          <m:t>λ</m:t>
        </m:r>
      </m:oMath>
      <w:r>
        <w:t xml:space="preserve"> </w:t>
      </w:r>
      <w:r>
        <w:t xml:space="preserve">stays high precisely where the variant hurts.</w:t>
      </w:r>
    </w:p>
    <w:p>
      <w:pPr>
        <w:pStyle w:val="FirstParagraph"/>
      </w:pPr>
      <w:r>
        <w:t xml:space="preserve">On Steam-3k all three variants converge to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0.98</m:t>
        </m:r>
        <m:r>
          <m:rPr>
            <m:sty m:val="p"/>
          </m:rPr>
          <m:t>,</m:t>
        </m:r>
        <m:r>
          <m:t>0.99</m:t>
        </m:r>
        <m:r>
          <m:rPr>
            <m:sty m:val="p"/>
          </m:rPr>
          <m:t>]</m:t>
        </m:r>
      </m:oMath>
      <w:r>
        <w:t xml:space="preserve"> </w:t>
      </w:r>
      <w:r>
        <w:t xml:space="preserve">(effectively at the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initialisation), and on Steam-8k</w:t>
      </w:r>
      <w:r>
        <w:t xml:space="preserve"> </w:t>
      </w:r>
      <w:r>
        <w:t xml:space="preserve">and Steam-15k they sit at</w:t>
      </w:r>
      <w:r>
        <w:t xml:space="preserve"> </w:t>
      </w:r>
      <m:oMath>
        <m:r>
          <m:t>0.56</m:t>
        </m:r>
      </m:oMath>
      <w:r>
        <w:t xml:space="preserve">–</w:t>
      </w:r>
      <m:oMath>
        <m:r>
          <m:t>0.75</m:t>
        </m:r>
      </m:oMath>
      <w:r>
        <w:t xml:space="preserve">. These are exactly the cells</w:t>
      </w:r>
      <w:r>
        <w:t xml:space="preserve"> </w:t>
      </w:r>
      <w:r>
        <w:t xml:space="preserve">with robust negative deltas in Table </w:t>
      </w:r>
      <w:hyperlink w:anchor="tab:main_results">
        <w:r>
          <w:rPr>
            <w:rStyle w:val="Hyperlink"/>
          </w:rPr>
          <w:t xml:space="preserve">[tab:main_results]</w:t>
        </w:r>
      </w:hyperlink>
      <w:r>
        <w:t xml:space="preserve">. The</w:t>
      </w:r>
      <w:r>
        <w:t xml:space="preserve"> </w:t>
      </w:r>
      <w:r>
        <w:t xml:space="preserve">“fallback”</w:t>
      </w:r>
      <w:r>
        <w:t xml:space="preserve"> </w:t>
      </w:r>
      <w:r>
        <w:t xml:space="preserve">that the design promised is not realised in practice:</w:t>
      </w:r>
      <w:r>
        <w:t xml:space="preserve"> </w:t>
      </w:r>
      <w:r>
        <w:t xml:space="preserve">the optimiser does not steer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intensity is</w:t>
      </w:r>
      <w:r>
        <w:t xml:space="preserve"> </w:t>
      </w:r>
      <w:r>
        <w:t xml:space="preserve">harmful. There is no positive correlation between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in Figure </w:t>
      </w:r>
      <w:hyperlink w:anchor="fig:lambda_vs_delta">
        <w:r>
          <w:rPr>
            <w:rStyle w:val="Hyperlink"/>
          </w:rPr>
          <w:t xml:space="preserve">2</w:t>
        </w:r>
      </w:hyperlink>
      <w:r>
        <w:t xml:space="preserve">; if anything, the slope is</w:t>
      </w:r>
      <w:r>
        <w:t xml:space="preserve"> </w:t>
      </w:r>
      <w:r>
        <w:t xml:space="preserve">negative.</w:t>
      </w:r>
    </w:p>
    <w:p>
      <w:pPr>
        <w:pStyle w:val="BodyText"/>
      </w:pPr>
      <w:r>
        <w:t xml:space="preserve">The two observations together rule out the simple counter-narrative</w:t>
      </w:r>
      <w:r>
        <w:t xml:space="preserve"> </w:t>
      </w:r>
      <w:r>
        <w:t xml:space="preserve">“the optimiser is stuck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. It is not stuck; it</w:t>
      </w:r>
      <w:r>
        <w:t xml:space="preserve"> </w:t>
      </w:r>
      <w:r>
        <w:t xml:space="preserve">moves freely on ML-1M and ML-100K. On Steam it makes an active choice</w:t>
      </w:r>
      <w:r>
        <w:t xml:space="preserve"> </w:t>
      </w:r>
      <w:r>
        <w:t xml:space="preserve">to keep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large, presumably because per-step cross-entropy</w:t>
      </w:r>
      <w:r>
        <w:t xml:space="preserve"> </w:t>
      </w:r>
      <w:r>
        <w:t xml:space="preserve">loss locally rewards the intensity-injected attention pattern even</w:t>
      </w:r>
      <w:r>
        <w:t xml:space="preserve"> </w:t>
      </w:r>
      <w:r>
        <w:t xml:space="preserve">though the resulting model generalises worse on the held-out test</w:t>
      </w:r>
      <w:r>
        <w:t xml:space="preserve"> </w:t>
      </w:r>
      <w:r>
        <w:t xml:space="preserve">ranking. We did not run a controlled</w:t>
      </w:r>
      <w:r>
        <w:t xml:space="preserve"> </w:t>
      </w:r>
      <m:oMath>
        <m:r>
          <m:t>λ</m:t>
        </m:r>
        <m:r>
          <m:rPr>
            <m:sty m:val="p"/>
          </m:rPr>
          <m:t>≡</m:t>
        </m:r>
        <m:r>
          <m:t>0</m:t>
        </m:r>
      </m:oMath>
      <w:r>
        <w:t xml:space="preserve"> </w:t>
      </w:r>
      <w:r>
        <w:t xml:space="preserve">ablation</w:t>
      </w:r>
      <w:r>
        <w:t xml:space="preserve"> </w:t>
      </w:r>
      <w:r>
        <w:t xml:space="preserve">(the training-budget discipline did not allow an extra pinned-</w:t>
      </w:r>
      <m:oMath>
        <m:r>
          <m:t>λ</m:t>
        </m:r>
      </m:oMath>
      <w:r>
        <w:t xml:space="preserve"> </w:t>
      </w:r>
      <w:r>
        <w:t xml:space="preserve">run); the</w:t>
      </w:r>
      <w:r>
        <w:t xml:space="preserve"> </w:t>
      </w:r>
      <w:r>
        <w:t xml:space="preserve">falsification here therefore rests on the observed dynamics rather</w:t>
      </w:r>
      <w:r>
        <w:t xml:space="preserve"> </w:t>
      </w:r>
      <w:r>
        <w:t xml:space="preserve">than a paired counterfactual. We return to this caveat in the</w:t>
      </w:r>
      <w:r>
        <w:t xml:space="preserve"> </w:t>
      </w:r>
      <w:r>
        <w:t xml:space="preserve">Discussion.</w:t>
      </w:r>
    </w:p>
    <w:bookmarkEnd w:id="44"/>
    <w:bookmarkEnd w:id="45"/>
    <w:bookmarkStart w:id="46" w:name="sec:analysis:steam"/>
    <w:p>
      <w:pPr>
        <w:pStyle w:val="Heading2"/>
      </w:pPr>
      <w:r>
        <w:t xml:space="preserve">The Steam paradox</w:t>
      </w:r>
    </w:p>
    <w:p>
      <w:pPr>
        <w:pStyle w:val="FirstParagraph"/>
      </w:pPr>
      <w:r>
        <w:t xml:space="preserve">Steam has the strongest, most continuous intensity signal of the</w:t>
      </w:r>
      <w:r>
        <w:t xml:space="preserve"> </w:t>
      </w:r>
      <w:r>
        <w:t xml:space="preserve">seven datasets, yet hosts the worst outcomes. Two non-exclusive</w:t>
      </w:r>
      <w:r>
        <w:t xml:space="preserve"> </w:t>
      </w:r>
      <w:r>
        <w:t xml:space="preserve">explanations are consistent with the data. Distribution shape:</w:t>
      </w:r>
      <w:r>
        <w:t xml:space="preserve"> </w:t>
      </w:r>
      <w:r>
        <w:t xml:space="preserve">Steam playtime is heavy-tailed (a</w:t>
      </w:r>
      <w:r>
        <w:t xml:space="preserve"> </w:t>
      </w:r>
      <m:oMath>
        <m:r>
          <m:t>1000</m:t>
        </m:r>
      </m:oMath>
      <w:r>
        <w:t xml:space="preserve">-hour outlier coexisting with</w:t>
      </w:r>
      <w:r>
        <w:t xml:space="preserve"> </w:t>
      </w:r>
      <w:r>
        <w:t xml:space="preserve">many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</m:t>
        </m:r>
      </m:oMath>
      <w:r>
        <w:t xml:space="preserve">-hour interactions). Under the default log-min-max normalisation the</w:t>
      </w:r>
      <w:r>
        <w:t xml:space="preserve"> </w:t>
      </w:r>
      <w:r>
        <w:t xml:space="preserve">mass collapses into a narrow upper band, so the intensity channel</w:t>
      </w:r>
      <w:r>
        <w:t xml:space="preserve"> </w:t>
      </w:r>
      <w:r>
        <w:t xml:space="preserve">carries less information than its raw range suggests while still</w:t>
      </w:r>
      <w:r>
        <w:t xml:space="preserve"> </w:t>
      </w:r>
      <w:r>
        <w:t xml:space="preserve">adding optimisation variance. Popularity confound: high-playtime</w:t>
      </w:r>
      <w:r>
        <w:t xml:space="preserve"> </w:t>
      </w:r>
      <w:r>
        <w:t xml:space="preserve">titles are also popular ones, and item-embedding learning already</w:t>
      </w:r>
      <w:r>
        <w:t xml:space="preserve"> </w:t>
      </w:r>
      <w:r>
        <w:t xml:space="preserve">captures popularity; the intensity channel then adds redundancy</w:t>
      </w:r>
      <w:r>
        <w:t xml:space="preserve"> </w:t>
      </w:r>
      <w:r>
        <w:t xml:space="preserve">rather than information. A definitive diagnosis between the two would</w:t>
      </w:r>
      <w:r>
        <w:t xml:space="preserve"> </w:t>
      </w:r>
      <w:r>
        <w:t xml:space="preserve">require a per-dataset Spearman correlation between intensity rank and</w:t>
      </w:r>
      <w:r>
        <w:t xml:space="preserve"> </w:t>
      </w:r>
      <w:r>
        <w:t xml:space="preserve">popularity rank and a histogram of post-normalisation intensities;</w:t>
      </w:r>
      <w:r>
        <w:t xml:space="preserve"> </w:t>
      </w:r>
      <w:r>
        <w:t xml:space="preserve">we flag this as future analytical work, not a fix.</w:t>
      </w:r>
    </w:p>
    <w:bookmarkEnd w:id="46"/>
    <w:bookmarkStart w:id="47" w:name="sec:analysis:design"/>
    <w:p>
      <w:pPr>
        <w:pStyle w:val="Heading2"/>
      </w:pPr>
      <w:r>
        <w:t xml:space="preserve">Implications for IA-SASRec design</w:t>
      </w:r>
    </w:p>
    <w:p>
      <w:pPr>
        <w:pStyle w:val="FirstParagraph"/>
      </w:pPr>
      <w:r>
        <w:t xml:space="preserve">A single learnable scalar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per layer is too limited a control</w:t>
      </w:r>
      <w:r>
        <w:t xml:space="preserve"> </w:t>
      </w:r>
      <w:r>
        <w:t xml:space="preserve">to be a useful fallback. Three structural shortcomings emerge from</w:t>
      </w:r>
      <w:r>
        <w:t xml:space="preserve"> </w:t>
      </w:r>
      <w:r>
        <w:t xml:space="preserve">the analysis: (i)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cannot down-weight a specific tail of the</w:t>
      </w:r>
      <w:r>
        <w:t xml:space="preserve"> </w:t>
      </w:r>
      <w:r>
        <w:t xml:space="preserve">intensity distribution (e.g. mute the</w:t>
      </w:r>
      <w:r>
        <w:t xml:space="preserve"> </w:t>
      </w:r>
      <m:oMath>
        <m:r>
          <m:t>100</m:t>
        </m:r>
      </m:oMath>
      <w:r>
        <w:t xml:space="preserve">-hour outliers but keep</w:t>
      </w:r>
      <w:r>
        <w:t xml:space="preserve"> </w:t>
      </w:r>
      <w:r>
        <w:t xml:space="preserve">the moderate range); (ii)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shared across attention heads</w:t>
      </w:r>
      <w:r>
        <w:t xml:space="preserve"> </w:t>
      </w:r>
      <w:r>
        <w:t xml:space="preserve">in our implementation, so it cannot let some heads use intensity while</w:t>
      </w:r>
      <w:r>
        <w:t xml:space="preserve"> </w:t>
      </w:r>
      <w:r>
        <w:t xml:space="preserve">others ignore it; (iii) the choice of normalisation is entangled with the architectural claim:</w:t>
      </w:r>
      <w:r>
        <w:t xml:space="preserve"> </w:t>
      </w:r>
      <w:r>
        <w:t xml:space="preserve">a null result could mean intensity carries no information, or that the</w:t>
      </w:r>
      <w:r>
        <w:t xml:space="preserve"> </w:t>
      </w:r>
      <w:r>
        <w:t xml:space="preserve">normalisation we picked flattened the information that was there. Future</w:t>
      </w:r>
      <w:r>
        <w:t xml:space="preserve"> </w:t>
      </w:r>
      <w:r>
        <w:t xml:space="preserve">intensity-injection designs should target these three axes directly;</w:t>
      </w:r>
      <w:r>
        <w:t xml:space="preserve"> </w:t>
      </w:r>
      <w:r>
        <w:t xml:space="preserve">the Conclusion outlines three concrete alternatives.</w:t>
      </w:r>
    </w:p>
    <w:bookmarkEnd w:id="47"/>
    <w:bookmarkEnd w:id="48"/>
    <w:bookmarkStart w:id="57" w:name="sec:discussion"/>
    <w:p>
      <w:pPr>
        <w:pStyle w:val="Heading1"/>
      </w:pPr>
      <w:r>
        <w:t xml:space="preserve">Discussion</w:t>
      </w:r>
    </w:p>
    <w:bookmarkStart w:id="49" w:name="X820658e1bd71a65e1f902892248041dd811a1e1"/>
    <w:p>
      <w:pPr>
        <w:pStyle w:val="Heading2"/>
      </w:pPr>
      <w:r>
        <w:t xml:space="preserve">Empirical validation of the decoupled-fusion hypothesis</w:t>
      </w:r>
    </w:p>
    <w:p>
      <w:pPr>
        <w:pStyle w:val="FirstParagraph"/>
      </w:pPr>
      <w:r>
        <w:t xml:space="preserve">Our results directly confirm the structural warnings raised by the</w:t>
      </w:r>
      <w:r>
        <w:t xml:space="preserve"> </w:t>
      </w:r>
      <w:r>
        <w:t xml:space="preserve">decoupled-fusion literature (NOVA </w:t>
      </w:r>
      <w:r>
        <w:t xml:space="preserve">(C. Liu et al. 2021)</w:t>
      </w:r>
      <w:r>
        <w:t xml:space="preserve">,</w:t>
      </w:r>
      <w:r>
        <w:t xml:space="preserve"> </w:t>
      </w:r>
      <w:r>
        <w:t xml:space="preserve">DIF-SR </w:t>
      </w:r>
      <w:r>
        <w:t xml:space="preserve">(Y. Xie et al. 2022)</w:t>
      </w:r>
      <w:r>
        <w:t xml:space="preserve">). Because IA-SASRec forces an invasive,</w:t>
      </w:r>
      <w:r>
        <w:t xml:space="preserve"> </w:t>
      </w:r>
      <w:r>
        <w:t xml:space="preserve">mid-attention fusion through a shared scalar gate, it sits in the</w:t>
      </w:r>
      <w:r>
        <w:t xml:space="preserve"> </w:t>
      </w:r>
      <w:r>
        <w:t xml:space="preserve">architectural region these works predict will fail. The empirical</w:t>
      </w:r>
      <w:r>
        <w:t xml:space="preserve"> </w:t>
      </w:r>
      <w:r>
        <w:t xml:space="preserve">verdict matches the prediction: across the</w:t>
      </w:r>
      <w:r>
        <w:t xml:space="preserve"> </w:t>
      </w:r>
      <m:oMath>
        <m:r>
          <m:t>252</m:t>
        </m:r>
      </m:oMath>
      <w:r>
        <w:t xml:space="preserve"> </w:t>
      </w:r>
      <w:r>
        <w:t xml:space="preserve">(variant, metric,</w:t>
      </w:r>
      <w:r>
        <w:t xml:space="preserve"> </w:t>
      </w:r>
      <w:r>
        <w:t xml:space="preserve">dataset, cutoff) cells we test (3 variants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 metrics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7 datasets at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), not a single cell</w:t>
      </w:r>
      <w:r>
        <w:t xml:space="preserve"> </w:t>
      </w:r>
      <w:r>
        <w:t xml:space="preserve">yields a robust improvement, and the largest, cleanest degradations</w:t>
      </w:r>
      <w:r>
        <w:t xml:space="preserve"> </w:t>
      </w:r>
      <w:r>
        <w:t xml:space="preserve">appear on Steam, the dataset with the strongest and most continuous</w:t>
      </w:r>
      <w:r>
        <w:t xml:space="preserve"> </w:t>
      </w:r>
      <w:r>
        <w:t xml:space="preserve">intensity signal, where representation degeneration of the kind</w:t>
      </w:r>
      <w:r>
        <w:t xml:space="preserve"> </w:t>
      </w:r>
      <w:r>
        <w:t xml:space="preserve">flagged by </w:t>
      </w:r>
      <w:r>
        <w:t xml:space="preserve">(Fan et al. 2022; Qiu et al. 2022)</w:t>
      </w:r>
      <w:r>
        <w:t xml:space="preserve"> </w:t>
      </w:r>
      <w:r>
        <w:t xml:space="preserve">is most likely to bite.</w:t>
      </w:r>
    </w:p>
    <w:bookmarkEnd w:id="49"/>
    <w:bookmarkStart w:id="50" w:name="intensity-is-not-free-supervision"/>
    <w:p>
      <w:pPr>
        <w:pStyle w:val="Heading2"/>
      </w:pPr>
      <w:r>
        <w:t xml:space="preserve">Intensity is not free supervision</w:t>
      </w:r>
    </w:p>
    <w:p>
      <w:pPr>
        <w:pStyle w:val="FirstParagraph"/>
      </w:pPr>
      <w:r>
        <w:t xml:space="preserve">Much of the side-information literature for sequential recommenders</w:t>
      </w:r>
      <w:r>
        <w:t xml:space="preserve"> </w:t>
      </w:r>
      <w:r>
        <w:t xml:space="preserve">operates under an implicit additivity assumption: any extra channel</w:t>
      </w:r>
      <w:r>
        <w:t xml:space="preserve"> </w:t>
      </w:r>
      <w:r>
        <w:t xml:space="preserve">threaded into the model can only add information, since the model</w:t>
      </w:r>
      <w:r>
        <w:t xml:space="preserve"> </w:t>
      </w:r>
      <w:r>
        <w:t xml:space="preserve">“can ignore it.”</w:t>
      </w:r>
      <w:r>
        <w:t xml:space="preserve"> </w:t>
      </w:r>
      <w:r>
        <w:t xml:space="preserve">Our results rule out that assumption for</w:t>
      </w:r>
      <w:r>
        <w:t xml:space="preserve"> </w:t>
      </w:r>
      <w:r>
        <w:t xml:space="preserve">per-interaction intensity under scalar gating. Once the optimiser has</w:t>
      </w:r>
      <w:r>
        <w:t xml:space="preserve"> </w:t>
      </w:r>
      <w:r>
        <w:t xml:space="preserve">settled into a non-zero</w:t>
      </w:r>
      <w:r>
        <w:t xml:space="preserve"> </w:t>
      </w:r>
      <m:oMath>
        <m:r>
          <m:t>λ</m:t>
        </m:r>
      </m:oMath>
      <w:r>
        <w:t xml:space="preserve">, the gradient with respect to</w:t>
      </w:r>
      <w:r>
        <w:t xml:space="preserve"> </w:t>
      </w:r>
      <w:r>
        <w:t xml:space="preserve">training-set cross-entropy does not point back toward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even when held-out generalisation degrades. The channel carries</w:t>
      </w:r>
      <w:r>
        <w:t xml:space="preserve"> </w:t>
      </w:r>
      <w:r>
        <w:t xml:space="preserve">negative information in the sense that fitting it as instructed</w:t>
      </w:r>
      <w:r>
        <w:t xml:space="preserve"> </w:t>
      </w:r>
      <w:r>
        <w:t xml:space="preserve">makes the model worse.</w:t>
      </w:r>
      <w:r>
        <w:t xml:space="preserve"> </w:t>
      </w:r>
      <w:r>
        <w:t xml:space="preserve">“The model can ignore it”</w:t>
      </w:r>
      <w:r>
        <w:t xml:space="preserve"> </w:t>
      </w:r>
      <w:r>
        <w:t xml:space="preserve">is a claim about</w:t>
      </w:r>
      <w:r>
        <w:t xml:space="preserve"> </w:t>
      </w:r>
      <w:r>
        <w:t xml:space="preserve">expressivity, not about what the optimiser will actually do.</w:t>
      </w:r>
    </w:p>
    <w:bookmarkEnd w:id="50"/>
    <w:bookmarkStart w:id="51" w:name="lesson-for-benchmarking-practice"/>
    <w:p>
      <w:pPr>
        <w:pStyle w:val="Heading2"/>
      </w:pPr>
      <w:r>
        <w:t xml:space="preserve">Lesson for benchmarking practice</w:t>
      </w:r>
    </w:p>
    <w:p>
      <w:pPr>
        <w:pStyle w:val="FirstParagraph"/>
      </w:pPr>
      <w:r>
        <w:t xml:space="preserve">Under a single-seed protocol without per-user confidence intervals,</w:t>
      </w:r>
      <w:r>
        <w:t xml:space="preserve"> </w:t>
      </w:r>
      <w:r>
        <w:t xml:space="preserve">the headline of this paper would have been</w:t>
      </w:r>
      <w:r>
        <w:t xml:space="preserve"> </w:t>
      </w:r>
      <w:r>
        <w:t xml:space="preserve">“IA-SASRec-Add improves</w:t>
      </w:r>
      <w:r>
        <w:t xml:space="preserve"> </w:t>
      </w:r>
      <w:r>
        <w:t xml:space="preserve">MRR@10 on Amazon-Office Products by</w:t>
      </w:r>
      <w:r>
        <w:t xml:space="preserve"> </w:t>
      </w:r>
      <m:oMath>
        <m:r>
          <m:t>3.6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0.025</m:t>
        </m:r>
      </m:oMath>
      <w:r>
        <w:t xml:space="preserve">).”</w:t>
      </w:r>
      <w:r>
        <w:t xml:space="preserve"> </w:t>
      </w:r>
      <w:r>
        <w:t xml:space="preserve">The same</w:t>
      </w:r>
      <w:r>
        <w:t xml:space="preserve"> </w:t>
      </w:r>
      <w:r>
        <w:t xml:space="preserve">configuration is non-significant on the other two metrics of the same</w:t>
      </w:r>
      <w:r>
        <w:t xml:space="preserve"> </w:t>
      </w:r>
      <w:r>
        <w:t xml:space="preserve">dataset and on every other dataset, but no single-seed table would</w:t>
      </w:r>
      <w:r>
        <w:t xml:space="preserve"> </w:t>
      </w:r>
      <w:r>
        <w:t xml:space="preserve">have surfaced that. Our dual-criterion protocol flags the cell as</w:t>
      </w:r>
      <w:r>
        <w:t xml:space="preserve"> </w:t>
      </w:r>
      <w:r>
        <w:t xml:space="preserve">non-robust automatically; this is exactly the failure mode that prior</w:t>
      </w:r>
      <w:r>
        <w:t xml:space="preserve"> </w:t>
      </w:r>
      <w:r>
        <w:t xml:space="preserve">reproducibility critiques </w:t>
      </w:r>
      <w:r>
        <w:t xml:space="preserve">(Ferrari Dacrema et al. 2019; Sun et al. 2020)</w:t>
      </w:r>
      <w:r>
        <w:t xml:space="preserve"> </w:t>
      </w:r>
      <w:r>
        <w:t xml:space="preserve">have argued</w:t>
      </w:r>
      <w:r>
        <w:t xml:space="preserve"> </w:t>
      </w:r>
      <w:r>
        <w:t xml:space="preserve">is common in neural recommender benchmarking. We consider this a</w:t>
      </w:r>
      <w:r>
        <w:t xml:space="preserve"> </w:t>
      </w:r>
      <w:r>
        <w:t xml:space="preserve">working example of the protocol</w:t>
      </w:r>
      <w:r>
        <w:t xml:space="preserve"> </w:t>
      </w:r>
      <w:r>
        <w:t xml:space="preserve">doing its job, and we argue that it should be the default rather than</w:t>
      </w:r>
      <w:r>
        <w:t xml:space="preserve"> </w:t>
      </w:r>
      <w:r>
        <w:t xml:space="preserve">the exception when reporting small-sample sequential-recommender</w:t>
      </w:r>
      <w:r>
        <w:t xml:space="preserve"> </w:t>
      </w:r>
      <w:r>
        <w:t xml:space="preserve">results.</w:t>
      </w:r>
    </w:p>
    <w:bookmarkEnd w:id="51"/>
    <w:bookmarkStart w:id="56" w:name="threats-to-validity"/>
    <w:p>
      <w:pPr>
        <w:pStyle w:val="Heading2"/>
      </w:pPr>
      <w:r>
        <w:t xml:space="preserve">Threats to validity</w:t>
      </w:r>
    </w:p>
    <w:bookmarkStart w:id="52" w:name="hpo-budget."/>
    <w:p>
      <w:pPr>
        <w:pStyle w:val="Heading4"/>
      </w:pPr>
      <w:r>
        <w:t xml:space="preserve">HPO budget.</w:t>
      </w:r>
    </w:p>
    <w:p>
      <w:pPr>
        <w:pStyle w:val="FirstParagraph"/>
      </w:pPr>
      <w:r>
        <w:t xml:space="preserve">We use the same</w:t>
      </w:r>
      <w:r>
        <w:t xml:space="preserve"> </w:t>
      </w:r>
      <m:oMath>
        <m:r>
          <m:t>25</m:t>
        </m:r>
      </m:oMath>
      <w:r>
        <w:t xml:space="preserve">-trial Optuna budget for SASRec and for each</w:t>
      </w:r>
      <w:r>
        <w:t xml:space="preserve"> </w:t>
      </w:r>
      <w:r>
        <w:t xml:space="preserve">IA-SASRec variant, with the same backbone search space and an extra</w:t>
      </w:r>
      <w:r>
        <w:t xml:space="preserve"> </w:t>
      </w:r>
      <w:r>
        <w:t xml:space="preserve">categorical for the normalisation choice on IA-SASRec. The variants</w:t>
      </w:r>
      <w:r>
        <w:t xml:space="preserve"> </w:t>
      </w:r>
      <w:r>
        <w:t xml:space="preserve">therefore receive strictly more hyperparameter freedom than</w:t>
      </w:r>
      <w:r>
        <w:t xml:space="preserve"> </w:t>
      </w:r>
      <w:r>
        <w:t xml:space="preserve">SASRec at no extra cost. The selected configurations are not</w:t>
      </w:r>
      <w:r>
        <w:t xml:space="preserve"> </w:t>
      </w:r>
      <w:r>
        <w:t xml:space="preserve">systematically deeper or wider for SASRec than for the variants, so</w:t>
      </w:r>
      <w:r>
        <w:t xml:space="preserve"> </w:t>
      </w:r>
      <w:r>
        <w:t xml:space="preserve">“under-tuned”</w:t>
      </w:r>
      <w:r>
        <w:t xml:space="preserve"> </w:t>
      </w:r>
      <w:r>
        <w:t xml:space="preserve">is not a plausible explanation of the degradations.</w:t>
      </w:r>
    </w:p>
    <w:bookmarkEnd w:id="52"/>
    <w:bookmarkStart w:id="53" w:name="normalisation-family."/>
    <w:p>
      <w:pPr>
        <w:pStyle w:val="Heading4"/>
      </w:pPr>
      <w:r>
        <w:t xml:space="preserve">Normalisation family.</w:t>
      </w:r>
    </w:p>
    <w:p>
      <w:pPr>
        <w:pStyle w:val="FirstParagraph"/>
      </w:pPr>
      <w:r>
        <w:t xml:space="preserve">Optuna selects a single normalisation per (dataset, model). A richer</w:t>
      </w:r>
      <w:r>
        <w:t xml:space="preserve"> </w:t>
      </w:r>
      <w:r>
        <w:t xml:space="preserve">parametric normalisation (e.g. learned bin boundaries on the playtime</w:t>
      </w:r>
      <w:r>
        <w:t xml:space="preserve"> </w:t>
      </w:r>
      <w:r>
        <w:t xml:space="preserve">quantile) might rescue Steam; we leave this to future work and flag</w:t>
      </w:r>
      <w:r>
        <w:t xml:space="preserve"> </w:t>
      </w:r>
      <w:r>
        <w:t xml:space="preserve">it as the most likely route to</w:t>
      </w:r>
      <w:r>
        <w:t xml:space="preserve"> </w:t>
      </w:r>
      <w:r>
        <w:t xml:space="preserve">“intensity helps after all”</w:t>
      </w:r>
      <w:r>
        <w:t xml:space="preserve"> </w:t>
      </w:r>
      <w:r>
        <w:t xml:space="preserve">on</w:t>
      </w:r>
      <w:r>
        <w:t xml:space="preserve"> </w:t>
      </w:r>
      <w:r>
        <w:t xml:space="preserve">heavy-tailed signals.</w:t>
      </w:r>
    </w:p>
    <w:bookmarkEnd w:id="53"/>
    <w:bookmarkStart w:id="54" w:name="no-controlled-lambda0-run."/>
    <w:p>
      <w:pPr>
        <w:pStyle w:val="Heading4"/>
      </w:pPr>
      <w:r>
        <w:t xml:space="preserve">No controlled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run.</w:t>
      </w:r>
    </w:p>
    <w:p>
      <w:pPr>
        <w:pStyle w:val="FirstParagraph"/>
      </w:pPr>
      <w:r>
        <w:t xml:space="preserve">We did not pin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as a control, so the falsification of the</w:t>
      </w:r>
      <w:r>
        <w:t xml:space="preserve"> </w:t>
      </w:r>
      <w:r>
        <w:t xml:space="preserve">fallback in our analysis rests on observed</w:t>
      </w:r>
      <w:r>
        <w:t xml:space="preserve"> </w:t>
      </w:r>
      <w:r>
        <w:t xml:space="preserve">dynamics (large learned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coexists with degraded metrics; the</w:t>
      </w:r>
      <w:r>
        <w:t xml:space="preserve"> </w:t>
      </w:r>
      <w:r>
        <w:t xml:space="preserve">optimiser can drive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small elsewhere). It does not</w:t>
      </w:r>
      <w:r>
        <w:t xml:space="preserve"> </w:t>
      </w:r>
      <w:r>
        <w:t xml:space="preserve">strictly exclude the counter-narrative</w:t>
      </w:r>
      <w:r>
        <w:t xml:space="preserve"> </w:t>
      </w:r>
      <w:r>
        <w:t xml:space="preserve">“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also</w:t>
      </w:r>
      <w:r>
        <w:t xml:space="preserve"> </w:t>
      </w:r>
      <w:r>
        <w:t xml:space="preserve">have degraded on Steam”</w:t>
      </w:r>
      <w:r>
        <w:t xml:space="preserve">; we phrase the lesson in</w:t>
      </w:r>
      <w:r>
        <w:t xml:space="preserve"> </w:t>
      </w:r>
      <w:r>
        <w:t xml:space="preserve">the Conclusion accordingly.</w:t>
      </w:r>
    </w:p>
    <w:bookmarkEnd w:id="54"/>
    <w:bookmarkStart w:id="55" w:name="conservatism-of-paired-t-at-n5."/>
    <w:p>
      <w:pPr>
        <w:pStyle w:val="Heading4"/>
      </w:pPr>
      <w:r>
        <w:t xml:space="preserve">Conservatism of paired-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the paired-</w:t>
      </w:r>
      <m:oMath>
        <m:r>
          <m:t>t</m:t>
        </m:r>
      </m:oMath>
      <w:r>
        <w:t xml:space="preserve"> </w:t>
      </w:r>
      <w:r>
        <w:t xml:space="preserve">has low power. We mitigate by</w:t>
      </w:r>
      <w:r>
        <w:t xml:space="preserve"> </w:t>
      </w:r>
      <w:r>
        <w:t xml:space="preserve">also requiring the per-user bootstrap (effective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the thousands)</w:t>
      </w:r>
      <w:r>
        <w:t xml:space="preserve"> </w:t>
      </w:r>
      <w:r>
        <w:t xml:space="preserve">and the per-seed sign-majority gate. The cost is that some</w:t>
      </w:r>
      <w:r>
        <w:t xml:space="preserve"> </w:t>
      </w:r>
      <w:r>
        <w:t xml:space="preserve">small-magnitude positive effects may be missed; the benefit is that</w:t>
      </w:r>
      <w:r>
        <w:t xml:space="preserve"> </w:t>
      </w:r>
      <w:r>
        <w:t xml:space="preserve">the cells we do flag as robust are unlikely to be artifacts of</w:t>
      </w:r>
      <w:r>
        <w:t xml:space="preserve"> </w:t>
      </w:r>
      <w:r>
        <w:t xml:space="preserve">seed or test-population sampling.</w:t>
      </w:r>
    </w:p>
    <w:bookmarkEnd w:id="55"/>
    <w:bookmarkEnd w:id="56"/>
    <w:bookmarkEnd w:id="57"/>
    <w:bookmarkStart w:id="149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tested three drop-in intensity-injection variants of SASRec</w:t>
      </w:r>
      <w:r>
        <w:t xml:space="preserve"> </w:t>
      </w:r>
      <w:r>
        <w:t xml:space="preserve">(Add / Mul / Val), each gated by a learnable per-layer scalar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initialised to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collapses the</w:t>
      </w:r>
      <w:r>
        <w:t xml:space="preserve"> </w:t>
      </w:r>
      <w:r>
        <w:t xml:space="preserve">variant exactly to the baseline. Across seven datasets and five seeds</w:t>
      </w:r>
      <w:r>
        <w:t xml:space="preserve"> </w:t>
      </w:r>
      <w:r>
        <w:t xml:space="preserve">under a dual-criterion significance protocol with a per-seed</w:t>
      </w:r>
      <w:r>
        <w:t xml:space="preserve"> </w:t>
      </w:r>
      <w:r>
        <w:t xml:space="preserve">stability check, none of the variants</w:t>
      </w:r>
      <w:r>
        <w:t xml:space="preserve"> </w:t>
      </w:r>
      <w:r>
        <w:t xml:space="preserve">delivers a robust improvement, and the failure is largest on Steam,</w:t>
      </w:r>
      <w:r>
        <w:t xml:space="preserve"> </w:t>
      </w:r>
      <w:r>
        <w:t xml:space="preserve">the dataset with the strongest, most continuous intensity signal.</w:t>
      </w:r>
    </w:p>
    <w:p>
      <w:pPr>
        <w:pStyle w:val="BodyText"/>
      </w:pPr>
      <w:r>
        <w:t xml:space="preserve">The mechanism is sharper than</w:t>
      </w:r>
      <w:r>
        <w:t xml:space="preserve"> </w:t>
      </w:r>
      <w:r>
        <w:t xml:space="preserve">“the hypothesis is wrong.”</w:t>
      </w:r>
      <w:r>
        <w:t xml:space="preserve"> </w:t>
      </w:r>
      <w:r>
        <w:t xml:space="preserve">The</w:t>
      </w:r>
      <w:r>
        <w:t xml:space="preserve"> </w:t>
      </w:r>
      <w:r>
        <w:t xml:space="preserve">learned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adapts freely on the datasets where intensity is</w:t>
      </w:r>
      <w:r>
        <w:t xml:space="preserve"> </w:t>
      </w:r>
      <w:r>
        <w:t xml:space="preserve">not informative (down to</w:t>
      </w:r>
      <w:r>
        <w:t xml:space="preserve"> </w:t>
      </w:r>
      <m:oMath>
        <m:r>
          <m:t>0.07</m:t>
        </m:r>
      </m:oMath>
      <w:r>
        <w:t xml:space="preserve"> </w:t>
      </w:r>
      <w:r>
        <w:t xml:space="preserve">on ML-1M Val) yet stays at</w:t>
      </w:r>
      <w:r>
        <w:t xml:space="preserve"> </w:t>
      </w:r>
      <m:oMath>
        <m:r>
          <m:t>0.55</m:t>
        </m:r>
      </m:oMath>
      <w:r>
        <w:t xml:space="preserve">–</w:t>
      </w:r>
      <m:oMath>
        <m:r>
          <m:t>0.99</m:t>
        </m:r>
      </m:oMath>
      <w:r>
        <w:t xml:space="preserve"> </w:t>
      </w:r>
      <w:r>
        <w:t xml:space="preserve">on Steam, where the variants are at their worst. The architectural</w:t>
      </w:r>
      <w:r>
        <w:t xml:space="preserve"> </w:t>
      </w:r>
      <w:r>
        <w:t xml:space="preserve">off-switch predicted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therefore available in principle</w:t>
      </w:r>
      <w:r>
        <w:t xml:space="preserve"> </w:t>
      </w:r>
      <w:r>
        <w:t xml:space="preserve">but not realised in practice: cross-entropy gradients do not steer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back to zero even when generalisation degrades. A single</w:t>
      </w:r>
      <w:r>
        <w:t xml:space="preserve"> </w:t>
      </w:r>
      <w:r>
        <w:t xml:space="preserve">per-layer scalar is too limited a control for intensity injection.</w:t>
      </w:r>
    </w:p>
    <w:p>
      <w:pPr>
        <w:pStyle w:val="BodyText"/>
      </w:pPr>
      <w:r>
        <w:t xml:space="preserve">Three concrete directions worth trying instead of scaling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First, token-level intensity gating: replace the scalar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with a per-position learned gate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so the</w:t>
      </w:r>
      <w:r>
        <w:t xml:space="preserve"> </w:t>
      </w:r>
      <w:r>
        <w:t xml:space="preserve">model can mute specific intensity values (e.g. the</w:t>
      </w:r>
      <w:r>
        <w:t xml:space="preserve"> </w:t>
      </w:r>
      <m:oMath>
        <m:r>
          <m:t>100</m:t>
        </m:r>
      </m:oMath>
      <w:r>
        <w:t xml:space="preserve">-hour Steam</w:t>
      </w:r>
      <w:r>
        <w:t xml:space="preserve"> </w:t>
      </w:r>
      <w:r>
        <w:t xml:space="preserve">tail) while keeping the moderate range. Second,</w:t>
      </w:r>
      <w:r>
        <w:t xml:space="preserve"> </w:t>
      </w:r>
      <w:r>
        <w:t xml:space="preserve">mixture-of-experts on intensity bins: discretise intensity by</w:t>
      </w:r>
      <w:r>
        <w:t xml:space="preserve"> </w:t>
      </w:r>
      <w:r>
        <w:t xml:space="preserve">post-normalisation percentile and route attention through expert</w:t>
      </w:r>
      <w:r>
        <w:t xml:space="preserve"> </w:t>
      </w:r>
      <w:r>
        <w:t xml:space="preserve">heads selected by bin, decoupling</w:t>
      </w:r>
      <w:r>
        <w:t xml:space="preserve"> </w:t>
      </w:r>
      <w:r>
        <w:t xml:space="preserve">“head specialised on high</w:t>
      </w:r>
      <w:r>
        <w:t xml:space="preserve"> </w:t>
      </w:r>
      <w:r>
        <w:t xml:space="preserve">intensity”</w:t>
      </w:r>
      <w:r>
        <w:t xml:space="preserve"> </w:t>
      </w:r>
      <w:r>
        <w:t xml:space="preserve">from</w:t>
      </w:r>
      <w:r>
        <w:t xml:space="preserve"> </w:t>
      </w:r>
      <w:r>
        <w:t xml:space="preserve">“head ignoring intensity.”</w:t>
      </w:r>
      <w:r>
        <w:t xml:space="preserve"> </w:t>
      </w:r>
      <w:r>
        <w:t xml:space="preserve">Third, intensity</w:t>
      </w:r>
      <w:r>
        <w:t xml:space="preserve"> </w:t>
      </w:r>
      <w:r>
        <w:t xml:space="preserve">as a side-token: rather than modifying the attention computation,</w:t>
      </w:r>
      <w:r>
        <w:t xml:space="preserve"> </w:t>
      </w:r>
      <w:r>
        <w:t xml:space="preserve">insert an intensity-derived token at each position of the sequence</w:t>
      </w:r>
      <w:r>
        <w:t xml:space="preserve"> </w:t>
      </w:r>
      <w:r>
        <w:t xml:space="preserve">and let standard self-attention decide whether to look at it; this</w:t>
      </w:r>
      <w:r>
        <w:t xml:space="preserve"> </w:t>
      </w:r>
      <w:r>
        <w:t xml:space="preserve">moves the optimisation signal into the embedding space where existing</w:t>
      </w:r>
      <w:r>
        <w:t xml:space="preserve"> </w:t>
      </w:r>
      <w:r>
        <w:t xml:space="preserve">SASRec dynamics are well understood.</w:t>
      </w:r>
    </w:p>
    <w:bookmarkStart w:id="148" w:name="refs"/>
    <w:bookmarkStart w:id="59" w:name="ref-akiba2019optuna"/>
    <w:p>
      <w:pPr>
        <w:pStyle w:val="Bibliography"/>
      </w:pPr>
      <w:r>
        <w:t xml:space="preserve">Akiba, Takuya, Shotaro Sano, Toshihiko Yanase, Takeru Ohta, and Masanori Koyama. 2019.</w:t>
      </w:r>
      <w:r>
        <w:t xml:space="preserve"> </w:t>
      </w:r>
      <w:r>
        <w:t xml:space="preserve">“</w:t>
      </w:r>
      <w:r>
        <w:t xml:space="preserve">Optuna</w:t>
      </w:r>
      <w:r>
        <w:t xml:space="preserve">: A Next-Generation Hyperparameter Optimization Framework.”</w:t>
      </w:r>
      <w:r>
        <w:t xml:space="preserve"> </w:t>
      </w:r>
      <w:r>
        <w:rPr>
          <w:i/>
          <w:iCs/>
        </w:rPr>
        <w:t xml:space="preserve">Proceedings of the 25th ACM SIGKDD International Conference on Knowledge Discovery &amp; Data Mining (KDD)</w:t>
      </w:r>
      <w:r>
        <w:t xml:space="preserve">, 2623–31.</w:t>
      </w:r>
      <w:r>
        <w:t xml:space="preserve"> </w:t>
      </w:r>
      <w:hyperlink r:id="rId58">
        <w:r>
          <w:rPr>
            <w:rStyle w:val="Hyperlink"/>
          </w:rPr>
          <w:t xml:space="preserve">https://doi.org/10.1145/3292500.3330701</w:t>
        </w:r>
      </w:hyperlink>
      <w:r>
        <w:t xml:space="preserve">.</w:t>
      </w:r>
    </w:p>
    <w:bookmarkEnd w:id="59"/>
    <w:bookmarkStart w:id="61" w:name="ref-ba2016layernorm"/>
    <w:p>
      <w:pPr>
        <w:pStyle w:val="Bibliography"/>
      </w:pPr>
      <w:r>
        <w:t xml:space="preserve">Ba, Jimmy Lei, Jamie Ryan Kiros, and Geoffrey E. Hinton. 2016.</w:t>
      </w:r>
      <w:r>
        <w:t xml:space="preserve"> </w:t>
      </w:r>
      <w:r>
        <w:t xml:space="preserve">“Layer Normalization.”</w:t>
      </w:r>
      <w:r>
        <w:t xml:space="preserve"> </w:t>
      </w:r>
      <w:r>
        <w:rPr>
          <w:i/>
          <w:iCs/>
        </w:rPr>
        <w:t xml:space="preserve">arXiv preprint arXiv:1607.06450</w:t>
      </w:r>
      <w:r>
        <w:t xml:space="preserve">, ahead of print.</w:t>
      </w:r>
      <w:r>
        <w:t xml:space="preserve"> </w:t>
      </w:r>
      <w:hyperlink r:id="rId60">
        <w:r>
          <w:rPr>
            <w:rStyle w:val="Hyperlink"/>
          </w:rPr>
          <w:t xml:space="preserve">https://doi.org/10.48550/arXiv.1607.06450</w:t>
        </w:r>
      </w:hyperlink>
      <w:r>
        <w:t xml:space="preserve">.</w:t>
      </w:r>
    </w:p>
    <w:bookmarkEnd w:id="61"/>
    <w:bookmarkStart w:id="63" w:name="ref-chen2022iclrec"/>
    <w:p>
      <w:pPr>
        <w:pStyle w:val="Bibliography"/>
      </w:pPr>
      <w:r>
        <w:t xml:space="preserve">Chen, Yongjun, Zhiwei Liu, Jia Li, Julian McAuley, and Caiming Xiong. 2022.</w:t>
      </w:r>
      <w:r>
        <w:t xml:space="preserve"> </w:t>
      </w:r>
      <w:r>
        <w:t xml:space="preserve">“Intent Contrastive Learning for Sequential Recommendation.”</w:t>
      </w:r>
      <w:r>
        <w:t xml:space="preserve"> </w:t>
      </w:r>
      <w:r>
        <w:rPr>
          <w:i/>
          <w:iCs/>
        </w:rPr>
        <w:t xml:space="preserve">Proceedings of the ACM Web Conference (WWW)</w:t>
      </w:r>
      <w:r>
        <w:t xml:space="preserve">, 2172–82.</w:t>
      </w:r>
      <w:r>
        <w:t xml:space="preserve"> </w:t>
      </w:r>
      <w:hyperlink r:id="rId62">
        <w:r>
          <w:rPr>
            <w:rStyle w:val="Hyperlink"/>
          </w:rPr>
          <w:t xml:space="preserve">https://doi.org/10.1145/3485447.3512090</w:t>
        </w:r>
      </w:hyperlink>
      <w:r>
        <w:t xml:space="preserve">.</w:t>
      </w:r>
    </w:p>
    <w:bookmarkEnd w:id="63"/>
    <w:bookmarkStart w:id="65" w:name="ref-cho2020meantime"/>
    <w:p>
      <w:pPr>
        <w:pStyle w:val="Bibliography"/>
      </w:pPr>
      <w:r>
        <w:t xml:space="preserve">Cho, Sung Min, Eunhyeok Park, and Sungjoo Yoo. 2020.</w:t>
      </w:r>
      <w:r>
        <w:t xml:space="preserve"> </w:t>
      </w:r>
      <w:r>
        <w:t xml:space="preserve">“</w:t>
      </w:r>
      <w:r>
        <w:t xml:space="preserve">MEANTIME</w:t>
      </w:r>
      <w:r>
        <w:t xml:space="preserve">: Mixture of Attention Mechanisms with Multi-Temporal Embeddings for Sequential Recommendation.”</w:t>
      </w:r>
      <w:r>
        <w:t xml:space="preserve"> </w:t>
      </w:r>
      <w:r>
        <w:rPr>
          <w:i/>
          <w:iCs/>
        </w:rPr>
        <w:t xml:space="preserve">Proceedings of the 14th ACM Conference on Recommender Systems (RecSys)</w:t>
      </w:r>
      <w:r>
        <w:t xml:space="preserve">, 515–20.</w:t>
      </w:r>
      <w:r>
        <w:t xml:space="preserve"> </w:t>
      </w:r>
      <w:hyperlink r:id="rId64">
        <w:r>
          <w:rPr>
            <w:rStyle w:val="Hyperlink"/>
          </w:rPr>
          <w:t xml:space="preserve">https://doi.org/10.1145/3383313.3412216</w:t>
        </w:r>
      </w:hyperlink>
      <w:r>
        <w:t xml:space="preserve">.</w:t>
      </w:r>
    </w:p>
    <w:bookmarkEnd w:id="65"/>
    <w:bookmarkStart w:id="67" w:name="ref-devlin2019bert"/>
    <w:p>
      <w:pPr>
        <w:pStyle w:val="Bibliography"/>
      </w:pPr>
      <w:r>
        <w:t xml:space="preserve">Devlin, Jacob, Ming-Wei Chang, Kenton Lee, and Kristina Toutanova. 2019.</w:t>
      </w:r>
      <w:r>
        <w:t xml:space="preserve"> </w:t>
      </w:r>
      <w:r>
        <w:t xml:space="preserve">“</w:t>
      </w:r>
      <w:r>
        <w:t xml:space="preserve">BERT</w:t>
      </w:r>
      <w:r>
        <w:t xml:space="preserve">: Pre-Training of Deep Bidirectional Transformers for Language Understanding.”</w:t>
      </w:r>
      <w:r>
        <w:t xml:space="preserve"> </w:t>
      </w:r>
      <w:r>
        <w:rPr>
          <w:i/>
          <w:iCs/>
        </w:rPr>
        <w:t xml:space="preserve">Proceedings of NAACL-HLT 2019</w:t>
      </w:r>
      <w:r>
        <w:t xml:space="preserve">, 4171–86.</w:t>
      </w:r>
      <w:r>
        <w:t xml:space="preserve"> </w:t>
      </w:r>
      <w:hyperlink r:id="rId66">
        <w:r>
          <w:rPr>
            <w:rStyle w:val="Hyperlink"/>
          </w:rPr>
          <w:t xml:space="preserve">https://doi.org/10.18653/v1/N19-1423</w:t>
        </w:r>
      </w:hyperlink>
      <w:r>
        <w:t xml:space="preserve">.</w:t>
      </w:r>
    </w:p>
    <w:bookmarkEnd w:id="67"/>
    <w:bookmarkStart w:id="69" w:name="ref-efron1993bootstrap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Chapman &amp; Hall/CRC.</w:t>
      </w:r>
      <w:r>
        <w:t xml:space="preserve"> </w:t>
      </w:r>
      <w:hyperlink r:id="rId6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69"/>
    <w:bookmarkStart w:id="71" w:name="ref-fan2021lightsans"/>
    <w:p>
      <w:pPr>
        <w:pStyle w:val="Bibliography"/>
      </w:pPr>
      <w:r>
        <w:t xml:space="preserve">Fan, Xinyan, Zheng Liu, Jianxun Lian, Wayne Xin Zhao, Xing Xie, and Ji-Rong Wen. 2021.</w:t>
      </w:r>
      <w:r>
        <w:t xml:space="preserve"> </w:t>
      </w:r>
      <w:r>
        <w:t xml:space="preserve">“Lighter and Better: Low-Rank Decomposed Self-Attention Networks for Next-Item Recommendation.”</w:t>
      </w:r>
      <w:r>
        <w:t xml:space="preserve"> </w:t>
      </w:r>
      <w:r>
        <w:rPr>
          <w:i/>
          <w:iCs/>
        </w:rPr>
        <w:t xml:space="preserve">Proceedings of the 44th International ACM SIGIR Conference on Research and Development in Information Retrieval</w:t>
      </w:r>
      <w:r>
        <w:t xml:space="preserve">, 1733–37.</w:t>
      </w:r>
      <w:r>
        <w:t xml:space="preserve"> </w:t>
      </w:r>
      <w:hyperlink r:id="rId70">
        <w:r>
          <w:rPr>
            <w:rStyle w:val="Hyperlink"/>
          </w:rPr>
          <w:t xml:space="preserve">https://doi.org/10.1145/3404835.3462440</w:t>
        </w:r>
      </w:hyperlink>
      <w:r>
        <w:t xml:space="preserve">.</w:t>
      </w:r>
    </w:p>
    <w:bookmarkEnd w:id="71"/>
    <w:bookmarkStart w:id="73" w:name="ref-fan2022stosa"/>
    <w:p>
      <w:pPr>
        <w:pStyle w:val="Bibliography"/>
      </w:pPr>
      <w:r>
        <w:t xml:space="preserve">Fan, Ziwei, Zhiwei Liu, Alice Wang, et al. 2022.</w:t>
      </w:r>
      <w:r>
        <w:t xml:space="preserve"> </w:t>
      </w:r>
      <w:r>
        <w:t xml:space="preserve">“Sequential Recommendation via Stochastic Self-Attention.”</w:t>
      </w:r>
      <w:r>
        <w:t xml:space="preserve"> </w:t>
      </w:r>
      <w:r>
        <w:rPr>
          <w:i/>
          <w:iCs/>
        </w:rPr>
        <w:t xml:space="preserve">Proceedings of the ACM Web Conference (WWW)</w:t>
      </w:r>
      <w:r>
        <w:t xml:space="preserve">, 2036–47.</w:t>
      </w:r>
      <w:r>
        <w:t xml:space="preserve"> </w:t>
      </w:r>
      <w:hyperlink r:id="rId72">
        <w:r>
          <w:rPr>
            <w:rStyle w:val="Hyperlink"/>
          </w:rPr>
          <w:t xml:space="preserve">https://doi.org/10.1145/3485447.3512077</w:t>
        </w:r>
      </w:hyperlink>
      <w:r>
        <w:t xml:space="preserve">.</w:t>
      </w:r>
    </w:p>
    <w:bookmarkEnd w:id="73"/>
    <w:bookmarkStart w:id="75" w:name="ref-ferrari2019"/>
    <w:p>
      <w:pPr>
        <w:pStyle w:val="Bibliography"/>
      </w:pPr>
      <w:r>
        <w:t xml:space="preserve">Ferrari Dacrema, Maurizio, Paolo Cremonesi, and Dietmar Jannach. 2019.</w:t>
      </w:r>
      <w:r>
        <w:t xml:space="preserve"> </w:t>
      </w:r>
      <w:r>
        <w:t xml:space="preserve">“Are We Really Making Much Progress?</w:t>
      </w:r>
      <w:r>
        <w:t xml:space="preserve"> </w:t>
      </w:r>
      <w:r>
        <w:t xml:space="preserve">A</w:t>
      </w:r>
      <w:r>
        <w:t xml:space="preserve"> </w:t>
      </w:r>
      <w:r>
        <w:t xml:space="preserve">Worrying Analysis of Recent Neural Recommendation Approaches.”</w:t>
      </w:r>
      <w:r>
        <w:t xml:space="preserve"> </w:t>
      </w:r>
      <w:r>
        <w:rPr>
          <w:i/>
          <w:iCs/>
        </w:rPr>
        <w:t xml:space="preserve">Proceedings of the 13th ACM Conference on Recommender Systems (RecSys)</w:t>
      </w:r>
      <w:r>
        <w:t xml:space="preserve">, 101–9.</w:t>
      </w:r>
      <w:r>
        <w:t xml:space="preserve"> </w:t>
      </w:r>
      <w:hyperlink r:id="rId74">
        <w:r>
          <w:rPr>
            <w:rStyle w:val="Hyperlink"/>
          </w:rPr>
          <w:t xml:space="preserve">https://doi.org/10.1145/3298689.3347058</w:t>
        </w:r>
      </w:hyperlink>
      <w:r>
        <w:t xml:space="preserve">.</w:t>
      </w:r>
    </w:p>
    <w:bookmarkEnd w:id="75"/>
    <w:bookmarkStart w:id="77" w:name="ref-harper2015movielens"/>
    <w:p>
      <w:pPr>
        <w:pStyle w:val="Bibliography"/>
      </w:pPr>
      <w:r>
        <w:t xml:space="preserve">Harper, F. Maxwell, and Joseph A. Konstan. 2015.</w:t>
      </w:r>
      <w:r>
        <w:t xml:space="preserve"> </w:t>
      </w:r>
      <w:r>
        <w:t xml:space="preserve">“The</w:t>
      </w:r>
      <w:r>
        <w:t xml:space="preserve"> </w:t>
      </w:r>
      <w:r>
        <w:t xml:space="preserve">MovieLens</w:t>
      </w:r>
      <w:r>
        <w:t xml:space="preserve"> </w:t>
      </w:r>
      <w:r>
        <w:t xml:space="preserve">Datasets: History and Context.”</w:t>
      </w:r>
      <w:r>
        <w:t xml:space="preserve"> </w:t>
      </w:r>
      <w:r>
        <w:rPr>
          <w:i/>
          <w:iCs/>
        </w:rPr>
        <w:t xml:space="preserve">ACM Transactions on Interactive Intelligent Systems</w:t>
      </w:r>
      <w:r>
        <w:t xml:space="preserve"> </w:t>
      </w:r>
      <w:r>
        <w:t xml:space="preserve">5 (4): 1–19.</w:t>
      </w:r>
      <w:r>
        <w:t xml:space="preserve"> </w:t>
      </w:r>
      <w:hyperlink r:id="rId76">
        <w:r>
          <w:rPr>
            <w:rStyle w:val="Hyperlink"/>
          </w:rPr>
          <w:t xml:space="preserve">https://doi.org/10.1145/2827872</w:t>
        </w:r>
      </w:hyperlink>
      <w:r>
        <w:t xml:space="preserve">.</w:t>
      </w:r>
    </w:p>
    <w:bookmarkEnd w:id="77"/>
    <w:bookmarkStart w:id="79" w:name="ref-he2016amazonups"/>
    <w:p>
      <w:pPr>
        <w:pStyle w:val="Bibliography"/>
      </w:pPr>
      <w:r>
        <w:t xml:space="preserve">He, Ruining, and Julian McAuley. 2016.</w:t>
      </w:r>
      <w:r>
        <w:t xml:space="preserve"> </w:t>
      </w:r>
      <w:r>
        <w:t xml:space="preserve">“Ups and Downs: Modeling the Visual Evolution of Fashion Trends with One-Class Collaborative Filtering.”</w:t>
      </w:r>
      <w:r>
        <w:t xml:space="preserve"> </w:t>
      </w:r>
      <w:r>
        <w:rPr>
          <w:i/>
          <w:iCs/>
        </w:rPr>
        <w:t xml:space="preserve">Proceedings of the 25th International Conference on World Wide Web (WWW)</w:t>
      </w:r>
      <w:r>
        <w:t xml:space="preserve">, 507–17.</w:t>
      </w:r>
      <w:r>
        <w:t xml:space="preserve"> </w:t>
      </w:r>
      <w:hyperlink r:id="rId78">
        <w:r>
          <w:rPr>
            <w:rStyle w:val="Hyperlink"/>
          </w:rPr>
          <w:t xml:space="preserve">https://doi.org/10.1145/2872427.2883037</w:t>
        </w:r>
      </w:hyperlink>
      <w:r>
        <w:t xml:space="preserve">.</w:t>
      </w:r>
    </w:p>
    <w:bookmarkEnd w:id="79"/>
    <w:bookmarkStart w:id="81" w:name="ref-hidasi2016gru4rec"/>
    <w:p>
      <w:pPr>
        <w:pStyle w:val="Bibliography"/>
      </w:pPr>
      <w:r>
        <w:t xml:space="preserve">Hidasi, Balázs, Alexandros Karatzoglou, Linas Baltrunas, and Domonkos Tikk. 2016.</w:t>
      </w:r>
      <w:r>
        <w:t xml:space="preserve"> </w:t>
      </w:r>
      <w:r>
        <w:t xml:space="preserve">“Session-Based Recommendations with Recurrent Neural Networks.”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https://doi.org/10.48550/arXiv.1511.06939</w:t>
        </w:r>
      </w:hyperlink>
      <w:r>
        <w:t xml:space="preserve">.</w:t>
      </w:r>
    </w:p>
    <w:bookmarkEnd w:id="81"/>
    <w:bookmarkStart w:id="83" w:name="ref-hou2022core"/>
    <w:p>
      <w:pPr>
        <w:pStyle w:val="Bibliography"/>
      </w:pPr>
      <w:r>
        <w:t xml:space="preserve">Hou, Yupeng, Binbin Hu, Zhiqiang Zhang, and Wayne Xin Zhao. 2022.</w:t>
      </w:r>
      <w:r>
        <w:t xml:space="preserve"> </w:t>
      </w:r>
      <w:r>
        <w:t xml:space="preserve">“</w:t>
      </w:r>
      <w:r>
        <w:t xml:space="preserve">CORE</w:t>
      </w:r>
      <w:r>
        <w:t xml:space="preserve">: Simple and Effective Session-Based Recommendation Within Consistent Representation Space.”</w:t>
      </w:r>
      <w:r>
        <w:t xml:space="preserve"> </w:t>
      </w:r>
      <w:r>
        <w:rPr>
          <w:i/>
          <w:iCs/>
        </w:rPr>
        <w:t xml:space="preserve">Proceedings of the 45th International ACM SIGIR Conference on Research and Development in Information Retrieval</w:t>
      </w:r>
      <w:r>
        <w:t xml:space="preserve">, 1796–801.</w:t>
      </w:r>
      <w:r>
        <w:t xml:space="preserve"> </w:t>
      </w:r>
      <w:hyperlink r:id="rId82">
        <w:r>
          <w:rPr>
            <w:rStyle w:val="Hyperlink"/>
          </w:rPr>
          <w:t xml:space="preserve">https://doi.org/10.1145/3477495.3531955</w:t>
        </w:r>
      </w:hyperlink>
      <w:r>
        <w:t xml:space="preserve">.</w:t>
      </w:r>
    </w:p>
    <w:bookmarkEnd w:id="83"/>
    <w:bookmarkStart w:id="85" w:name="ref-hou2022unisrec"/>
    <w:p>
      <w:pPr>
        <w:pStyle w:val="Bibliography"/>
      </w:pPr>
      <w:r>
        <w:t xml:space="preserve">Hou, Yupeng, Shanlei Mu, Wayne Xin Zhao, Yaliang Li, Bolin Ding, and Ji-Rong Wen. 2022.</w:t>
      </w:r>
      <w:r>
        <w:t xml:space="preserve"> </w:t>
      </w:r>
      <w:r>
        <w:t xml:space="preserve">“Towards Universal Sequence Representation Learning for Recommender Systems.”</w:t>
      </w:r>
      <w:r>
        <w:t xml:space="preserve"> </w:t>
      </w:r>
      <w:r>
        <w:rPr>
          <w:i/>
          <w:iCs/>
        </w:rPr>
        <w:t xml:space="preserve">Proceedings of the 28th ACM SIGKDD Conference on Knowledge Discovery &amp; Data Mining (KDD)</w:t>
      </w:r>
      <w:r>
        <w:t xml:space="preserve">, 585–93.</w:t>
      </w:r>
      <w:r>
        <w:t xml:space="preserve"> </w:t>
      </w:r>
      <w:hyperlink r:id="rId84">
        <w:r>
          <w:rPr>
            <w:rStyle w:val="Hyperlink"/>
          </w:rPr>
          <w:t xml:space="preserve">https://doi.org/10.1145/3534678.3539381</w:t>
        </w:r>
      </w:hyperlink>
      <w:r>
        <w:t xml:space="preserve">.</w:t>
      </w:r>
    </w:p>
    <w:bookmarkEnd w:id="85"/>
    <w:bookmarkStart w:id="87" w:name="ref-hu2008cf"/>
    <w:p>
      <w:pPr>
        <w:pStyle w:val="Bibliography"/>
      </w:pPr>
      <w:r>
        <w:t xml:space="preserve">Hu, Yifan, Yehuda Koren, and Chris Volinsky. 2008.</w:t>
      </w:r>
      <w:r>
        <w:t xml:space="preserve"> </w:t>
      </w:r>
      <w:r>
        <w:t xml:space="preserve">“Collaborative Filtering for Implicit Feedback Datasets.”</w:t>
      </w:r>
      <w:r>
        <w:t xml:space="preserve"> </w:t>
      </w:r>
      <w:r>
        <w:rPr>
          <w:i/>
          <w:iCs/>
        </w:rPr>
        <w:t xml:space="preserve">Proceedings of the 8th IEEE International Conference on Data Mining (ICDM)</w:t>
      </w:r>
      <w:r>
        <w:t xml:space="preserve">, 263–72.</w:t>
      </w:r>
      <w:r>
        <w:t xml:space="preserve"> </w:t>
      </w:r>
      <w:hyperlink r:id="rId86">
        <w:r>
          <w:rPr>
            <w:rStyle w:val="Hyperlink"/>
          </w:rPr>
          <w:t xml:space="preserve">https://doi.org/10.1109/ICDM.2008.22</w:t>
        </w:r>
      </w:hyperlink>
      <w:r>
        <w:t xml:space="preserve">.</w:t>
      </w:r>
    </w:p>
    <w:bookmarkEnd w:id="87"/>
    <w:bookmarkStart w:id="89" w:name="ref-kang2018sasrec"/>
    <w:p>
      <w:pPr>
        <w:pStyle w:val="Bibliography"/>
      </w:pPr>
      <w:r>
        <w:t xml:space="preserve">Kang, Wang-Cheng, and Julian McAuley. 2018.</w:t>
      </w:r>
      <w:r>
        <w:t xml:space="preserve"> </w:t>
      </w:r>
      <w:r>
        <w:t xml:space="preserve">“Self-Attentive Sequential Recommendation.”</w:t>
      </w:r>
      <w:r>
        <w:t xml:space="preserve"> </w:t>
      </w:r>
      <w:r>
        <w:rPr>
          <w:i/>
          <w:iCs/>
        </w:rPr>
        <w:t xml:space="preserve">Proceedings of the IEEE International Conference on Data Mining (ICDM)</w:t>
      </w:r>
      <w:r>
        <w:t xml:space="preserve">, 197–206.</w:t>
      </w:r>
      <w:r>
        <w:t xml:space="preserve"> </w:t>
      </w:r>
      <w:hyperlink r:id="rId88">
        <w:r>
          <w:rPr>
            <w:rStyle w:val="Hyperlink"/>
          </w:rPr>
          <w:t xml:space="preserve">https://doi.org/10.1109/ICDM.2018.00035</w:t>
        </w:r>
      </w:hyperlink>
      <w:r>
        <w:t xml:space="preserve">.</w:t>
      </w:r>
    </w:p>
    <w:bookmarkEnd w:id="89"/>
    <w:bookmarkStart w:id="91" w:name="ref-krichene2020sampled"/>
    <w:p>
      <w:pPr>
        <w:pStyle w:val="Bibliography"/>
      </w:pPr>
      <w:r>
        <w:t xml:space="preserve">Krichene, Walid, and Steffen Rendle. 2020.</w:t>
      </w:r>
      <w:r>
        <w:t xml:space="preserve"> </w:t>
      </w:r>
      <w:r>
        <w:t xml:space="preserve">“On Sampled Metrics for Item Recommendation.”</w:t>
      </w:r>
      <w:r>
        <w:t xml:space="preserve"> </w:t>
      </w:r>
      <w:r>
        <w:rPr>
          <w:i/>
          <w:iCs/>
        </w:rPr>
        <w:t xml:space="preserve">Proceedings of the 26th ACM SIGKDD International Conference on Knowledge Discovery &amp; Data Mining (KDD)</w:t>
      </w:r>
      <w:r>
        <w:t xml:space="preserve">, 1748–57.</w:t>
      </w:r>
      <w:r>
        <w:t xml:space="preserve"> </w:t>
      </w:r>
      <w:hyperlink r:id="rId90">
        <w:r>
          <w:rPr>
            <w:rStyle w:val="Hyperlink"/>
          </w:rPr>
          <w:t xml:space="preserve">https://doi.org/10.1145/3394486.3403226</w:t>
        </w:r>
      </w:hyperlink>
      <w:r>
        <w:t xml:space="preserve">.</w:t>
      </w:r>
    </w:p>
    <w:bookmarkEnd w:id="91"/>
    <w:bookmarkStart w:id="93" w:name="ref-li2020tisasrec"/>
    <w:p>
      <w:pPr>
        <w:pStyle w:val="Bibliography"/>
      </w:pPr>
      <w:r>
        <w:t xml:space="preserve">Li, Jiacheng, Yujie Wang, and Julian McAuley. 2020.</w:t>
      </w:r>
      <w:r>
        <w:t xml:space="preserve"> </w:t>
      </w:r>
      <w:r>
        <w:t xml:space="preserve">“Time Interval Aware Self-Attention for Sequential Recommendation.”</w:t>
      </w:r>
      <w:r>
        <w:t xml:space="preserve"> </w:t>
      </w:r>
      <w:r>
        <w:rPr>
          <w:i/>
          <w:iCs/>
        </w:rPr>
        <w:t xml:space="preserve">Proceedings of the 13th International Conference on Web Search and Data Mining (WSDM)</w:t>
      </w:r>
      <w:r>
        <w:t xml:space="preserve">, 322–30.</w:t>
      </w:r>
      <w:r>
        <w:t xml:space="preserve"> </w:t>
      </w:r>
      <w:hyperlink r:id="rId92">
        <w:r>
          <w:rPr>
            <w:rStyle w:val="Hyperlink"/>
          </w:rPr>
          <w:t xml:space="preserve">https://doi.org/10.1145/3336191.3371786</w:t>
        </w:r>
      </w:hyperlink>
      <w:r>
        <w:t xml:space="preserve">.</w:t>
      </w:r>
    </w:p>
    <w:bookmarkEnd w:id="93"/>
    <w:bookmarkStart w:id="95" w:name="ref-li2017narm"/>
    <w:p>
      <w:pPr>
        <w:pStyle w:val="Bibliography"/>
      </w:pPr>
      <w:r>
        <w:t xml:space="preserve">Li, Jing, Pengjie Ren, Zhumin Chen, Zhaochun Ren, Tao Lian, and Jun Ma. 2017.</w:t>
      </w:r>
      <w:r>
        <w:t xml:space="preserve"> </w:t>
      </w:r>
      <w:r>
        <w:t xml:space="preserve">“Neural Attentive Session-Based Recommendation.”</w:t>
      </w:r>
      <w:r>
        <w:t xml:space="preserve"> </w:t>
      </w:r>
      <w:r>
        <w:rPr>
          <w:i/>
          <w:iCs/>
        </w:rPr>
        <w:t xml:space="preserve">Proceedings of the 2017 ACM Conference on Information and Knowledge Management (CIKM)</w:t>
      </w:r>
      <w:r>
        <w:t xml:space="preserve">, 1419–28.</w:t>
      </w:r>
      <w:r>
        <w:t xml:space="preserve"> </w:t>
      </w:r>
      <w:hyperlink r:id="rId94">
        <w:r>
          <w:rPr>
            <w:rStyle w:val="Hyperlink"/>
          </w:rPr>
          <w:t xml:space="preserve">https://doi.org/10.1145/3132847.3132926</w:t>
        </w:r>
      </w:hyperlink>
      <w:r>
        <w:t xml:space="preserve">.</w:t>
      </w:r>
    </w:p>
    <w:bookmarkEnd w:id="95"/>
    <w:bookmarkStart w:id="97" w:name="ref-liu2021novabert"/>
    <w:p>
      <w:pPr>
        <w:pStyle w:val="Bibliography"/>
      </w:pPr>
      <w:r>
        <w:t xml:space="preserve">Liu, Chang, Xiaoyang Li, Guoxin Cai, Zhiyong Dong, Hongbo Zhu, and Lifeng Shang. 2021.</w:t>
      </w:r>
      <w:r>
        <w:t xml:space="preserve"> </w:t>
      </w:r>
      <w:r>
        <w:t xml:space="preserve">“Noninvasive Self-Attention for Side Information Fusion in Sequential Recommendation.”</w:t>
      </w:r>
      <w:r>
        <w:t xml:space="preserve"> </w:t>
      </w:r>
      <w:r>
        <w:rPr>
          <w:i/>
          <w:iCs/>
        </w:rPr>
        <w:t xml:space="preserve">Proceedings of the 35th AAAI Conference on Artificial Intelligence</w:t>
      </w:r>
      <w:r>
        <w:t xml:space="preserve">, 4249–56.</w:t>
      </w:r>
      <w:r>
        <w:t xml:space="preserve"> </w:t>
      </w:r>
      <w:hyperlink r:id="rId96">
        <w:r>
          <w:rPr>
            <w:rStyle w:val="Hyperlink"/>
          </w:rPr>
          <w:t xml:space="preserve">https://doi.org/10.1609/aaai.v35i5.16549</w:t>
        </w:r>
      </w:hyperlink>
      <w:r>
        <w:t xml:space="preserve">.</w:t>
      </w:r>
    </w:p>
    <w:bookmarkEnd w:id="97"/>
    <w:bookmarkStart w:id="99" w:name="ref-liu2021asrep"/>
    <w:p>
      <w:pPr>
        <w:pStyle w:val="Bibliography"/>
      </w:pPr>
      <w:r>
        <w:t xml:space="preserve">Liu, Zhiwei, Ziwei Fan, Yu Wang, and Philip S. Yu. 2021.</w:t>
      </w:r>
      <w:r>
        <w:t xml:space="preserve"> </w:t>
      </w:r>
      <w:r>
        <w:t xml:space="preserve">“Augmenting Sequential Recommendation with Pseudo-Prior Items via Reversely Pre-Training Transformer.”</w:t>
      </w:r>
      <w:r>
        <w:t xml:space="preserve"> </w:t>
      </w:r>
      <w:r>
        <w:rPr>
          <w:i/>
          <w:iCs/>
        </w:rPr>
        <w:t xml:space="preserve">Proceedings of the 44th International ACM SIGIR Conference on Research and Development in Information Retrieval</w:t>
      </w:r>
      <w:r>
        <w:t xml:space="preserve">, 1608–12.</w:t>
      </w:r>
      <w:r>
        <w:t xml:space="preserve"> </w:t>
      </w:r>
      <w:hyperlink r:id="rId98">
        <w:r>
          <w:rPr>
            <w:rStyle w:val="Hyperlink"/>
          </w:rPr>
          <w:t xml:space="preserve">https://doi.org/10.1145/3404835.3463036</w:t>
        </w:r>
      </w:hyperlink>
      <w:r>
        <w:t xml:space="preserve">.</w:t>
      </w:r>
    </w:p>
    <w:bookmarkEnd w:id="99"/>
    <w:bookmarkStart w:id="101" w:name="ref-ma2019hgn"/>
    <w:p>
      <w:pPr>
        <w:pStyle w:val="Bibliography"/>
      </w:pPr>
      <w:r>
        <w:t xml:space="preserve">Ma, Chen, Peng Kang, and Xue Liu. 2019.</w:t>
      </w:r>
      <w:r>
        <w:t xml:space="preserve"> </w:t>
      </w:r>
      <w:r>
        <w:t xml:space="preserve">“Hierarchical Gating Networks for Sequential Recommendation.”</w:t>
      </w:r>
      <w:r>
        <w:t xml:space="preserve"> </w:t>
      </w:r>
      <w:r>
        <w:rPr>
          <w:i/>
          <w:iCs/>
        </w:rPr>
        <w:t xml:space="preserve">Proceedings of the 25th ACM SIGKDD International Conference on Knowledge Discovery &amp; Data Mining (KDD)</w:t>
      </w:r>
      <w:r>
        <w:t xml:space="preserve">, 825–33.</w:t>
      </w:r>
      <w:r>
        <w:t xml:space="preserve"> </w:t>
      </w:r>
      <w:hyperlink r:id="rId100">
        <w:r>
          <w:rPr>
            <w:rStyle w:val="Hyperlink"/>
          </w:rPr>
          <w:t xml:space="preserve">https://doi.org/10.1145/3292500.3330984</w:t>
        </w:r>
      </w:hyperlink>
      <w:r>
        <w:t xml:space="preserve">.</w:t>
      </w:r>
    </w:p>
    <w:bookmarkEnd w:id="101"/>
    <w:bookmarkStart w:id="103" w:name="ref-mcauley2015amazon"/>
    <w:p>
      <w:pPr>
        <w:pStyle w:val="Bibliography"/>
      </w:pPr>
      <w:r>
        <w:t xml:space="preserve">McAuley, Julian, Christopher Targett, Qinfeng Shi, and Anton van den Hengel. 2015.</w:t>
      </w:r>
      <w:r>
        <w:t xml:space="preserve"> </w:t>
      </w:r>
      <w:r>
        <w:t xml:space="preserve">“Image-Based Recommendations on Styles and Substitutes.”</w:t>
      </w:r>
      <w:r>
        <w:t xml:space="preserve"> </w:t>
      </w:r>
      <w:r>
        <w:rPr>
          <w:i/>
          <w:iCs/>
        </w:rPr>
        <w:t xml:space="preserve">Proceedings of the 38th International ACM SIGIR Conference on Research and Development in Information Retrieval</w:t>
      </w:r>
      <w:r>
        <w:t xml:space="preserve">, 43–52.</w:t>
      </w:r>
      <w:r>
        <w:t xml:space="preserve"> </w:t>
      </w:r>
      <w:hyperlink r:id="rId102">
        <w:r>
          <w:rPr>
            <w:rStyle w:val="Hyperlink"/>
          </w:rPr>
          <w:t xml:space="preserve">https://doi.org/10.1145/2766462.2767755</w:t>
        </w:r>
      </w:hyperlink>
      <w:r>
        <w:t xml:space="preserve">.</w:t>
      </w:r>
    </w:p>
    <w:bookmarkEnd w:id="103"/>
    <w:bookmarkStart w:id="105" w:name="ref-pan2008oneclass"/>
    <w:p>
      <w:pPr>
        <w:pStyle w:val="Bibliography"/>
      </w:pPr>
      <w:r>
        <w:t xml:space="preserve">Pan, Rong, Yunhong Zhou, Bin Cao, et al. 2008.</w:t>
      </w:r>
      <w:r>
        <w:t xml:space="preserve"> </w:t>
      </w:r>
      <w:r>
        <w:t xml:space="preserve">“One-Class Collaborative Filtering.”</w:t>
      </w:r>
      <w:r>
        <w:t xml:space="preserve"> </w:t>
      </w:r>
      <w:r>
        <w:rPr>
          <w:i/>
          <w:iCs/>
        </w:rPr>
        <w:t xml:space="preserve">Proceedings of the 8th IEEE International Conference on Data Mining (ICDM)</w:t>
      </w:r>
      <w:r>
        <w:t xml:space="preserve">, 502–11.</w:t>
      </w:r>
      <w:r>
        <w:t xml:space="preserve"> </w:t>
      </w:r>
      <w:hyperlink r:id="rId104">
        <w:r>
          <w:rPr>
            <w:rStyle w:val="Hyperlink"/>
          </w:rPr>
          <w:t xml:space="preserve">https://doi.org/10.1109/ICDM.2008.16</w:t>
        </w:r>
      </w:hyperlink>
      <w:r>
        <w:t xml:space="preserve">.</w:t>
      </w:r>
    </w:p>
    <w:bookmarkEnd w:id="105"/>
    <w:bookmarkStart w:id="107" w:name="ref-paszke2019pytorch"/>
    <w:p>
      <w:pPr>
        <w:pStyle w:val="Bibliography"/>
      </w:pPr>
      <w:r>
        <w:t xml:space="preserve">Paszke, Adam, Sam Gross, Francisco Massa, et al. 2019.</w:t>
      </w:r>
      <w:r>
        <w:t xml:space="preserve"> </w:t>
      </w:r>
      <w:r>
        <w:t xml:space="preserve">“</w:t>
      </w:r>
      <w:r>
        <w:t xml:space="preserve">PyTorch</w:t>
      </w:r>
      <w:r>
        <w:t xml:space="preserve">: An Imperative Style, High-Performance Deep Learning Library.”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8024–35.</w:t>
      </w:r>
      <w:r>
        <w:t xml:space="preserve"> </w:t>
      </w:r>
      <w:hyperlink r:id="rId106">
        <w:r>
          <w:rPr>
            <w:rStyle w:val="Hyperlink"/>
          </w:rPr>
          <w:t xml:space="preserve">https://doi.org/10.48550/arXiv.1912.01703</w:t>
        </w:r>
      </w:hyperlink>
      <w:r>
        <w:t xml:space="preserve">.</w:t>
      </w:r>
    </w:p>
    <w:bookmarkEnd w:id="107"/>
    <w:bookmarkStart w:id="109" w:name="ref-pathak2017steam"/>
    <w:p>
      <w:pPr>
        <w:pStyle w:val="Bibliography"/>
      </w:pPr>
      <w:r>
        <w:t xml:space="preserve">Pathak, Apurva, Kshitiz Gupta, and Julian McAuley. 2017.</w:t>
      </w:r>
      <w:r>
        <w:t xml:space="preserve"> </w:t>
      </w:r>
      <w:r>
        <w:t xml:space="preserve">“Generating and Personalizing Bundle Recommendations on</w:t>
      </w:r>
      <w:r>
        <w:t xml:space="preserve"> </w:t>
      </w:r>
      <w:r>
        <w:t xml:space="preserve">Steam</w:t>
      </w:r>
      <w:r>
        <w:t xml:space="preserve">.”</w:t>
      </w:r>
      <w:r>
        <w:t xml:space="preserve"> </w:t>
      </w:r>
      <w:r>
        <w:rPr>
          <w:i/>
          <w:iCs/>
        </w:rPr>
        <w:t xml:space="preserve">Proceedings of the 40th International ACM SIGIR Conference on Research and Development in Information Retrieval</w:t>
      </w:r>
      <w:r>
        <w:t xml:space="preserve">, 1073–76.</w:t>
      </w:r>
      <w:r>
        <w:t xml:space="preserve"> </w:t>
      </w:r>
      <w:hyperlink r:id="rId108">
        <w:r>
          <w:rPr>
            <w:rStyle w:val="Hyperlink"/>
          </w:rPr>
          <w:t xml:space="preserve">https://doi.org/10.1145/3077136.3080724</w:t>
        </w:r>
      </w:hyperlink>
      <w:r>
        <w:t xml:space="preserve">.</w:t>
      </w:r>
    </w:p>
    <w:bookmarkEnd w:id="109"/>
    <w:bookmarkStart w:id="111" w:name="ref-petrov2022replicability"/>
    <w:p>
      <w:pPr>
        <w:pStyle w:val="Bibliography"/>
      </w:pPr>
      <w:r>
        <w:t xml:space="preserve">Petrov, Aleksandr, and Craig Macdonald. 2022.</w:t>
      </w:r>
      <w:r>
        <w:t xml:space="preserve"> </w:t>
      </w:r>
      <w:r>
        <w:t xml:space="preserve">“A Systematic Review and Replicability Study of</w:t>
      </w:r>
      <w:r>
        <w:t xml:space="preserve"> </w:t>
      </w:r>
      <w:r>
        <w:t xml:space="preserve">BERT4Rec</w:t>
      </w:r>
      <w:r>
        <w:t xml:space="preserve"> </w:t>
      </w:r>
      <w:r>
        <w:t xml:space="preserve">for Sequential Recommendation.”</w:t>
      </w:r>
      <w:r>
        <w:t xml:space="preserve"> </w:t>
      </w:r>
      <w:r>
        <w:rPr>
          <w:i/>
          <w:iCs/>
        </w:rPr>
        <w:t xml:space="preserve">Proceedings of the 16th ACM Conference on Recommender Systems (RecSys)</w:t>
      </w:r>
      <w:r>
        <w:t xml:space="preserve">, 436–47.</w:t>
      </w:r>
      <w:r>
        <w:t xml:space="preserve"> </w:t>
      </w:r>
      <w:hyperlink r:id="rId110">
        <w:r>
          <w:rPr>
            <w:rStyle w:val="Hyperlink"/>
          </w:rPr>
          <w:t xml:space="preserve">https://doi.org/10.1145/3523227.3548487</w:t>
        </w:r>
      </w:hyperlink>
      <w:r>
        <w:t xml:space="preserve">.</w:t>
      </w:r>
    </w:p>
    <w:bookmarkEnd w:id="111"/>
    <w:bookmarkStart w:id="113" w:name="ref-qiu2022duorec"/>
    <w:p>
      <w:pPr>
        <w:pStyle w:val="Bibliography"/>
      </w:pPr>
      <w:r>
        <w:t xml:space="preserve">Qiu, Ruihong, Zi Huang, Hongzhi Yin, and Zijian Wang. 2022.</w:t>
      </w:r>
      <w:r>
        <w:t xml:space="preserve"> </w:t>
      </w:r>
      <w:r>
        <w:t xml:space="preserve">“Contrastive Learning for Representation Degeneration Problem in Sequential Recommendation.”</w:t>
      </w:r>
      <w:r>
        <w:t xml:space="preserve"> </w:t>
      </w:r>
      <w:r>
        <w:rPr>
          <w:i/>
          <w:iCs/>
        </w:rPr>
        <w:t xml:space="preserve">Proceedings of the 15th ACM International Conference on Web Search and Data Mining (WSDM)</w:t>
      </w:r>
      <w:r>
        <w:t xml:space="preserve">, 813–23.</w:t>
      </w:r>
      <w:r>
        <w:t xml:space="preserve"> </w:t>
      </w:r>
      <w:hyperlink r:id="rId112">
        <w:r>
          <w:rPr>
            <w:rStyle w:val="Hyperlink"/>
          </w:rPr>
          <w:t xml:space="preserve">https://doi.org/10.1145/3488560.3498433</w:t>
        </w:r>
      </w:hyperlink>
      <w:r>
        <w:t xml:space="preserve">.</w:t>
      </w:r>
    </w:p>
    <w:bookmarkEnd w:id="113"/>
    <w:bookmarkStart w:id="115" w:name="ref-rashed2022carca"/>
    <w:p>
      <w:pPr>
        <w:pStyle w:val="Bibliography"/>
      </w:pPr>
      <w:r>
        <w:t xml:space="preserve">Rashed, Ahmed, Shereen Elsayed, and Lars Schmidt-Thieme. 2022.</w:t>
      </w:r>
      <w:r>
        <w:t xml:space="preserve"> </w:t>
      </w:r>
      <w:r>
        <w:t xml:space="preserve">“</w:t>
      </w:r>
      <w:r>
        <w:t xml:space="preserve">CARCA</w:t>
      </w:r>
      <w:r>
        <w:t xml:space="preserve">: Context and Attribute-Aware Next-Item Recommendation via Cross-Attention.”</w:t>
      </w:r>
      <w:r>
        <w:t xml:space="preserve"> </w:t>
      </w:r>
      <w:r>
        <w:rPr>
          <w:i/>
          <w:iCs/>
        </w:rPr>
        <w:t xml:space="preserve">Proceedings of the 16th ACM Conference on Recommender Systems (RecSys)</w:t>
      </w:r>
      <w:r>
        <w:t xml:space="preserve">, 71–80.</w:t>
      </w:r>
      <w:r>
        <w:t xml:space="preserve"> </w:t>
      </w:r>
      <w:hyperlink r:id="rId114">
        <w:r>
          <w:rPr>
            <w:rStyle w:val="Hyperlink"/>
          </w:rPr>
          <w:t xml:space="preserve">https://doi.org/10.1145/3523227.3546777</w:t>
        </w:r>
      </w:hyperlink>
      <w:r>
        <w:t xml:space="preserve">.</w:t>
      </w:r>
    </w:p>
    <w:bookmarkEnd w:id="115"/>
    <w:bookmarkStart w:id="117" w:name="ref-rendle2009bpr"/>
    <w:p>
      <w:pPr>
        <w:pStyle w:val="Bibliography"/>
      </w:pPr>
      <w:r>
        <w:t xml:space="preserve">Rendle, Steffen, Christoph Freudenthaler, Zeno Gantner, and Lars Schmidt-Thieme. 2009.</w:t>
      </w:r>
      <w:r>
        <w:t xml:space="preserve"> </w:t>
      </w:r>
      <w:r>
        <w:t xml:space="preserve">“</w:t>
      </w:r>
      <w:r>
        <w:t xml:space="preserve">BPR</w:t>
      </w:r>
      <w:r>
        <w:t xml:space="preserve">: Bayesian Personalized Ranking from Implicit Feedback.”</w:t>
      </w:r>
      <w:r>
        <w:t xml:space="preserve"> </w:t>
      </w:r>
      <w:r>
        <w:rPr>
          <w:i/>
          <w:iCs/>
        </w:rPr>
        <w:t xml:space="preserve">Proceedings of the 25th Conference on Uncertainty in Artificial Intelligence (UAI)</w:t>
      </w:r>
      <w:r>
        <w:t xml:space="preserve">, 452–61.</w:t>
      </w:r>
      <w:r>
        <w:t xml:space="preserve"> </w:t>
      </w:r>
      <w:hyperlink r:id="rId116">
        <w:r>
          <w:rPr>
            <w:rStyle w:val="Hyperlink"/>
          </w:rPr>
          <w:t xml:space="preserve">https://doi.org/10.5555/1795114.1795167</w:t>
        </w:r>
      </w:hyperlink>
      <w:r>
        <w:t xml:space="preserve">.</w:t>
      </w:r>
    </w:p>
    <w:bookmarkEnd w:id="117"/>
    <w:bookmarkStart w:id="119" w:name="ref-rendle2010fpmc"/>
    <w:p>
      <w:pPr>
        <w:pStyle w:val="Bibliography"/>
      </w:pPr>
      <w:r>
        <w:t xml:space="preserve">Rendle, Steffen, Christoph Freudenthaler, and Lars Schmidt-Thieme. 2010.</w:t>
      </w:r>
      <w:r>
        <w:t xml:space="preserve"> </w:t>
      </w:r>
      <w:r>
        <w:t xml:space="preserve">“Factorizing Personalized</w:t>
      </w:r>
      <w:r>
        <w:t xml:space="preserve"> </w:t>
      </w:r>
      <w:r>
        <w:t xml:space="preserve">M</w:t>
      </w:r>
      <w:r>
        <w:t xml:space="preserve">arkov Chains for Next-Basket Recommendation.”</w:t>
      </w:r>
      <w:r>
        <w:t xml:space="preserve"> </w:t>
      </w:r>
      <w:r>
        <w:rPr>
          <w:i/>
          <w:iCs/>
        </w:rPr>
        <w:t xml:space="preserve">Proceedings of the 19th International Conference on World Wide Web (WWW)</w:t>
      </w:r>
      <w:r>
        <w:t xml:space="preserve">, 811–20.</w:t>
      </w:r>
      <w:r>
        <w:t xml:space="preserve"> </w:t>
      </w:r>
      <w:hyperlink r:id="rId118">
        <w:r>
          <w:rPr>
            <w:rStyle w:val="Hyperlink"/>
          </w:rPr>
          <w:t xml:space="preserve">https://doi.org/10.1145/1772690.1772773</w:t>
        </w:r>
      </w:hyperlink>
      <w:r>
        <w:t xml:space="preserve">.</w:t>
      </w:r>
    </w:p>
    <w:bookmarkEnd w:id="119"/>
    <w:bookmarkStart w:id="121" w:name="ref-rendle2019baselines"/>
    <w:p>
      <w:pPr>
        <w:pStyle w:val="Bibliography"/>
      </w:pPr>
      <w:r>
        <w:t xml:space="preserve">Rendle, Steffen, Walid Krichene, Li Zhang, and John Anderson. 2020.</w:t>
      </w:r>
      <w:r>
        <w:t xml:space="preserve"> </w:t>
      </w:r>
      <w:r>
        <w:t xml:space="preserve">“Neural Collaborative Filtering Vs. Matrix Factorization Revisited.”</w:t>
      </w:r>
      <w:r>
        <w:t xml:space="preserve"> </w:t>
      </w:r>
      <w:r>
        <w:rPr>
          <w:i/>
          <w:iCs/>
        </w:rPr>
        <w:t xml:space="preserve">Proceedings of the 14th ACM Conference on Recommender Systems (RecSys)</w:t>
      </w:r>
      <w:r>
        <w:t xml:space="preserve">, 240–48.</w:t>
      </w:r>
      <w:r>
        <w:t xml:space="preserve"> </w:t>
      </w:r>
      <w:hyperlink r:id="rId120">
        <w:r>
          <w:rPr>
            <w:rStyle w:val="Hyperlink"/>
          </w:rPr>
          <w:t xml:space="preserve">https://doi.org/10.1145/3383313.3412488</w:t>
        </w:r>
      </w:hyperlink>
      <w:r>
        <w:t xml:space="preserve">.</w:t>
      </w:r>
    </w:p>
    <w:bookmarkEnd w:id="121"/>
    <w:bookmarkStart w:id="123" w:name="ref-sun2019bert4rec"/>
    <w:p>
      <w:pPr>
        <w:pStyle w:val="Bibliography"/>
      </w:pPr>
      <w:r>
        <w:t xml:space="preserve">Sun, Fei, Jun Liu, Jian Wu, et al. 2019.</w:t>
      </w:r>
      <w:r>
        <w:t xml:space="preserve"> </w:t>
      </w:r>
      <w:r>
        <w:t xml:space="preserve">“</w:t>
      </w:r>
      <w:r>
        <w:t xml:space="preserve">BERT4Rec</w:t>
      </w:r>
      <w:r>
        <w:t xml:space="preserve">: Sequential Recommendation with Bidirectional Encoder Representations from Transformer.”</w:t>
      </w:r>
      <w:r>
        <w:t xml:space="preserve"> </w:t>
      </w:r>
      <w:r>
        <w:rPr>
          <w:i/>
          <w:iCs/>
        </w:rPr>
        <w:t xml:space="preserve">Proceedings of the 28th ACM International Conference on Information and Knowledge Management (CIKM)</w:t>
      </w:r>
      <w:r>
        <w:t xml:space="preserve">, 1441–50.</w:t>
      </w:r>
      <w:r>
        <w:t xml:space="preserve"> </w:t>
      </w:r>
      <w:hyperlink r:id="rId122">
        <w:r>
          <w:rPr>
            <w:rStyle w:val="Hyperlink"/>
          </w:rPr>
          <w:t xml:space="preserve">https://doi.org/10.1145/3357384.3357895</w:t>
        </w:r>
      </w:hyperlink>
      <w:r>
        <w:t xml:space="preserve">.</w:t>
      </w:r>
    </w:p>
    <w:bookmarkEnd w:id="123"/>
    <w:bookmarkStart w:id="125" w:name="ref-sun2020daisy"/>
    <w:p>
      <w:pPr>
        <w:pStyle w:val="Bibliography"/>
      </w:pPr>
      <w:r>
        <w:t xml:space="preserve">Sun, Zhu, Di Yu, Hui Fang, et al. 2020.</w:t>
      </w:r>
      <w:r>
        <w:t xml:space="preserve"> </w:t>
      </w:r>
      <w:r>
        <w:t xml:space="preserve">“Are We Evaluating Rigorously?</w:t>
      </w:r>
      <w:r>
        <w:t xml:space="preserve"> </w:t>
      </w:r>
      <w:r>
        <w:t xml:space="preserve">B</w:t>
      </w:r>
      <w:r>
        <w:t xml:space="preserve">enchmarking Recommendation for Reproducible Evaluation and Fair Comparison.”</w:t>
      </w:r>
      <w:r>
        <w:t xml:space="preserve"> </w:t>
      </w:r>
      <w:r>
        <w:rPr>
          <w:i/>
          <w:iCs/>
        </w:rPr>
        <w:t xml:space="preserve">Proceedings of the 14th ACM Conference on Recommender Systems (RecSys)</w:t>
      </w:r>
      <w:r>
        <w:t xml:space="preserve">, 23–32.</w:t>
      </w:r>
      <w:r>
        <w:t xml:space="preserve"> </w:t>
      </w:r>
      <w:hyperlink r:id="rId124">
        <w:r>
          <w:rPr>
            <w:rStyle w:val="Hyperlink"/>
          </w:rPr>
          <w:t xml:space="preserve">https://doi.org/10.1145/3383313.3412489</w:t>
        </w:r>
      </w:hyperlink>
      <w:r>
        <w:t xml:space="preserve">.</w:t>
      </w:r>
    </w:p>
    <w:bookmarkEnd w:id="125"/>
    <w:bookmarkStart w:id="127" w:name="ref-tang2018caser"/>
    <w:p>
      <w:pPr>
        <w:pStyle w:val="Bibliography"/>
      </w:pPr>
      <w:r>
        <w:t xml:space="preserve">Tang, Jiaxi, and Ke Wang. 2018.</w:t>
      </w:r>
      <w:r>
        <w:t xml:space="preserve"> </w:t>
      </w:r>
      <w:r>
        <w:t xml:space="preserve">“Personalized Top-n Sequential Recommendation via Convolutional Sequence Embedding.”</w:t>
      </w:r>
      <w:r>
        <w:t xml:space="preserve"> </w:t>
      </w:r>
      <w:r>
        <w:rPr>
          <w:i/>
          <w:iCs/>
        </w:rPr>
        <w:t xml:space="preserve">Proceedings of the 11th ACM International Conference on Web Search and Data Mining (WSDM)</w:t>
      </w:r>
      <w:r>
        <w:t xml:space="preserve">, 565–73.</w:t>
      </w:r>
      <w:r>
        <w:t xml:space="preserve"> </w:t>
      </w:r>
      <w:hyperlink r:id="rId126">
        <w:r>
          <w:rPr>
            <w:rStyle w:val="Hyperlink"/>
          </w:rPr>
          <w:t xml:space="preserve">https://doi.org/10.1145/3159652.3159656</w:t>
        </w:r>
      </w:hyperlink>
      <w:r>
        <w:t xml:space="preserve">.</w:t>
      </w:r>
    </w:p>
    <w:bookmarkEnd w:id="127"/>
    <w:bookmarkStart w:id="129" w:name="ref-vaswani2017attention"/>
    <w:p>
      <w:pPr>
        <w:pStyle w:val="Bibliography"/>
      </w:pPr>
      <w:r>
        <w:t xml:space="preserve">Vaswani, Ashish, Noam Shazeer, Niki Parmar, et al. 2017.</w:t>
      </w:r>
      <w:r>
        <w:t xml:space="preserve"> </w:t>
      </w:r>
      <w:r>
        <w:t xml:space="preserve">“Attention Is All You Need.”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5998–6008.</w:t>
      </w:r>
      <w:r>
        <w:t xml:space="preserve"> </w:t>
      </w:r>
      <w:hyperlink r:id="rId128">
        <w:r>
          <w:rPr>
            <w:rStyle w:val="Hyperlink"/>
          </w:rPr>
          <w:t xml:space="preserve">https://doi.org/10.48550/arXiv.1706.03762</w:t>
        </w:r>
      </w:hyperlink>
      <w:r>
        <w:t xml:space="preserve">.</w:t>
      </w:r>
    </w:p>
    <w:bookmarkEnd w:id="129"/>
    <w:bookmarkStart w:id="131" w:name="ref-wan2018steamreviews"/>
    <w:p>
      <w:pPr>
        <w:pStyle w:val="Bibliography"/>
      </w:pPr>
      <w:r>
        <w:t xml:space="preserve">Wan, Mengting, and Julian McAuley. 2018.</w:t>
      </w:r>
      <w:r>
        <w:t xml:space="preserve"> </w:t>
      </w:r>
      <w:r>
        <w:t xml:space="preserve">“Item Recommendation on Monotonic Behavior Chains.”</w:t>
      </w:r>
      <w:r>
        <w:t xml:space="preserve"> </w:t>
      </w:r>
      <w:r>
        <w:rPr>
          <w:i/>
          <w:iCs/>
        </w:rPr>
        <w:t xml:space="preserve">Proceedings of the 12th ACM Conference on Recommender Systems (RecSys)</w:t>
      </w:r>
      <w:r>
        <w:t xml:space="preserve">, 86–94.</w:t>
      </w:r>
      <w:r>
        <w:t xml:space="preserve"> </w:t>
      </w:r>
      <w:hyperlink r:id="rId130">
        <w:r>
          <w:rPr>
            <w:rStyle w:val="Hyperlink"/>
          </w:rPr>
          <w:t xml:space="preserve">https://doi.org/10.1145/3240323.3240369</w:t>
        </w:r>
      </w:hyperlink>
      <w:r>
        <w:t xml:space="preserve">.</w:t>
      </w:r>
    </w:p>
    <w:bookmarkEnd w:id="131"/>
    <w:bookmarkStart w:id="133" w:name="ref-wu2020ssept"/>
    <w:p>
      <w:pPr>
        <w:pStyle w:val="Bibliography"/>
      </w:pPr>
      <w:r>
        <w:t xml:space="preserve">Wu, Liwei, Shuqing Li, Cho-Jui Hsieh, and James Sharpnack. 2020.</w:t>
      </w:r>
      <w:r>
        <w:t xml:space="preserve"> </w:t>
      </w:r>
      <w:r>
        <w:t xml:space="preserve">“</w:t>
      </w:r>
      <w:r>
        <w:t xml:space="preserve">SSE-PT</w:t>
      </w:r>
      <w:r>
        <w:t xml:space="preserve">: Sequential Recommendation via Personalized Transformer.”</w:t>
      </w:r>
      <w:r>
        <w:t xml:space="preserve"> </w:t>
      </w:r>
      <w:r>
        <w:rPr>
          <w:i/>
          <w:iCs/>
        </w:rPr>
        <w:t xml:space="preserve">Proceedings of the 14th ACM Conference on Recommender Systems (RecSys)</w:t>
      </w:r>
      <w:r>
        <w:t xml:space="preserve">, 328–37.</w:t>
      </w:r>
      <w:r>
        <w:t xml:space="preserve"> </w:t>
      </w:r>
      <w:hyperlink r:id="rId132">
        <w:r>
          <w:rPr>
            <w:rStyle w:val="Hyperlink"/>
          </w:rPr>
          <w:t xml:space="preserve">https://doi.org/10.1145/3383313.3412258</w:t>
        </w:r>
      </w:hyperlink>
      <w:r>
        <w:t xml:space="preserve">.</w:t>
      </w:r>
    </w:p>
    <w:bookmarkEnd w:id="133"/>
    <w:bookmarkStart w:id="135" w:name="ref-xie2022cl4srec"/>
    <w:p>
      <w:pPr>
        <w:pStyle w:val="Bibliography"/>
      </w:pPr>
      <w:r>
        <w:t xml:space="preserve">Xie, Xu, Fei Sun, Zhaoyang Liu, et al. 2022.</w:t>
      </w:r>
      <w:r>
        <w:t xml:space="preserve"> </w:t>
      </w:r>
      <w:r>
        <w:t xml:space="preserve">“Contrastive Learning for Sequential Recommendation.”</w:t>
      </w:r>
      <w:r>
        <w:t xml:space="preserve"> </w:t>
      </w:r>
      <w:r>
        <w:rPr>
          <w:i/>
          <w:iCs/>
        </w:rPr>
        <w:t xml:space="preserve">Proceedings of the 38th IEEE International Conference on Data Engineering (ICDE)</w:t>
      </w:r>
      <w:r>
        <w:t xml:space="preserve">, 1259–73.</w:t>
      </w:r>
      <w:r>
        <w:t xml:space="preserve"> </w:t>
      </w:r>
      <w:hyperlink r:id="rId134">
        <w:r>
          <w:rPr>
            <w:rStyle w:val="Hyperlink"/>
          </w:rPr>
          <w:t xml:space="preserve">https://doi.org/10.1109/ICDE53745.2022.00099</w:t>
        </w:r>
      </w:hyperlink>
      <w:r>
        <w:t xml:space="preserve">.</w:t>
      </w:r>
    </w:p>
    <w:bookmarkEnd w:id="135"/>
    <w:bookmarkStart w:id="137" w:name="ref-xie2022difsr"/>
    <w:p>
      <w:pPr>
        <w:pStyle w:val="Bibliography"/>
      </w:pPr>
      <w:r>
        <w:t xml:space="preserve">Xie, Yueqi, Peilin Zhou, and Sunghun Kim. 2022.</w:t>
      </w:r>
      <w:r>
        <w:t xml:space="preserve"> </w:t>
      </w:r>
      <w:r>
        <w:t xml:space="preserve">“Decoupled Side Information Fusion for Sequential Recommendation.”</w:t>
      </w:r>
      <w:r>
        <w:t xml:space="preserve"> </w:t>
      </w:r>
      <w:r>
        <w:rPr>
          <w:i/>
          <w:iCs/>
        </w:rPr>
        <w:t xml:space="preserve">Proceedings of the 45th International ACM SIGIR Conference on Research and Development in Information Retrieval</w:t>
      </w:r>
      <w:r>
        <w:t xml:space="preserve">, 1611–21.</w:t>
      </w:r>
      <w:r>
        <w:t xml:space="preserve"> </w:t>
      </w:r>
      <w:hyperlink r:id="rId136">
        <w:r>
          <w:rPr>
            <w:rStyle w:val="Hyperlink"/>
          </w:rPr>
          <w:t xml:space="preserve">https://doi.org/10.1145/3477495.3531963</w:t>
        </w:r>
      </w:hyperlink>
      <w:r>
        <w:t xml:space="preserve">.</w:t>
      </w:r>
    </w:p>
    <w:bookmarkEnd w:id="137"/>
    <w:bookmarkStart w:id="139" w:name="ref-yuan2019nextitnet"/>
    <w:p>
      <w:pPr>
        <w:pStyle w:val="Bibliography"/>
      </w:pPr>
      <w:r>
        <w:t xml:space="preserve">Yuan, Fajie, Alexandros Karatzoglou, Ioannis Arapakis, Joemon M. Jose, and Xiangnan He. 2019.</w:t>
      </w:r>
      <w:r>
        <w:t xml:space="preserve"> </w:t>
      </w:r>
      <w:r>
        <w:t xml:space="preserve">“A Simple Convolutional Generative Network for Next Item Recommendation.”</w:t>
      </w:r>
      <w:r>
        <w:t xml:space="preserve"> </w:t>
      </w:r>
      <w:r>
        <w:rPr>
          <w:i/>
          <w:iCs/>
        </w:rPr>
        <w:t xml:space="preserve">Proceedings of the 12th ACM International Conference on Web Search and Data Mining (WSDM)</w:t>
      </w:r>
      <w:r>
        <w:t xml:space="preserve">, 582–90.</w:t>
      </w:r>
      <w:r>
        <w:t xml:space="preserve"> </w:t>
      </w:r>
      <w:hyperlink r:id="rId138">
        <w:r>
          <w:rPr>
            <w:rStyle w:val="Hyperlink"/>
          </w:rPr>
          <w:t xml:space="preserve">https://doi.org/10.1145/3289600.3290975</w:t>
        </w:r>
      </w:hyperlink>
      <w:r>
        <w:t xml:space="preserve">.</w:t>
      </w:r>
    </w:p>
    <w:bookmarkEnd w:id="139"/>
    <w:bookmarkStart w:id="141" w:name="ref-zhang2019fdsa"/>
    <w:p>
      <w:pPr>
        <w:pStyle w:val="Bibliography"/>
      </w:pPr>
      <w:r>
        <w:t xml:space="preserve">Zhang, Tingting, Pengpeng Zhao, Yanchi Liu, et al. 2019.</w:t>
      </w:r>
      <w:r>
        <w:t xml:space="preserve"> </w:t>
      </w:r>
      <w:r>
        <w:t xml:space="preserve">“Feature-Level Deeper Self-Attention Network for Sequential Recommendation.”</w:t>
      </w:r>
      <w:r>
        <w:t xml:space="preserve"> </w:t>
      </w:r>
      <w:r>
        <w:rPr>
          <w:i/>
          <w:iCs/>
        </w:rPr>
        <w:t xml:space="preserve">Proceedings of the 28th International Joint Conference on Artificial Intelligence (IJCAI)</w:t>
      </w:r>
      <w:r>
        <w:t xml:space="preserve">, 4320–26.</w:t>
      </w:r>
      <w:r>
        <w:t xml:space="preserve"> </w:t>
      </w:r>
      <w:hyperlink r:id="rId140">
        <w:r>
          <w:rPr>
            <w:rStyle w:val="Hyperlink"/>
          </w:rPr>
          <w:t xml:space="preserve">https://doi.org/10.24963/ijcai.2019/600</w:t>
        </w:r>
      </w:hyperlink>
      <w:r>
        <w:t xml:space="preserve">.</w:t>
      </w:r>
    </w:p>
    <w:bookmarkEnd w:id="141"/>
    <w:bookmarkStart w:id="143" w:name="ref-zhao2021recbole"/>
    <w:p>
      <w:pPr>
        <w:pStyle w:val="Bibliography"/>
      </w:pPr>
      <w:r>
        <w:t xml:space="preserve">Zhao, Wayne Xin, Shanlei Mu, Yupeng Hou, et al. 2021.</w:t>
      </w:r>
      <w:r>
        <w:t xml:space="preserve"> </w:t>
      </w:r>
      <w:r>
        <w:t xml:space="preserve">“</w:t>
      </w:r>
      <w:r>
        <w:t xml:space="preserve">RecBole</w:t>
      </w:r>
      <w:r>
        <w:t xml:space="preserve">: Towards a Unified, Comprehensive and Efficient Framework for Recommendation Algorithms.”</w:t>
      </w:r>
      <w:r>
        <w:t xml:space="preserve"> </w:t>
      </w:r>
      <w:r>
        <w:rPr>
          <w:i/>
          <w:iCs/>
        </w:rPr>
        <w:t xml:space="preserve">Proceedings of the 30th ACM International Conference on Information and Knowledge Management (CIKM)</w:t>
      </w:r>
      <w:r>
        <w:t xml:space="preserve">, 4653–64.</w:t>
      </w:r>
      <w:r>
        <w:t xml:space="preserve"> </w:t>
      </w:r>
      <w:hyperlink r:id="rId142">
        <w:r>
          <w:rPr>
            <w:rStyle w:val="Hyperlink"/>
          </w:rPr>
          <w:t xml:space="preserve">https://doi.org/10.1145/3459637.3482016</w:t>
        </w:r>
      </w:hyperlink>
      <w:r>
        <w:t xml:space="preserve">.</w:t>
      </w:r>
    </w:p>
    <w:bookmarkEnd w:id="143"/>
    <w:bookmarkStart w:id="145" w:name="ref-zhou2020s3rec"/>
    <w:p>
      <w:pPr>
        <w:pStyle w:val="Bibliography"/>
      </w:pPr>
      <w:r>
        <w:t xml:space="preserve">Zhou, Kun, Hui Wang, Wayne Xin Zhao, et al. 2020.</w:t>
      </w:r>
      <w:r>
        <w:t xml:space="preserve"> </w:t>
      </w:r>
      <w:r>
        <w:t xml:space="preserve">“</w:t>
      </w:r>
      <w:r>
        <w:t xml:space="preserve">S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-Rec</w:t>
      </w:r>
      <w:r>
        <w:t xml:space="preserve">: Self-Supervised Learning for Sequential Recommendation with Mutual Information Maximization.”</w:t>
      </w:r>
      <w:r>
        <w:t xml:space="preserve"> </w:t>
      </w:r>
      <w:r>
        <w:rPr>
          <w:i/>
          <w:iCs/>
        </w:rPr>
        <w:t xml:space="preserve">Proceedings of the 29th ACM International Conference on Information and Knowledge Management (CIKM)</w:t>
      </w:r>
      <w:r>
        <w:t xml:space="preserve">, 1893–902.</w:t>
      </w:r>
      <w:r>
        <w:t xml:space="preserve"> </w:t>
      </w:r>
      <w:hyperlink r:id="rId144">
        <w:r>
          <w:rPr>
            <w:rStyle w:val="Hyperlink"/>
          </w:rPr>
          <w:t xml:space="preserve">https://doi.org/10.1145/3340531.3411954</w:t>
        </w:r>
      </w:hyperlink>
      <w:r>
        <w:t xml:space="preserve">.</w:t>
      </w:r>
    </w:p>
    <w:bookmarkEnd w:id="145"/>
    <w:bookmarkStart w:id="147" w:name="ref-zhou2022fmlp"/>
    <w:p>
      <w:pPr>
        <w:pStyle w:val="Bibliography"/>
      </w:pPr>
      <w:r>
        <w:t xml:space="preserve">Zhou, Kun, Hui Yu, Wayne Xin Zhao, and Ji-Rong Wen. 2022.</w:t>
      </w:r>
      <w:r>
        <w:t xml:space="preserve"> </w:t>
      </w:r>
      <w:r>
        <w:t xml:space="preserve">“Filter-Enhanced</w:t>
      </w:r>
      <w:r>
        <w:t xml:space="preserve"> </w:t>
      </w:r>
      <w:r>
        <w:t xml:space="preserve">MLP</w:t>
      </w:r>
      <w:r>
        <w:t xml:space="preserve"> </w:t>
      </w:r>
      <w:r>
        <w:t xml:space="preserve">Is All You Need for Sequential Recommendation.”</w:t>
      </w:r>
      <w:r>
        <w:t xml:space="preserve"> </w:t>
      </w:r>
      <w:r>
        <w:rPr>
          <w:i/>
          <w:iCs/>
        </w:rPr>
        <w:t xml:space="preserve">Proceedings of the ACM Web Conference (WWW)</w:t>
      </w:r>
      <w:r>
        <w:t xml:space="preserve">, 2388–99.</w:t>
      </w:r>
      <w:r>
        <w:t xml:space="preserve"> </w:t>
      </w:r>
      <w:hyperlink r:id="rId146">
        <w:r>
          <w:rPr>
            <w:rStyle w:val="Hyperlink"/>
          </w:rPr>
          <w:t xml:space="preserve">https://doi.org/10.1145/3485447.3512111</w:t>
        </w:r>
      </w:hyperlink>
      <w:r>
        <w:t xml:space="preserve">.</w:t>
      </w:r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df" /><Relationship Type="http://schemas.openxmlformats.org/officeDocument/2006/relationships/image" Id="rId39" Target="media/rId39.pdf" /><Relationship Type="http://schemas.openxmlformats.org/officeDocument/2006/relationships/hyperlink" Id="rId134" Target="https://doi.org/10.1109/ICDE53745.2022.00099" TargetMode="External" /><Relationship Type="http://schemas.openxmlformats.org/officeDocument/2006/relationships/hyperlink" Id="rId104" Target="https://doi.org/10.1109/ICDM.2008.16" TargetMode="External" /><Relationship Type="http://schemas.openxmlformats.org/officeDocument/2006/relationships/hyperlink" Id="rId86" Target="https://doi.org/10.1109/ICDM.2008.22" TargetMode="External" /><Relationship Type="http://schemas.openxmlformats.org/officeDocument/2006/relationships/hyperlink" Id="rId88" Target="https://doi.org/10.1109/ICDM.2018.00035" TargetMode="External" /><Relationship Type="http://schemas.openxmlformats.org/officeDocument/2006/relationships/hyperlink" Id="rId118" Target="https://doi.org/10.1145/1772690.1772773" TargetMode="External" /><Relationship Type="http://schemas.openxmlformats.org/officeDocument/2006/relationships/hyperlink" Id="rId102" Target="https://doi.org/10.1145/2766462.2767755" TargetMode="External" /><Relationship Type="http://schemas.openxmlformats.org/officeDocument/2006/relationships/hyperlink" Id="rId76" Target="https://doi.org/10.1145/2827872" TargetMode="External" /><Relationship Type="http://schemas.openxmlformats.org/officeDocument/2006/relationships/hyperlink" Id="rId78" Target="https://doi.org/10.1145/2872427.2883037" TargetMode="External" /><Relationship Type="http://schemas.openxmlformats.org/officeDocument/2006/relationships/hyperlink" Id="rId108" Target="https://doi.org/10.1145/3077136.3080724" TargetMode="External" /><Relationship Type="http://schemas.openxmlformats.org/officeDocument/2006/relationships/hyperlink" Id="rId94" Target="https://doi.org/10.1145/3132847.3132926" TargetMode="External" /><Relationship Type="http://schemas.openxmlformats.org/officeDocument/2006/relationships/hyperlink" Id="rId126" Target="https://doi.org/10.1145/3159652.3159656" TargetMode="External" /><Relationship Type="http://schemas.openxmlformats.org/officeDocument/2006/relationships/hyperlink" Id="rId130" Target="https://doi.org/10.1145/3240323.3240369" TargetMode="External" /><Relationship Type="http://schemas.openxmlformats.org/officeDocument/2006/relationships/hyperlink" Id="rId138" Target="https://doi.org/10.1145/3289600.3290975" TargetMode="External" /><Relationship Type="http://schemas.openxmlformats.org/officeDocument/2006/relationships/hyperlink" Id="rId58" Target="https://doi.org/10.1145/3292500.3330701" TargetMode="External" /><Relationship Type="http://schemas.openxmlformats.org/officeDocument/2006/relationships/hyperlink" Id="rId100" Target="https://doi.org/10.1145/3292500.3330984" TargetMode="External" /><Relationship Type="http://schemas.openxmlformats.org/officeDocument/2006/relationships/hyperlink" Id="rId74" Target="https://doi.org/10.1145/3298689.3347058" TargetMode="External" /><Relationship Type="http://schemas.openxmlformats.org/officeDocument/2006/relationships/hyperlink" Id="rId92" Target="https://doi.org/10.1145/3336191.3371786" TargetMode="External" /><Relationship Type="http://schemas.openxmlformats.org/officeDocument/2006/relationships/hyperlink" Id="rId144" Target="https://doi.org/10.1145/3340531.3411954" TargetMode="External" /><Relationship Type="http://schemas.openxmlformats.org/officeDocument/2006/relationships/hyperlink" Id="rId122" Target="https://doi.org/10.1145/3357384.3357895" TargetMode="External" /><Relationship Type="http://schemas.openxmlformats.org/officeDocument/2006/relationships/hyperlink" Id="rId64" Target="https://doi.org/10.1145/3383313.3412216" TargetMode="External" /><Relationship Type="http://schemas.openxmlformats.org/officeDocument/2006/relationships/hyperlink" Id="rId132" Target="https://doi.org/10.1145/3383313.3412258" TargetMode="External" /><Relationship Type="http://schemas.openxmlformats.org/officeDocument/2006/relationships/hyperlink" Id="rId120" Target="https://doi.org/10.1145/3383313.3412488" TargetMode="External" /><Relationship Type="http://schemas.openxmlformats.org/officeDocument/2006/relationships/hyperlink" Id="rId124" Target="https://doi.org/10.1145/3383313.3412489" TargetMode="External" /><Relationship Type="http://schemas.openxmlformats.org/officeDocument/2006/relationships/hyperlink" Id="rId90" Target="https://doi.org/10.1145/3394486.3403226" TargetMode="External" /><Relationship Type="http://schemas.openxmlformats.org/officeDocument/2006/relationships/hyperlink" Id="rId70" Target="https://doi.org/10.1145/3404835.3462440" TargetMode="External" /><Relationship Type="http://schemas.openxmlformats.org/officeDocument/2006/relationships/hyperlink" Id="rId98" Target="https://doi.org/10.1145/3404835.3463036" TargetMode="External" /><Relationship Type="http://schemas.openxmlformats.org/officeDocument/2006/relationships/hyperlink" Id="rId142" Target="https://doi.org/10.1145/3459637.3482016" TargetMode="External" /><Relationship Type="http://schemas.openxmlformats.org/officeDocument/2006/relationships/hyperlink" Id="rId82" Target="https://doi.org/10.1145/3477495.3531955" TargetMode="External" /><Relationship Type="http://schemas.openxmlformats.org/officeDocument/2006/relationships/hyperlink" Id="rId136" Target="https://doi.org/10.1145/3477495.3531963" TargetMode="External" /><Relationship Type="http://schemas.openxmlformats.org/officeDocument/2006/relationships/hyperlink" Id="rId72" Target="https://doi.org/10.1145/3485447.3512077" TargetMode="External" /><Relationship Type="http://schemas.openxmlformats.org/officeDocument/2006/relationships/hyperlink" Id="rId62" Target="https://doi.org/10.1145/3485447.3512090" TargetMode="External" /><Relationship Type="http://schemas.openxmlformats.org/officeDocument/2006/relationships/hyperlink" Id="rId146" Target="https://doi.org/10.1145/3485447.3512111" TargetMode="External" /><Relationship Type="http://schemas.openxmlformats.org/officeDocument/2006/relationships/hyperlink" Id="rId112" Target="https://doi.org/10.1145/3488560.3498433" TargetMode="External" /><Relationship Type="http://schemas.openxmlformats.org/officeDocument/2006/relationships/hyperlink" Id="rId114" Target="https://doi.org/10.1145/3523227.3546777" TargetMode="External" /><Relationship Type="http://schemas.openxmlformats.org/officeDocument/2006/relationships/hyperlink" Id="rId110" Target="https://doi.org/10.1145/3523227.3548487" TargetMode="External" /><Relationship Type="http://schemas.openxmlformats.org/officeDocument/2006/relationships/hyperlink" Id="rId84" Target="https://doi.org/10.1145/3534678.3539381" TargetMode="External" /><Relationship Type="http://schemas.openxmlformats.org/officeDocument/2006/relationships/hyperlink" Id="rId68" Target="https://doi.org/10.1201/9780429246593" TargetMode="External" /><Relationship Type="http://schemas.openxmlformats.org/officeDocument/2006/relationships/hyperlink" Id="rId96" Target="https://doi.org/10.1609/aaai.v35i5.16549" TargetMode="External" /><Relationship Type="http://schemas.openxmlformats.org/officeDocument/2006/relationships/hyperlink" Id="rId66" Target="https://doi.org/10.18653/v1/N19-1423" TargetMode="External" /><Relationship Type="http://schemas.openxmlformats.org/officeDocument/2006/relationships/hyperlink" Id="rId140" Target="https://doi.org/10.24963/ijcai.2019/600" TargetMode="External" /><Relationship Type="http://schemas.openxmlformats.org/officeDocument/2006/relationships/hyperlink" Id="rId80" Target="https://doi.org/10.48550/arXiv.1511.06939" TargetMode="External" /><Relationship Type="http://schemas.openxmlformats.org/officeDocument/2006/relationships/hyperlink" Id="rId60" Target="https://doi.org/10.48550/arXiv.1607.06450" TargetMode="External" /><Relationship Type="http://schemas.openxmlformats.org/officeDocument/2006/relationships/hyperlink" Id="rId128" Target="https://doi.org/10.48550/arXiv.1706.03762" TargetMode="External" /><Relationship Type="http://schemas.openxmlformats.org/officeDocument/2006/relationships/hyperlink" Id="rId106" Target="https://doi.org/10.48550/arXiv.1912.01703" TargetMode="External" /><Relationship Type="http://schemas.openxmlformats.org/officeDocument/2006/relationships/hyperlink" Id="rId116" Target="https://doi.org/10.5555/1795114.179516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4" Target="https://doi.org/10.1109/ICDE53745.2022.00099" TargetMode="External" /><Relationship Type="http://schemas.openxmlformats.org/officeDocument/2006/relationships/hyperlink" Id="rId104" Target="https://doi.org/10.1109/ICDM.2008.16" TargetMode="External" /><Relationship Type="http://schemas.openxmlformats.org/officeDocument/2006/relationships/hyperlink" Id="rId86" Target="https://doi.org/10.1109/ICDM.2008.22" TargetMode="External" /><Relationship Type="http://schemas.openxmlformats.org/officeDocument/2006/relationships/hyperlink" Id="rId88" Target="https://doi.org/10.1109/ICDM.2018.00035" TargetMode="External" /><Relationship Type="http://schemas.openxmlformats.org/officeDocument/2006/relationships/hyperlink" Id="rId118" Target="https://doi.org/10.1145/1772690.1772773" TargetMode="External" /><Relationship Type="http://schemas.openxmlformats.org/officeDocument/2006/relationships/hyperlink" Id="rId102" Target="https://doi.org/10.1145/2766462.2767755" TargetMode="External" /><Relationship Type="http://schemas.openxmlformats.org/officeDocument/2006/relationships/hyperlink" Id="rId76" Target="https://doi.org/10.1145/2827872" TargetMode="External" /><Relationship Type="http://schemas.openxmlformats.org/officeDocument/2006/relationships/hyperlink" Id="rId78" Target="https://doi.org/10.1145/2872427.2883037" TargetMode="External" /><Relationship Type="http://schemas.openxmlformats.org/officeDocument/2006/relationships/hyperlink" Id="rId108" Target="https://doi.org/10.1145/3077136.3080724" TargetMode="External" /><Relationship Type="http://schemas.openxmlformats.org/officeDocument/2006/relationships/hyperlink" Id="rId94" Target="https://doi.org/10.1145/3132847.3132926" TargetMode="External" /><Relationship Type="http://schemas.openxmlformats.org/officeDocument/2006/relationships/hyperlink" Id="rId126" Target="https://doi.org/10.1145/3159652.3159656" TargetMode="External" /><Relationship Type="http://schemas.openxmlformats.org/officeDocument/2006/relationships/hyperlink" Id="rId130" Target="https://doi.org/10.1145/3240323.3240369" TargetMode="External" /><Relationship Type="http://schemas.openxmlformats.org/officeDocument/2006/relationships/hyperlink" Id="rId138" Target="https://doi.org/10.1145/3289600.3290975" TargetMode="External" /><Relationship Type="http://schemas.openxmlformats.org/officeDocument/2006/relationships/hyperlink" Id="rId58" Target="https://doi.org/10.1145/3292500.3330701" TargetMode="External" /><Relationship Type="http://schemas.openxmlformats.org/officeDocument/2006/relationships/hyperlink" Id="rId100" Target="https://doi.org/10.1145/3292500.3330984" TargetMode="External" /><Relationship Type="http://schemas.openxmlformats.org/officeDocument/2006/relationships/hyperlink" Id="rId74" Target="https://doi.org/10.1145/3298689.3347058" TargetMode="External" /><Relationship Type="http://schemas.openxmlformats.org/officeDocument/2006/relationships/hyperlink" Id="rId92" Target="https://doi.org/10.1145/3336191.3371786" TargetMode="External" /><Relationship Type="http://schemas.openxmlformats.org/officeDocument/2006/relationships/hyperlink" Id="rId144" Target="https://doi.org/10.1145/3340531.3411954" TargetMode="External" /><Relationship Type="http://schemas.openxmlformats.org/officeDocument/2006/relationships/hyperlink" Id="rId122" Target="https://doi.org/10.1145/3357384.3357895" TargetMode="External" /><Relationship Type="http://schemas.openxmlformats.org/officeDocument/2006/relationships/hyperlink" Id="rId64" Target="https://doi.org/10.1145/3383313.3412216" TargetMode="External" /><Relationship Type="http://schemas.openxmlformats.org/officeDocument/2006/relationships/hyperlink" Id="rId132" Target="https://doi.org/10.1145/3383313.3412258" TargetMode="External" /><Relationship Type="http://schemas.openxmlformats.org/officeDocument/2006/relationships/hyperlink" Id="rId120" Target="https://doi.org/10.1145/3383313.3412488" TargetMode="External" /><Relationship Type="http://schemas.openxmlformats.org/officeDocument/2006/relationships/hyperlink" Id="rId124" Target="https://doi.org/10.1145/3383313.3412489" TargetMode="External" /><Relationship Type="http://schemas.openxmlformats.org/officeDocument/2006/relationships/hyperlink" Id="rId90" Target="https://doi.org/10.1145/3394486.3403226" TargetMode="External" /><Relationship Type="http://schemas.openxmlformats.org/officeDocument/2006/relationships/hyperlink" Id="rId70" Target="https://doi.org/10.1145/3404835.3462440" TargetMode="External" /><Relationship Type="http://schemas.openxmlformats.org/officeDocument/2006/relationships/hyperlink" Id="rId98" Target="https://doi.org/10.1145/3404835.3463036" TargetMode="External" /><Relationship Type="http://schemas.openxmlformats.org/officeDocument/2006/relationships/hyperlink" Id="rId142" Target="https://doi.org/10.1145/3459637.3482016" TargetMode="External" /><Relationship Type="http://schemas.openxmlformats.org/officeDocument/2006/relationships/hyperlink" Id="rId82" Target="https://doi.org/10.1145/3477495.3531955" TargetMode="External" /><Relationship Type="http://schemas.openxmlformats.org/officeDocument/2006/relationships/hyperlink" Id="rId136" Target="https://doi.org/10.1145/3477495.3531963" TargetMode="External" /><Relationship Type="http://schemas.openxmlformats.org/officeDocument/2006/relationships/hyperlink" Id="rId72" Target="https://doi.org/10.1145/3485447.3512077" TargetMode="External" /><Relationship Type="http://schemas.openxmlformats.org/officeDocument/2006/relationships/hyperlink" Id="rId62" Target="https://doi.org/10.1145/3485447.3512090" TargetMode="External" /><Relationship Type="http://schemas.openxmlformats.org/officeDocument/2006/relationships/hyperlink" Id="rId146" Target="https://doi.org/10.1145/3485447.3512111" TargetMode="External" /><Relationship Type="http://schemas.openxmlformats.org/officeDocument/2006/relationships/hyperlink" Id="rId112" Target="https://doi.org/10.1145/3488560.3498433" TargetMode="External" /><Relationship Type="http://schemas.openxmlformats.org/officeDocument/2006/relationships/hyperlink" Id="rId114" Target="https://doi.org/10.1145/3523227.3546777" TargetMode="External" /><Relationship Type="http://schemas.openxmlformats.org/officeDocument/2006/relationships/hyperlink" Id="rId110" Target="https://doi.org/10.1145/3523227.3548487" TargetMode="External" /><Relationship Type="http://schemas.openxmlformats.org/officeDocument/2006/relationships/hyperlink" Id="rId84" Target="https://doi.org/10.1145/3534678.3539381" TargetMode="External" /><Relationship Type="http://schemas.openxmlformats.org/officeDocument/2006/relationships/hyperlink" Id="rId68" Target="https://doi.org/10.1201/9780429246593" TargetMode="External" /><Relationship Type="http://schemas.openxmlformats.org/officeDocument/2006/relationships/hyperlink" Id="rId96" Target="https://doi.org/10.1609/aaai.v35i5.16549" TargetMode="External" /><Relationship Type="http://schemas.openxmlformats.org/officeDocument/2006/relationships/hyperlink" Id="rId66" Target="https://doi.org/10.18653/v1/N19-1423" TargetMode="External" /><Relationship Type="http://schemas.openxmlformats.org/officeDocument/2006/relationships/hyperlink" Id="rId140" Target="https://doi.org/10.24963/ijcai.2019/600" TargetMode="External" /><Relationship Type="http://schemas.openxmlformats.org/officeDocument/2006/relationships/hyperlink" Id="rId80" Target="https://doi.org/10.48550/arXiv.1511.06939" TargetMode="External" /><Relationship Type="http://schemas.openxmlformats.org/officeDocument/2006/relationships/hyperlink" Id="rId60" Target="https://doi.org/10.48550/arXiv.1607.06450" TargetMode="External" /><Relationship Type="http://schemas.openxmlformats.org/officeDocument/2006/relationships/hyperlink" Id="rId128" Target="https://doi.org/10.48550/arXiv.1706.03762" TargetMode="External" /><Relationship Type="http://schemas.openxmlformats.org/officeDocument/2006/relationships/hyperlink" Id="rId106" Target="https://doi.org/10.48550/arXiv.1912.01703" TargetMode="External" /><Relationship Type="http://schemas.openxmlformats.org/officeDocument/2006/relationships/hyperlink" Id="rId116" Target="https://doi.org/10.5555/1795114.179516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2026-05-26T11:09:11Z</dcterms:created>
  <dcterms:modified xsi:type="dcterms:W3CDTF">2026-05-26T11:09:11Z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refs.bib</vt:lpwstr>
  </property>
</Properties>
</file>