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that is a lot of supervised information thrown away,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optimiser can disable intensity and chooses not to.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our normalisation choice flattened the information that was there.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5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rPr>
          <w:i/>
          <w:iCs/>
        </w:rPr>
        <w:t xml:space="preserve">Val</w:t>
      </w:r>
      <w:r>
        <w:t xml:space="preserve">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 in the output vector — the</w:t>
      </w:r>
      <w:r>
        <w:t xml:space="preserve"> </w:t>
      </w:r>
      <w:r>
        <w:t xml:space="preserve">part that actually re-ranks candidates —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4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[tab:variants]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Start w:id="30" w:name="sec:setup"/>
    <w:p>
      <w:pPr>
        <w:pStyle w:val="Heading1"/>
      </w:pPr>
      <w:r>
        <w:t xml:space="preserve">Experimental Setup</w:t>
      </w:r>
    </w:p>
    <w:bookmarkStart w:id="26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6"/>
    <w:bookmarkStart w:id="27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7"/>
    <w:bookmarkStart w:id="28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 — exactly one held-out</w:t>
      </w:r>
      <w:r>
        <w:t xml:space="preserve"> </w:t>
      </w:r>
      <w:r>
        <w:t xml:space="preserve">positive per user, ranked against the full item catalogue —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28"/>
    <w:bookmarkStart w:id="29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29"/>
    <w:bookmarkEnd w:id="30"/>
    <w:bookmarkStart w:id="38" w:name="sec:results"/>
    <w:p>
      <w:pPr>
        <w:pStyle w:val="Heading1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4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orest_ndcg10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4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unpack the pattern dataset</w:t>
      </w:r>
      <w:r>
        <w:t xml:space="preserve"> </w:t>
      </w:r>
      <w:r>
        <w:t xml:space="preserve">by dataset.</w:t>
      </w:r>
    </w:p>
    <w:bookmarkStart w:id="35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5"/>
    <w:bookmarkStart w:id="36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6"/>
    <w:bookmarkStart w:id="37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37"/>
    <w:bookmarkEnd w:id="38"/>
    <w:bookmarkStart w:id="48" w:name="sec:analysis"/>
    <w:p>
      <w:pPr>
        <w:pStyle w:val="Heading1"/>
      </w:pPr>
      <w:r>
        <w:t xml:space="preserve">Analysis: why does intensity hurt?</w:t>
      </w:r>
    </w:p>
    <w:p>
      <w:pPr>
        <w:pStyle w:val="FirstParagraph"/>
      </w:pPr>
      <w:r>
        <w:t xml:space="preserve">The negative result documented above is sharper than</w:t>
      </w:r>
      <w:r>
        <w:t xml:space="preserve"> </w:t>
      </w:r>
      <w:r>
        <w:t xml:space="preserve">“the</w:t>
      </w:r>
      <w:r>
        <w:t xml:space="preserve"> </w:t>
      </w:r>
      <w:r>
        <w:t xml:space="preserve">hypothesis was wrong.”</w:t>
      </w:r>
      <w:r>
        <w:t xml:space="preserve"> </w:t>
      </w:r>
      <w:r>
        <w:t xml:space="preserve">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5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Start w:id="42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lambda_vs_delta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(cf. 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2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3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optimiser</w:t>
      </w:r>
      <w:r>
        <w:t xml:space="preserve"> </w:t>
      </w:r>
      <w:r>
        <w:t xml:space="preserve">“wants”</w:t>
      </w:r>
      <w:r>
        <w:t xml:space="preserve"> </w:t>
      </w:r>
      <w:r>
        <w:t xml:space="preserve">to shrink the intensity channel, it can: the gradient path</w:t>
      </w:r>
      <w:r>
        <w:t xml:space="preserve"> </w:t>
      </w:r>
      <w:r>
        <w:t xml:space="preserve">is open.</w:t>
      </w:r>
    </w:p>
    <w:bookmarkEnd w:id="43"/>
    <w:bookmarkStart w:id="44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4"/>
    <w:bookmarkEnd w:id="45"/>
    <w:bookmarkStart w:id="46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46"/>
    <w:bookmarkStart w:id="47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47"/>
    <w:bookmarkEnd w:id="48"/>
    <w:bookmarkStart w:id="57" w:name="sec:discussion"/>
    <w:p>
      <w:pPr>
        <w:pStyle w:val="Heading1"/>
      </w:pPr>
      <w:r>
        <w:t xml:space="preserve">Discussion</w:t>
      </w:r>
    </w:p>
    <w:bookmarkStart w:id="49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49"/>
    <w:bookmarkStart w:id="50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0"/>
    <w:bookmarkStart w:id="51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1"/>
    <w:bookmarkStart w:id="56" w:name="threats-to-validity"/>
    <w:p>
      <w:pPr>
        <w:pStyle w:val="Heading2"/>
      </w:pPr>
      <w:r>
        <w:t xml:space="preserve">Threats to validity</w:t>
      </w:r>
    </w:p>
    <w:bookmarkStart w:id="52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2"/>
    <w:bookmarkStart w:id="53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3"/>
    <w:bookmarkStart w:id="54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4"/>
    <w:bookmarkStart w:id="55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5"/>
    <w:bookmarkEnd w:id="56"/>
    <w:bookmarkEnd w:id="57"/>
    <w:bookmarkStart w:id="14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is sharper than</w:t>
      </w:r>
      <w:r>
        <w:t xml:space="preserve"> </w:t>
      </w:r>
      <w:r>
        <w:t xml:space="preserve">“the hypothesis is wrong.”</w:t>
      </w:r>
      <w:r>
        <w:t xml:space="preserve"> </w:t>
      </w:r>
      <w:r>
        <w:t xml:space="preserve">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worth trying instead of scaling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48" w:name="refs"/>
    <w:bookmarkStart w:id="59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58">
        <w:r>
          <w:rPr>
            <w:rStyle w:val="Hyperlink"/>
          </w:rPr>
          <w:t xml:space="preserve">https://doi.org/10.1109/ICDM.2018.00035</w:t>
        </w:r>
      </w:hyperlink>
    </w:p>
    <w:bookmarkEnd w:id="59"/>
    <w:bookmarkStart w:id="61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0">
        <w:r>
          <w:rPr>
            <w:rStyle w:val="Hyperlink"/>
          </w:rPr>
          <w:t xml:space="preserve">https://doi.org/10.1145/3357384.3357895</w:t>
        </w:r>
      </w:hyperlink>
    </w:p>
    <w:bookmarkEnd w:id="61"/>
    <w:bookmarkStart w:id="63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2">
        <w:r>
          <w:rPr>
            <w:rStyle w:val="Hyperlink"/>
          </w:rPr>
          <w:t xml:space="preserve">https://doi.org/10.1145/3298689.3347058</w:t>
        </w:r>
      </w:hyperlink>
    </w:p>
    <w:bookmarkEnd w:id="63"/>
    <w:bookmarkStart w:id="65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4">
        <w:r>
          <w:rPr>
            <w:rStyle w:val="Hyperlink"/>
          </w:rPr>
          <w:t xml:space="preserve">https://doi.org/10.1145/3383313.3412489</w:t>
        </w:r>
      </w:hyperlink>
    </w:p>
    <w:bookmarkEnd w:id="65"/>
    <w:bookmarkStart w:id="67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https://doi.org/10.48550/arXiv.1706.03762</w:t>
        </w:r>
      </w:hyperlink>
    </w:p>
    <w:bookmarkEnd w:id="67"/>
    <w:bookmarkStart w:id="69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68">
        <w:r>
          <w:rPr>
            <w:rStyle w:val="Hyperlink"/>
          </w:rPr>
          <w:t xml:space="preserve">https://doi.org/10.18653/v1/N19-1423</w:t>
        </w:r>
      </w:hyperlink>
    </w:p>
    <w:bookmarkEnd w:id="69"/>
    <w:bookmarkStart w:id="71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0">
        <w:r>
          <w:rPr>
            <w:rStyle w:val="Hyperlink"/>
          </w:rPr>
          <w:t xml:space="preserve">https://doi.org/10.1145/3336191.3371786</w:t>
        </w:r>
      </w:hyperlink>
    </w:p>
    <w:bookmarkEnd w:id="71"/>
    <w:bookmarkStart w:id="73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https://doi.org/10.48550/arXiv.1511.06939</w:t>
        </w:r>
      </w:hyperlink>
    </w:p>
    <w:bookmarkEnd w:id="73"/>
    <w:bookmarkStart w:id="75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4">
        <w:r>
          <w:rPr>
            <w:rStyle w:val="Hyperlink"/>
          </w:rPr>
          <w:t xml:space="preserve">https://doi.org/10.1145/3132847.3132926</w:t>
        </w:r>
      </w:hyperlink>
    </w:p>
    <w:bookmarkEnd w:id="75"/>
    <w:bookmarkStart w:id="77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76">
        <w:r>
          <w:rPr>
            <w:rStyle w:val="Hyperlink"/>
          </w:rPr>
          <w:t xml:space="preserve">https://doi.org/10.1145/1772690.1772773</w:t>
        </w:r>
      </w:hyperlink>
    </w:p>
    <w:bookmarkEnd w:id="77"/>
    <w:bookmarkStart w:id="79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78">
        <w:r>
          <w:rPr>
            <w:rStyle w:val="Hyperlink"/>
          </w:rPr>
          <w:t xml:space="preserve">https://doi.org/10.1145/3159652.3159656</w:t>
        </w:r>
      </w:hyperlink>
    </w:p>
    <w:bookmarkEnd w:id="79"/>
    <w:bookmarkStart w:id="81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0">
        <w:r>
          <w:rPr>
            <w:rStyle w:val="Hyperlink"/>
          </w:rPr>
          <w:t xml:space="preserve">https://doi.org/10.1145/3289600.3290975</w:t>
        </w:r>
      </w:hyperlink>
    </w:p>
    <w:bookmarkEnd w:id="81"/>
    <w:bookmarkStart w:id="83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2">
        <w:r>
          <w:rPr>
            <w:rStyle w:val="Hyperlink"/>
          </w:rPr>
          <w:t xml:space="preserve">https://doi.org/10.5555/1795114.1795167</w:t>
        </w:r>
      </w:hyperlink>
    </w:p>
    <w:bookmarkEnd w:id="83"/>
    <w:bookmarkStart w:id="85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4">
        <w:r>
          <w:rPr>
            <w:rStyle w:val="Hyperlink"/>
          </w:rPr>
          <w:t xml:space="preserve">https://doi.org/10.24963/ijcai.2019/600</w:t>
        </w:r>
      </w:hyperlink>
    </w:p>
    <w:bookmarkEnd w:id="85"/>
    <w:bookmarkStart w:id="87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86">
        <w:r>
          <w:rPr>
            <w:rStyle w:val="Hyperlink"/>
          </w:rPr>
          <w:t xml:space="preserve">https://doi.org/10.1145/3340531.3411954</w:t>
        </w:r>
      </w:hyperlink>
    </w:p>
    <w:bookmarkEnd w:id="87"/>
    <w:bookmarkStart w:id="89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88">
        <w:r>
          <w:rPr>
            <w:rStyle w:val="Hyperlink"/>
          </w:rPr>
          <w:t xml:space="preserve">https://doi.org/10.1109/ICDM.2008.22</w:t>
        </w:r>
      </w:hyperlink>
    </w:p>
    <w:bookmarkEnd w:id="89"/>
    <w:bookmarkStart w:id="91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0">
        <w:r>
          <w:rPr>
            <w:rStyle w:val="Hyperlink"/>
          </w:rPr>
          <w:t xml:space="preserve">https://doi.org/10.1109/ICDM.2008.16</w:t>
        </w:r>
      </w:hyperlink>
    </w:p>
    <w:bookmarkEnd w:id="91"/>
    <w:bookmarkStart w:id="93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2">
        <w:r>
          <w:rPr>
            <w:rStyle w:val="Hyperlink"/>
          </w:rPr>
          <w:t xml:space="preserve">https://doi.org/10.1609/aaai.v35i5.16549</w:t>
        </w:r>
      </w:hyperlink>
    </w:p>
    <w:bookmarkEnd w:id="93"/>
    <w:bookmarkStart w:id="95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4">
        <w:r>
          <w:rPr>
            <w:rStyle w:val="Hyperlink"/>
          </w:rPr>
          <w:t xml:space="preserve">https://doi.org/10.1145/3477495.3531963</w:t>
        </w:r>
      </w:hyperlink>
    </w:p>
    <w:bookmarkEnd w:id="95"/>
    <w:bookmarkStart w:id="97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96">
        <w:r>
          <w:rPr>
            <w:rStyle w:val="Hyperlink"/>
          </w:rPr>
          <w:t xml:space="preserve">https://doi.org/10.1145/3523227.3546777</w:t>
        </w:r>
      </w:hyperlink>
    </w:p>
    <w:bookmarkEnd w:id="97"/>
    <w:bookmarkStart w:id="99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98">
        <w:r>
          <w:rPr>
            <w:rStyle w:val="Hyperlink"/>
          </w:rPr>
          <w:t xml:space="preserve">https://doi.org/10.1145/3292500.3330984</w:t>
        </w:r>
      </w:hyperlink>
    </w:p>
    <w:bookmarkEnd w:id="99"/>
    <w:bookmarkStart w:id="101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0">
        <w:r>
          <w:rPr>
            <w:rStyle w:val="Hyperlink"/>
          </w:rPr>
          <w:t xml:space="preserve">https://doi.org/10.1145/3534678.3539381</w:t>
        </w:r>
      </w:hyperlink>
    </w:p>
    <w:bookmarkEnd w:id="101"/>
    <w:bookmarkStart w:id="103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2">
        <w:r>
          <w:rPr>
            <w:rStyle w:val="Hyperlink"/>
          </w:rPr>
          <w:t xml:space="preserve">https://doi.org/10.1145/3383313.3412258</w:t>
        </w:r>
      </w:hyperlink>
    </w:p>
    <w:bookmarkEnd w:id="103"/>
    <w:bookmarkStart w:id="105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4">
        <w:r>
          <w:rPr>
            <w:rStyle w:val="Hyperlink"/>
          </w:rPr>
          <w:t xml:space="preserve">https://doi.org/10.1145/3383313.3412216</w:t>
        </w:r>
      </w:hyperlink>
    </w:p>
    <w:bookmarkEnd w:id="105"/>
    <w:bookmarkStart w:id="107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06">
        <w:r>
          <w:rPr>
            <w:rStyle w:val="Hyperlink"/>
          </w:rPr>
          <w:t xml:space="preserve">https://doi.org/10.1145/3485447.3512111</w:t>
        </w:r>
      </w:hyperlink>
    </w:p>
    <w:bookmarkEnd w:id="107"/>
    <w:bookmarkStart w:id="109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08">
        <w:r>
          <w:rPr>
            <w:rStyle w:val="Hyperlink"/>
          </w:rPr>
          <w:t xml:space="preserve">https://doi.org/10.1145/3485447.3512077</w:t>
        </w:r>
      </w:hyperlink>
    </w:p>
    <w:bookmarkEnd w:id="109"/>
    <w:bookmarkStart w:id="111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0">
        <w:r>
          <w:rPr>
            <w:rStyle w:val="Hyperlink"/>
          </w:rPr>
          <w:t xml:space="preserve">https://doi.org/10.1145/3404835.3462440</w:t>
        </w:r>
      </w:hyperlink>
    </w:p>
    <w:bookmarkEnd w:id="111"/>
    <w:bookmarkStart w:id="113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2">
        <w:r>
          <w:rPr>
            <w:rStyle w:val="Hyperlink"/>
          </w:rPr>
          <w:t xml:space="preserve">https://doi.org/10.1145/3477495.3531955</w:t>
        </w:r>
      </w:hyperlink>
    </w:p>
    <w:bookmarkEnd w:id="113"/>
    <w:bookmarkStart w:id="115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4">
        <w:r>
          <w:rPr>
            <w:rStyle w:val="Hyperlink"/>
          </w:rPr>
          <w:t xml:space="preserve">https://doi.org/10.1109/ICDE53745.2022.00099</w:t>
        </w:r>
      </w:hyperlink>
    </w:p>
    <w:bookmarkEnd w:id="115"/>
    <w:bookmarkStart w:id="117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16">
        <w:r>
          <w:rPr>
            <w:rStyle w:val="Hyperlink"/>
          </w:rPr>
          <w:t xml:space="preserve">https://doi.org/10.1145/3488560.3498433</w:t>
        </w:r>
      </w:hyperlink>
    </w:p>
    <w:bookmarkEnd w:id="117"/>
    <w:bookmarkStart w:id="119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18">
        <w:r>
          <w:rPr>
            <w:rStyle w:val="Hyperlink"/>
          </w:rPr>
          <w:t xml:space="preserve">https://doi.org/10.1145/3485447.3512090</w:t>
        </w:r>
      </w:hyperlink>
    </w:p>
    <w:bookmarkEnd w:id="119"/>
    <w:bookmarkStart w:id="121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0">
        <w:r>
          <w:rPr>
            <w:rStyle w:val="Hyperlink"/>
          </w:rPr>
          <w:t xml:space="preserve">https://doi.org/10.1145/3404835.3463036</w:t>
        </w:r>
      </w:hyperlink>
    </w:p>
    <w:bookmarkEnd w:id="121"/>
    <w:bookmarkStart w:id="123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2">
        <w:r>
          <w:rPr>
            <w:rStyle w:val="Hyperlink"/>
          </w:rPr>
          <w:t xml:space="preserve">https://doi.org/10.1145/3383313.3412488</w:t>
        </w:r>
      </w:hyperlink>
    </w:p>
    <w:bookmarkEnd w:id="123"/>
    <w:bookmarkStart w:id="125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4">
        <w:r>
          <w:rPr>
            <w:rStyle w:val="Hyperlink"/>
          </w:rPr>
          <w:t xml:space="preserve">https://doi.org/10.1145/3394486.3403226</w:t>
        </w:r>
      </w:hyperlink>
    </w:p>
    <w:bookmarkEnd w:id="125"/>
    <w:bookmarkStart w:id="127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26">
        <w:r>
          <w:rPr>
            <w:rStyle w:val="Hyperlink"/>
          </w:rPr>
          <w:t xml:space="preserve">https://doi.org/10.1145/3523227.3548487</w:t>
        </w:r>
      </w:hyperlink>
    </w:p>
    <w:bookmarkEnd w:id="127"/>
    <w:bookmarkStart w:id="129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https://doi.org/10.48550/arXiv.1607.06450</w:t>
        </w:r>
      </w:hyperlink>
    </w:p>
    <w:bookmarkEnd w:id="129"/>
    <w:bookmarkStart w:id="131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0">
        <w:r>
          <w:rPr>
            <w:rStyle w:val="Hyperlink"/>
          </w:rPr>
          <w:t xml:space="preserve">https://doi.org/10.1145/3292500.3330701</w:t>
        </w:r>
      </w:hyperlink>
    </w:p>
    <w:bookmarkEnd w:id="131"/>
    <w:bookmarkStart w:id="133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2">
        <w:r>
          <w:rPr>
            <w:rStyle w:val="Hyperlink"/>
          </w:rPr>
          <w:t xml:space="preserve">https://doi.org/10.1145/2827872</w:t>
        </w:r>
      </w:hyperlink>
    </w:p>
    <w:bookmarkEnd w:id="133"/>
    <w:bookmarkStart w:id="135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4">
        <w:r>
          <w:rPr>
            <w:rStyle w:val="Hyperlink"/>
          </w:rPr>
          <w:t xml:space="preserve">https://doi.org/10.1145/2766462.2767755</w:t>
        </w:r>
      </w:hyperlink>
    </w:p>
    <w:bookmarkEnd w:id="135"/>
    <w:bookmarkStart w:id="137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36">
        <w:r>
          <w:rPr>
            <w:rStyle w:val="Hyperlink"/>
          </w:rPr>
          <w:t xml:space="preserve">https://doi.org/10.1145/2872427.2883037</w:t>
        </w:r>
      </w:hyperlink>
    </w:p>
    <w:bookmarkEnd w:id="137"/>
    <w:bookmarkStart w:id="139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38">
        <w:r>
          <w:rPr>
            <w:rStyle w:val="Hyperlink"/>
          </w:rPr>
          <w:t xml:space="preserve">https://doi.org/10.1145/3077136.3080724</w:t>
        </w:r>
      </w:hyperlink>
    </w:p>
    <w:bookmarkEnd w:id="139"/>
    <w:bookmarkStart w:id="141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0">
        <w:r>
          <w:rPr>
            <w:rStyle w:val="Hyperlink"/>
          </w:rPr>
          <w:t xml:space="preserve">https://doi.org/10.1145/3240323.3240369</w:t>
        </w:r>
      </w:hyperlink>
    </w:p>
    <w:bookmarkEnd w:id="141"/>
    <w:bookmarkStart w:id="143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2">
        <w:r>
          <w:rPr>
            <w:rStyle w:val="Hyperlink"/>
          </w:rPr>
          <w:t xml:space="preserve">https://doi.org/10.1201/9780429246593</w:t>
        </w:r>
      </w:hyperlink>
    </w:p>
    <w:bookmarkEnd w:id="143"/>
    <w:bookmarkStart w:id="145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4">
        <w:r>
          <w:rPr>
            <w:rStyle w:val="Hyperlink"/>
          </w:rPr>
          <w:t xml:space="preserve">https://doi.org/10.1145/3459637.3482016</w:t>
        </w:r>
      </w:hyperlink>
    </w:p>
    <w:bookmarkEnd w:id="145"/>
    <w:bookmarkStart w:id="147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https://doi.org/10.48550/arXiv.1912.01703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df" /><Relationship Type="http://schemas.openxmlformats.org/officeDocument/2006/relationships/image" Id="rId39" Target="media/rId39.pdf" /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2026-05-27T11:02:47Z</dcterms:created>
  <dcterms:modified xsi:type="dcterms:W3CDTF">2026-05-27T11:02:47Z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