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df" ContentType="application/pdf"/>
  <Override PartName="/word/media/rId43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АНОТАЦІЯ</w:t>
      </w:r>
    </w:p>
    <w:p>
      <w:pPr>
        <w:pStyle w:val="BodyText"/>
      </w:pPr>
      <w:r>
        <w:t xml:space="preserve">Послідовні рекомендаційні системи на основі самоуваги ігнорують</w:t>
      </w:r>
      <w:r>
        <w:t xml:space="preserve"> </w:t>
      </w:r>
      <w:r>
        <w:t xml:space="preserve">насичений контрольований сигнал: інтенсивність кожної взаємодії</w:t>
      </w:r>
      <w:r>
        <w:t xml:space="preserve"> </w:t>
      </w:r>
      <w:r>
        <w:t xml:space="preserve">(5-зірковий рейтинг, кількість годин гри, час перебування на</w:t>
      </w:r>
      <w:r>
        <w:t xml:space="preserve"> </w:t>
      </w:r>
      <w:r>
        <w:t xml:space="preserve">сторінці, вартість покупки). Ми висунули гіпотезу, що введення</w:t>
      </w:r>
      <w:r>
        <w:t xml:space="preserve"> </w:t>
      </w:r>
      <w:r>
        <w:t xml:space="preserve">інтенсивності в обчислення уваги повинно покращити точність top-</w:t>
      </w:r>
      <m:oMath>
        <m:r>
          <m:t>k</m:t>
        </m:r>
      </m:oMath>
      <w:r>
        <w:t xml:space="preserve"> </w:t>
      </w:r>
      <w:r>
        <w:t xml:space="preserve">пропорційно до того, наскільки інформативним є базовий сигнал. Ми</w:t>
      </w:r>
      <w:r>
        <w:t xml:space="preserve"> </w:t>
      </w:r>
      <w:r>
        <w:t xml:space="preserve">перевіряємо гіпотезу за допомогою трьох модифікацій SASRec</w:t>
      </w:r>
      <w:r>
        <w:t xml:space="preserve"> </w:t>
      </w:r>
      <w:r>
        <w:t xml:space="preserve">(IA-SASRec-Add, IA-SASRec-Mul, IA-SASRec-Val), що відповідають</w:t>
      </w:r>
      <w:r>
        <w:t xml:space="preserve"> </w:t>
      </w:r>
      <w:r>
        <w:t xml:space="preserve">трьом алгебраїчним позиціям, де інтенсивність може бути введена у</w:t>
      </w:r>
      <w:r>
        <w:t xml:space="preserve"> </w:t>
      </w:r>
      <w:r>
        <w:t xml:space="preserve">вираз уваги. Кожен варіант додає один скаляр</w:t>
      </w:r>
      <w:r>
        <w:t xml:space="preserve"> </w:t>
      </w:r>
      <m:oMath>
        <m:r>
          <m:t>λ</m:t>
        </m:r>
      </m:oMath>
      <w:r>
        <w:t xml:space="preserve">, який</w:t>
      </w:r>
      <w:r>
        <w:t xml:space="preserve"> </w:t>
      </w:r>
      <w:r>
        <w:t xml:space="preserve">оптимізується під час навчання, на кожен шар уваги, спроектований</w:t>
      </w:r>
      <w:r>
        <w:t xml:space="preserve"> </w:t>
      </w:r>
      <w:r>
        <w:t xml:space="preserve">так, щоб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точно відтворювався базовий SASRec:</w:t>
      </w:r>
      <w:r>
        <w:t xml:space="preserve"> </w:t>
      </w:r>
      <w:r>
        <w:t xml:space="preserve">модель є строгою надмножиною базової моделі. Ми проводимо оцінку на</w:t>
      </w:r>
      <w:r>
        <w:t xml:space="preserve"> </w:t>
      </w:r>
      <w:r>
        <w:t xml:space="preserve">семи наборах даних (MovieLens</w:t>
      </w:r>
      <m:oMath>
        <m:r>
          <m:rPr>
            <m:sty m:val="p"/>
          </m:rPr>
          <m:t>×</m:t>
        </m:r>
      </m:oMath>
      <w:r>
        <w:t xml:space="preserve">2, Amazon</w:t>
      </w:r>
      <m:oMath>
        <m:r>
          <m:rPr>
            <m:sty m:val="p"/>
          </m:rPr>
          <m:t>×</m:t>
        </m:r>
      </m:oMath>
      <w:r>
        <w:t xml:space="preserve">2,</w:t>
      </w:r>
      <w:r>
        <w:t xml:space="preserve"> </w:t>
      </w:r>
      <w:r>
        <w:t xml:space="preserve">Steam</w:t>
      </w:r>
      <m:oMath>
        <m:r>
          <m:rPr>
            <m:sty m:val="p"/>
          </m:rPr>
          <m:t>×</m:t>
        </m:r>
      </m:oMath>
      <w:r>
        <w:t xml:space="preserve">3) з п’ятьма ініціалізаціями на конфігурацію, за</w:t>
      </w:r>
      <w:r>
        <w:t xml:space="preserve"> </w:t>
      </w:r>
      <w:r>
        <w:t xml:space="preserve">протоколом значущості з двома критеріями та перевіркою стабільності</w:t>
      </w:r>
      <w:r>
        <w:t xml:space="preserve"> </w:t>
      </w:r>
      <w:r>
        <w:t xml:space="preserve">(попарний</w:t>
      </w:r>
      <w:r>
        <w:t xml:space="preserve"> </w:t>
      </w:r>
      <m:oMath>
        <m:r>
          <m:t>t</m:t>
        </m:r>
      </m:oMath>
      <w:r>
        <w:t xml:space="preserve">-критерій на рівні ініціалізації та попарний бутстрап</w:t>
      </w:r>
      <w:r>
        <w:t xml:space="preserve"> </w:t>
      </w:r>
      <w:r>
        <w:t xml:space="preserve">на рівні користувача з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). Згідно з цим протоколом</w:t>
      </w:r>
      <w:r>
        <w:t xml:space="preserve"> </w:t>
      </w:r>
      <w:r>
        <w:t xml:space="preserve">жоден варіант не досягає стійкого покращення за метриками NDCG@10,</w:t>
      </w:r>
      <w:r>
        <w:t xml:space="preserve"> </w:t>
      </w:r>
      <w:r>
        <w:t xml:space="preserve">Recall@10 або MRR@10 на жодному з наборів. Отримана картина</w:t>
      </w:r>
      <w:r>
        <w:t xml:space="preserve"> </w:t>
      </w:r>
      <w:r>
        <w:t xml:space="preserve">перевертає гіпотезу: саме на наборі даних Steam (з найбільш</w:t>
      </w:r>
      <w:r>
        <w:t xml:space="preserve"> </w:t>
      </w:r>
      <w:r>
        <w:t xml:space="preserve">насиченим сигналом інтенсивності) спостерігаються найбільші</w:t>
      </w:r>
      <w:r>
        <w:t xml:space="preserve"> </w:t>
      </w:r>
      <w:r>
        <w:t xml:space="preserve">статистично значущі погіршення результатів (до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за</w:t>
      </w:r>
      <w:r>
        <w:t xml:space="preserve"> </w:t>
      </w:r>
      <w:r>
        <w:t xml:space="preserve">показником NDCG@10,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). Аналіз механізму на основі</w:t>
      </w:r>
      <w:r>
        <w:t xml:space="preserve"> </w:t>
      </w:r>
      <w:r>
        <w:t xml:space="preserve">навченого параметра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пояснює причину невдачі: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вільно адаптується на наборах даних, де інтенсивність не є</w:t>
      </w:r>
      <w:r>
        <w:t xml:space="preserve"> </w:t>
      </w:r>
      <w:r>
        <w:t xml:space="preserve">інформативною (до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на ML-1M), але залишається на рівні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55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99</m:t>
        </m:r>
      </m:oMath>
      <w:r>
        <w:t xml:space="preserve"> </w:t>
      </w:r>
      <w:r>
        <w:t xml:space="preserve">на Steam. Ми стверджуємо, що один скалярний</w:t>
      </w:r>
      <w:r>
        <w:t xml:space="preserve"> </w:t>
      </w:r>
      <w:r>
        <w:t xml:space="preserve">вентиль на кожен шар є занадто обмеженим засобом контролю для</w:t>
      </w:r>
      <w:r>
        <w:t xml:space="preserve"> </w:t>
      </w:r>
      <w:r>
        <w:t xml:space="preserve">інжекції інтенсивності, і пропонуємо три конкретні архітектурні</w:t>
      </w:r>
      <w:r>
        <w:t xml:space="preserve"> </w:t>
      </w:r>
      <w:r>
        <w:t xml:space="preserve">рішення, спрямовані на подолання цього обмеження.</w:t>
      </w:r>
    </w:p>
    <w:p>
      <w:pPr>
        <w:pStyle w:val="BodyText"/>
      </w:pPr>
      <w:r>
        <w:rPr>
          <w:b/>
          <w:bCs/>
        </w:rPr>
        <w:t xml:space="preserve">Ключові слова:</w:t>
      </w:r>
      <w:r>
        <w:t xml:space="preserve"> </w:t>
      </w:r>
      <w:r>
        <w:t xml:space="preserve">послідовні рекомендації;</w:t>
      </w:r>
      <w:r>
        <w:t xml:space="preserve"> </w:t>
      </w:r>
      <w:r>
        <w:t xml:space="preserve">самоувага; SASRec; інтеграція додаткової інформації; увага з</w:t>
      </w:r>
      <w:r>
        <w:t xml:space="preserve"> </w:t>
      </w:r>
      <w:r>
        <w:t xml:space="preserve">урахуванням інтенсивності; відтворюваність; негативний результат;</w:t>
      </w:r>
      <w:r>
        <w:t xml:space="preserve"> </w:t>
      </w:r>
      <w:r>
        <w:t xml:space="preserve">аналіз механізму.</w:t>
      </w:r>
    </w:p>
    <w:p>
      <w:pPr>
        <w:pStyle w:val="BodyText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Sequential recommenders based on self-attention discard a</w:t>
      </w:r>
      <w:r>
        <w:t xml:space="preserve"> </w:t>
      </w:r>
      <w:r>
        <w:t xml:space="preserve">rich supervised signal: per-interaction intensity (a</w:t>
      </w:r>
      <w:r>
        <w:t xml:space="preserve"> </w:t>
      </w:r>
      <m:oMath>
        <m:r>
          <m:t>5</m:t>
        </m:r>
      </m:oMath>
      <w:r>
        <w:t xml:space="preserve">-star</w:t>
      </w:r>
      <w:r>
        <w:t xml:space="preserve"> </w:t>
      </w:r>
      <w:r>
        <w:t xml:space="preserve">rating, hours played, dwell time, purchase value). We hypothesised</w:t>
      </w:r>
      <w:r>
        <w:t xml:space="preserve"> </w:t>
      </w:r>
      <w:r>
        <w:t xml:space="preserve">that re-introducing intensity into the attention computation should</w:t>
      </w:r>
      <w:r>
        <w:t xml:space="preserve"> </w:t>
      </w:r>
      <w:r>
        <w:t xml:space="preserve">improve top-</w:t>
      </w:r>
      <m:oMath>
        <m:r>
          <m:t>k</m:t>
        </m:r>
      </m:oMath>
      <w:r>
        <w:t xml:space="preserve"> </w:t>
      </w:r>
      <w:r>
        <w:t xml:space="preserve">accuracy in proportion to how informative the</w:t>
      </w:r>
      <w:r>
        <w:t xml:space="preserve"> </w:t>
      </w:r>
      <w:r>
        <w:t xml:space="preserve">underlying signal is. We test the hypothesis with three drop-in</w:t>
      </w:r>
      <w:r>
        <w:t xml:space="preserve"> </w:t>
      </w:r>
      <w:r>
        <w:t xml:space="preserve">modifications of SASRec (IA-SASRec-Add, IA-SASRec-Mul, IA-SASRec-Val),</w:t>
      </w:r>
      <w:r>
        <w:t xml:space="preserve"> </w:t>
      </w:r>
      <w:r>
        <w:t xml:space="preserve">corresponding to the three algebraic positions where intensity</w:t>
      </w:r>
      <w:r>
        <w:t xml:space="preserve"> </w:t>
      </w:r>
      <w:r>
        <w:t xml:space="preserve">can be threaded into the attention expression. Each variant adds a</w:t>
      </w:r>
      <w:r>
        <w:t xml:space="preserve"> </w:t>
      </w:r>
      <w:r>
        <w:t xml:space="preserve">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attention layer, designed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vanilla SASRec exactly: the model is a</w:t>
      </w:r>
      <w:r>
        <w:t xml:space="preserve"> </w:t>
      </w:r>
      <w:r>
        <w:t xml:space="preserve">strict super-set of the baseline. We evaluate across seven datasets</w:t>
      </w:r>
      <w:r>
        <w:t xml:space="preserve"> </w:t>
      </w:r>
      <w:r>
        <w:t xml:space="preserve">(MovieLens</w:t>
      </w:r>
      <m:oMath>
        <m:r>
          <m:rPr>
            <m:sty m:val="p"/>
          </m:rPr>
          <m:t>×</m:t>
        </m:r>
      </m:oMath>
      <w:r>
        <w:t xml:space="preserve">2, Amazon</w:t>
      </w:r>
      <m:oMath>
        <m:r>
          <m:rPr>
            <m:sty m:val="p"/>
          </m:rPr>
          <m:t>×</m:t>
        </m:r>
      </m:oMath>
      <w:r>
        <w:t xml:space="preserve">2, Steam</w:t>
      </w:r>
      <m:oMath>
        <m:r>
          <m:rPr>
            <m:sty m:val="p"/>
          </m:rPr>
          <m:t>×</m:t>
        </m:r>
      </m:oMath>
      <w:r>
        <w:t xml:space="preserve">3) with five seeds</w:t>
      </w:r>
      <w:r>
        <w:t xml:space="preserve"> </w:t>
      </w:r>
      <w:r>
        <w:t xml:space="preserve">per configuration, under a dual-criterion significance protocol with a</w:t>
      </w:r>
      <w:r>
        <w:t xml:space="preserve"> </w:t>
      </w:r>
      <w:r>
        <w:t xml:space="preserve">per-seed stability check (seed-level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 paired</w:t>
      </w:r>
      <w:r>
        <w:t xml:space="preserve"> </w:t>
      </w:r>
      <w:r>
        <w:t xml:space="preserve">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). Under this protocol, no variant achieves</w:t>
      </w:r>
      <w:r>
        <w:t xml:space="preserve"> </w:t>
      </w:r>
      <w:r>
        <w:t xml:space="preserve">a robust improvement on NDCG@10, Recall@10, or MRR@10 anywhere. The</w:t>
      </w:r>
      <w:r>
        <w:t xml:space="preserve"> </w:t>
      </w:r>
      <w:r>
        <w:t xml:space="preserve">pattern inverts the hypothesis: Steam (the dataset with the richest</w:t>
      </w:r>
      <w:r>
        <w:t xml:space="preserve"> </w:t>
      </w:r>
      <w:r>
        <w:t xml:space="preserve">intensity signal) hosts the largest significant degradations (up to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NDCG@10,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 Mechanism analysis through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explains the failure: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datasets</w:t>
      </w:r>
      <w:r>
        <w:t xml:space="preserve"> </w:t>
      </w:r>
      <w:r>
        <w:t xml:space="preserve">where intensity is 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ML-1M) but stays</w:t>
      </w:r>
      <w:r>
        <w:t xml:space="preserve"> </w:t>
      </w:r>
      <w:r>
        <w:t xml:space="preserve">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</w:t>
      </w:r>
      <w:r>
        <w:t xml:space="preserve"> </w:t>
      </w:r>
      <w:r>
        <w:t xml:space="preserve">We argue that a single per-layer scalar gate is too limited a control</w:t>
      </w:r>
      <w:r>
        <w:t xml:space="preserve"> </w:t>
      </w:r>
      <w:r>
        <w:t xml:space="preserve">for intensity injection, and outline three concrete designs that target</w:t>
      </w:r>
      <w:r>
        <w:t xml:space="preserve"> </w:t>
      </w:r>
      <w:r>
        <w:t xml:space="preserve">this limitation.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sequential recommendation; self-attention;</w:t>
      </w:r>
      <w:r>
        <w:t xml:space="preserve"> </w:t>
      </w:r>
      <w:r>
        <w:t xml:space="preserve">SASRec; side information fusion; intensity-aware attention;</w:t>
      </w:r>
      <w:r>
        <w:t xml:space="preserve"> </w:t>
      </w:r>
      <w:r>
        <w:t xml:space="preserve">reproducibility; negative result; mechanism analysis.</w:t>
      </w:r>
    </w:p>
    <w:p>
      <w:r>
        <w:pict>
          <v:rect style="width:0;height:1.5pt" o:hralign="center" o:hrstd="t" o:hr="t"/>
        </w:pict>
      </w:r>
    </w:p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this amounts to discarding substantial supervised information,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architecture provides a path to disable intensity, yet the optimiser does not take it.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the chosen normalisation suppressed the information it contained.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6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t xml:space="preserve">Val: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 direction change in the output vector, the</w:t>
      </w:r>
      <w:r>
        <w:t xml:space="preserve"> </w:t>
      </w:r>
      <w:r>
        <w:t xml:space="preserve">part that actually re-ranks candidates,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5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bookmarkStart w:id="24" w:name="tab:variants"/>
    <w:p>
      <w:pPr>
        <w:pStyle w:val="TableCaption"/>
      </w:pPr>
      <w:r>
        <w:t xml:space="preserve">The three IA-SASRec variants.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 learnable scalar per layer (init</w:t>
      </w:r>
      <w:r>
        <w:t xml:space="preserve"> </w:t>
      </w:r>
      <m:oMath>
        <m:r>
          <m:t>1.0</m:t>
        </m:r>
      </m:oMath>
      <w:r>
        <w:t xml:space="preserve">);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to SASRec.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three IA-SASRec variants. \lambda is a learnable scalar per layer (init 1.0); \lambda = 0 collapses each variant to SASRec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End w:id="26"/>
    <w:bookmarkStart w:id="32" w:name="sec:setup"/>
    <w:p>
      <w:pPr>
        <w:pStyle w:val="Heading1"/>
      </w:pPr>
      <w:r>
        <w:t xml:space="preserve">Experimental Setup</w:t>
      </w:r>
    </w:p>
    <w:bookmarkStart w:id="28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bookmarkStart w:id="27" w:name="tab:datasets"/>
    <w:p>
      <w:pPr>
        <w:pStyle w:val="TableCaption"/>
      </w:pPr>
      <w:r>
        <w:t xml:space="preserve">Datasets after 5-core filtering. Density is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I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cr m:val="script"/>
            <m:sty m:val="p"/>
          </m:rPr>
          <m:t>U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 Intensity is the per-interaction signal threaded into IA-SASRec attention.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sets after 5-core filtering. Density is |\mathcal{I}| / (|\mathcal{U}|\cdot|\mathcal{V}|). Intensity is the per-interaction signal threaded into IA-SASRec attent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7"/>
    <w:bookmarkEnd w:id="28"/>
    <w:bookmarkStart w:id="29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9"/>
    <w:bookmarkStart w:id="30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protocol, where exactly one held-out</w:t>
      </w:r>
      <w:r>
        <w:t xml:space="preserve"> </w:t>
      </w:r>
      <w:r>
        <w:t xml:space="preserve">positive per user is ranked against the full item catalogue,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30"/>
    <w:bookmarkStart w:id="31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31"/>
    <w:bookmarkEnd w:id="32"/>
    <w:bookmarkStart w:id="41" w:name="sec:results"/>
    <w:p>
      <w:pPr>
        <w:pStyle w:val="Heading1"/>
      </w:pPr>
      <w:r>
        <w:t xml:space="preserve">Results</w:t>
      </w:r>
    </w:p>
    <w:bookmarkStart w:id="33" w:name="tab:main_results"/>
    <w:p>
      <w:pPr>
        <w:pStyle w:val="TableCaption"/>
      </w:pPr>
      <w:r>
        <w:t xml:space="preserve">Relative change (%) of IA-SASRec variants vs SASRec across 7 datasets and 5 seeds. Stars: paired</w:t>
      </w:r>
      <w:r>
        <w:t xml:space="preserve"> </w:t>
      </w:r>
      <m:oMath>
        <m:r>
          <m:t>t</m:t>
        </m:r>
      </m:oMath>
      <w:r>
        <w:t xml:space="preserve">-test,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 Bold cells are robust: both the paired-</w:t>
      </w:r>
      <m:oMath>
        <m:r>
          <m:t>t</m:t>
        </m:r>
      </m:oMath>
      <w:r>
        <w:t xml:space="preserve"> </w:t>
      </w:r>
      <w:r>
        <w:t xml:space="preserve">at the seed level and the per-user paired bootstrap (B=2000)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the per-seed CI sign-majority stability check holds.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lative change (%) of IA-SASRec variants vs SASRec across 7 datasets and 5 seeds. Stars: paired t-test, ^{*}p&lt;0.05, ^{**}p&lt;0.01. Bold cells are robust: both the paired-t at the seed level and the per-user paired bootstrap (B=2000) reject at \alpha=0.05, and the per-seed CI sign-majority stability check holds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bookmarkEnd w:id="33"/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7" w:name="fig:forest"/>
    <w:p>
      <w:pPr>
        <w:pStyle w:val="CaptionedFigure"/>
      </w:pPr>
      <w:r>
        <w:drawing>
          <wp:inline>
            <wp:extent cx="5334000" cy="5937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forest_ndcg10.pd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Each row is one (dataset, variant) cell;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rows have CI entirely below zero; green rows entirely above; grey rows cross zero. No robust positive cell exists for NDCG@10.</w:t>
      </w:r>
    </w:p>
    <w:bookmarkEnd w:id="37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examine the pattern dataset</w:t>
      </w:r>
      <w:r>
        <w:t xml:space="preserve"> </w:t>
      </w:r>
      <w:r>
        <w:t xml:space="preserve">by dataset.</w:t>
      </w:r>
    </w:p>
    <w:bookmarkStart w:id="38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8"/>
    <w:bookmarkStart w:id="39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3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9"/>
    <w:bookmarkStart w:id="40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40"/>
    <w:bookmarkEnd w:id="41"/>
    <w:bookmarkStart w:id="52" w:name="sec:analysis"/>
    <w:p>
      <w:pPr>
        <w:pStyle w:val="Heading1"/>
      </w:pPr>
      <w:r>
        <w:t xml:space="preserve">Analysis of the degradation mechanism</w:t>
      </w:r>
    </w:p>
    <w:p>
      <w:pPr>
        <w:pStyle w:val="FirstParagraph"/>
      </w:pPr>
      <w:r>
        <w:t xml:space="preserve">The negative result documented above admits a more precise characterisation</w:t>
      </w:r>
      <w:r>
        <w:t xml:space="preserve"> </w:t>
      </w:r>
      <w:r>
        <w:t xml:space="preserve">than a simple hypothesis failure. 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9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bookmarkStart w:id="42" w:name="tab:lambda"/>
    <w:p>
      <w:pPr>
        <w:pStyle w:val="TableCaption"/>
      </w:pP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(dataset, variant), averaged over attention layers and 5 seeds (mean</w:t>
      </w:r>
      <m:oMath>
        <m:r>
          <m:rPr>
            <m:sty m:val="p"/>
          </m:rPr>
          <m:t>±</m:t>
        </m:r>
      </m:oMath>
      <w:r>
        <w:t xml:space="preserve">std). Values are the per-layer learnable scalar gating the intensity signal;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to SASRec.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earned \lambda per (dataset, variant), averaged over attention layers and 5 seeds (mean\pmstd). Values are the per-layer learnable scalar gating the intensity signal; \lambda{=}0 collapses to SASRec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End w:id="42"/>
    <w:bookmarkStart w:id="46" w:name="fig:lambda_vs_delta"/>
    <w:p>
      <w:pPr>
        <w:pStyle w:val="CaptionedFigure"/>
      </w:pPr>
      <w:r>
        <w:drawing>
          <wp:inline>
            <wp:extent cx="5334000" cy="346131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/lambda_vs_delta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(Table </w:t>
      </w:r>
      <w:hyperlink w:anchor="tab:lambda">
        <w:r>
          <w:rPr>
            <w:rStyle w:val="Hyperlink"/>
          </w:rPr>
          <w:t xml:space="preserve">4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6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7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gradient signal favours shrinking the intensity channel,</w:t>
      </w:r>
      <w:r>
        <w:t xml:space="preserve"> </w:t>
      </w:r>
      <w:r>
        <w:t xml:space="preserve">the optimiser can do so: the gradient path is open.</w:t>
      </w:r>
    </w:p>
    <w:bookmarkEnd w:id="47"/>
    <w:bookmarkStart w:id="48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3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8"/>
    <w:bookmarkEnd w:id="49"/>
    <w:bookmarkStart w:id="50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50"/>
    <w:bookmarkStart w:id="51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51"/>
    <w:bookmarkEnd w:id="52"/>
    <w:bookmarkStart w:id="61" w:name="sec:discussion"/>
    <w:p>
      <w:pPr>
        <w:pStyle w:val="Heading1"/>
      </w:pPr>
      <w:r>
        <w:t xml:space="preserve">Discussion</w:t>
      </w:r>
    </w:p>
    <w:bookmarkStart w:id="53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53"/>
    <w:bookmarkStart w:id="54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4"/>
    <w:bookmarkStart w:id="55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5"/>
    <w:bookmarkStart w:id="60" w:name="threats-to-validity"/>
    <w:p>
      <w:pPr>
        <w:pStyle w:val="Heading2"/>
      </w:pPr>
      <w:r>
        <w:t xml:space="preserve">Threats to validity</w:t>
      </w:r>
    </w:p>
    <w:bookmarkStart w:id="56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6"/>
    <w:bookmarkStart w:id="57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7"/>
    <w:bookmarkStart w:id="58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8"/>
    <w:bookmarkStart w:id="59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9"/>
    <w:bookmarkEnd w:id="60"/>
    <w:bookmarkEnd w:id="61"/>
    <w:bookmarkStart w:id="15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admits a more precise characterisation than a simple hypothesis failure. 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merit investigation as alternatives to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gating.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52" w:name="refs"/>
    <w:bookmarkStart w:id="63" w:name="ref-kang2018sasre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62">
        <w:r>
          <w:rPr>
            <w:rStyle w:val="Hyperlink"/>
          </w:rPr>
          <w:t xml:space="preserve">https://doi.org/10.1109/ICDM.2018.00035</w:t>
        </w:r>
      </w:hyperlink>
    </w:p>
    <w:bookmarkEnd w:id="63"/>
    <w:bookmarkStart w:id="65" w:name="ref-sun2019bert4re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4">
        <w:r>
          <w:rPr>
            <w:rStyle w:val="Hyperlink"/>
          </w:rPr>
          <w:t xml:space="preserve">https://doi.org/10.1145/3357384.3357895</w:t>
        </w:r>
      </w:hyperlink>
    </w:p>
    <w:bookmarkEnd w:id="65"/>
    <w:bookmarkStart w:id="67" w:name="ref-ferrari2019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6">
        <w:r>
          <w:rPr>
            <w:rStyle w:val="Hyperlink"/>
          </w:rPr>
          <w:t xml:space="preserve">https://doi.org/10.1145/3298689.3347058</w:t>
        </w:r>
      </w:hyperlink>
    </w:p>
    <w:bookmarkEnd w:id="67"/>
    <w:bookmarkStart w:id="69" w:name="ref-sun2020dais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8">
        <w:r>
          <w:rPr>
            <w:rStyle w:val="Hyperlink"/>
          </w:rPr>
          <w:t xml:space="preserve">https://doi.org/10.1145/3383313.3412489</w:t>
        </w:r>
      </w:hyperlink>
    </w:p>
    <w:bookmarkEnd w:id="69"/>
    <w:bookmarkStart w:id="71" w:name="ref-vaswani2017atten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70">
        <w:r>
          <w:rPr>
            <w:rStyle w:val="Hyperlink"/>
          </w:rPr>
          <w:t xml:space="preserve">https://doi.org/10.48550/arXiv.1706.03762</w:t>
        </w:r>
      </w:hyperlink>
    </w:p>
    <w:bookmarkEnd w:id="71"/>
    <w:bookmarkStart w:id="73" w:name="ref-devlin2019bert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72">
        <w:r>
          <w:rPr>
            <w:rStyle w:val="Hyperlink"/>
          </w:rPr>
          <w:t xml:space="preserve">https://doi.org/10.18653/v1/N19-1423</w:t>
        </w:r>
      </w:hyperlink>
    </w:p>
    <w:bookmarkEnd w:id="73"/>
    <w:bookmarkStart w:id="75" w:name="ref-li2020tisasre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4">
        <w:r>
          <w:rPr>
            <w:rStyle w:val="Hyperlink"/>
          </w:rPr>
          <w:t xml:space="preserve">https://doi.org/10.1145/3336191.3371786</w:t>
        </w:r>
      </w:hyperlink>
    </w:p>
    <w:bookmarkEnd w:id="75"/>
    <w:bookmarkStart w:id="77" w:name="ref-hidasi2016gru4rec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https://doi.org/10.48550/arXiv.1511.06939</w:t>
        </w:r>
      </w:hyperlink>
    </w:p>
    <w:bookmarkEnd w:id="77"/>
    <w:bookmarkStart w:id="79" w:name="ref-li2017narm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8">
        <w:r>
          <w:rPr>
            <w:rStyle w:val="Hyperlink"/>
          </w:rPr>
          <w:t xml:space="preserve">https://doi.org/10.1145/3132847.3132926</w:t>
        </w:r>
      </w:hyperlink>
    </w:p>
    <w:bookmarkEnd w:id="79"/>
    <w:bookmarkStart w:id="81" w:name="ref-rendle2010fpm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80">
        <w:r>
          <w:rPr>
            <w:rStyle w:val="Hyperlink"/>
          </w:rPr>
          <w:t xml:space="preserve">https://doi.org/10.1145/1772690.1772773</w:t>
        </w:r>
      </w:hyperlink>
    </w:p>
    <w:bookmarkEnd w:id="81"/>
    <w:bookmarkStart w:id="83" w:name="ref-tang2018caser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82">
        <w:r>
          <w:rPr>
            <w:rStyle w:val="Hyperlink"/>
          </w:rPr>
          <w:t xml:space="preserve">https://doi.org/10.1145/3159652.3159656</w:t>
        </w:r>
      </w:hyperlink>
    </w:p>
    <w:bookmarkEnd w:id="83"/>
    <w:bookmarkStart w:id="85" w:name="ref-yuan2019nextitnet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4">
        <w:r>
          <w:rPr>
            <w:rStyle w:val="Hyperlink"/>
          </w:rPr>
          <w:t xml:space="preserve">https://doi.org/10.1145/3289600.3290975</w:t>
        </w:r>
      </w:hyperlink>
    </w:p>
    <w:bookmarkEnd w:id="85"/>
    <w:bookmarkStart w:id="87" w:name="ref-rendle2009bp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6">
        <w:r>
          <w:rPr>
            <w:rStyle w:val="Hyperlink"/>
          </w:rPr>
          <w:t xml:space="preserve">https://doi.org/10.5555/1795114.1795167</w:t>
        </w:r>
      </w:hyperlink>
    </w:p>
    <w:bookmarkEnd w:id="87"/>
    <w:bookmarkStart w:id="89" w:name="ref-zhang2019fds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8">
        <w:r>
          <w:rPr>
            <w:rStyle w:val="Hyperlink"/>
          </w:rPr>
          <w:t xml:space="preserve">https://doi.org/10.24963/ijcai.2019/600</w:t>
        </w:r>
      </w:hyperlink>
    </w:p>
    <w:bookmarkEnd w:id="89"/>
    <w:bookmarkStart w:id="91" w:name="ref-zhou2020s3rec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90">
        <w:r>
          <w:rPr>
            <w:rStyle w:val="Hyperlink"/>
          </w:rPr>
          <w:t xml:space="preserve">https://doi.org/10.1145/3340531.3411954</w:t>
        </w:r>
      </w:hyperlink>
    </w:p>
    <w:bookmarkEnd w:id="91"/>
    <w:bookmarkStart w:id="93" w:name="ref-hu2008cf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92">
        <w:r>
          <w:rPr>
            <w:rStyle w:val="Hyperlink"/>
          </w:rPr>
          <w:t xml:space="preserve">https://doi.org/10.1109/ICDM.2008.22</w:t>
        </w:r>
      </w:hyperlink>
    </w:p>
    <w:bookmarkEnd w:id="93"/>
    <w:bookmarkStart w:id="95" w:name="ref-pan2008oneclass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4">
        <w:r>
          <w:rPr>
            <w:rStyle w:val="Hyperlink"/>
          </w:rPr>
          <w:t xml:space="preserve">https://doi.org/10.1109/ICDM.2008.16</w:t>
        </w:r>
      </w:hyperlink>
    </w:p>
    <w:bookmarkEnd w:id="95"/>
    <w:bookmarkStart w:id="97" w:name="ref-liu2021novaber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6">
        <w:r>
          <w:rPr>
            <w:rStyle w:val="Hyperlink"/>
          </w:rPr>
          <w:t xml:space="preserve">https://doi.org/10.1609/aaai.v35i5.16549</w:t>
        </w:r>
      </w:hyperlink>
    </w:p>
    <w:bookmarkEnd w:id="97"/>
    <w:bookmarkStart w:id="99" w:name="ref-xie2022difs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8">
        <w:r>
          <w:rPr>
            <w:rStyle w:val="Hyperlink"/>
          </w:rPr>
          <w:t xml:space="preserve">https://doi.org/10.1145/3477495.3531963</w:t>
        </w:r>
      </w:hyperlink>
    </w:p>
    <w:bookmarkEnd w:id="99"/>
    <w:bookmarkStart w:id="101" w:name="ref-rashed2022carc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100">
        <w:r>
          <w:rPr>
            <w:rStyle w:val="Hyperlink"/>
          </w:rPr>
          <w:t xml:space="preserve">https://doi.org/10.1145/3523227.3546777</w:t>
        </w:r>
      </w:hyperlink>
    </w:p>
    <w:bookmarkEnd w:id="101"/>
    <w:bookmarkStart w:id="103" w:name="ref-ma2019hgn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102">
        <w:r>
          <w:rPr>
            <w:rStyle w:val="Hyperlink"/>
          </w:rPr>
          <w:t xml:space="preserve">https://doi.org/10.1145/3292500.3330984</w:t>
        </w:r>
      </w:hyperlink>
    </w:p>
    <w:bookmarkEnd w:id="103"/>
    <w:bookmarkStart w:id="105" w:name="ref-hou2022unisrec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4">
        <w:r>
          <w:rPr>
            <w:rStyle w:val="Hyperlink"/>
          </w:rPr>
          <w:t xml:space="preserve">https://doi.org/10.1145/3534678.3539381</w:t>
        </w:r>
      </w:hyperlink>
    </w:p>
    <w:bookmarkEnd w:id="105"/>
    <w:bookmarkStart w:id="107" w:name="ref-wu2020ssept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6">
        <w:r>
          <w:rPr>
            <w:rStyle w:val="Hyperlink"/>
          </w:rPr>
          <w:t xml:space="preserve">https://doi.org/10.1145/3383313.3412258</w:t>
        </w:r>
      </w:hyperlink>
    </w:p>
    <w:bookmarkEnd w:id="107"/>
    <w:bookmarkStart w:id="109" w:name="ref-cho2020meantim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8">
        <w:r>
          <w:rPr>
            <w:rStyle w:val="Hyperlink"/>
          </w:rPr>
          <w:t xml:space="preserve">https://doi.org/10.1145/3383313.3412216</w:t>
        </w:r>
      </w:hyperlink>
    </w:p>
    <w:bookmarkEnd w:id="109"/>
    <w:bookmarkStart w:id="111" w:name="ref-zhou2022fmlp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10">
        <w:r>
          <w:rPr>
            <w:rStyle w:val="Hyperlink"/>
          </w:rPr>
          <w:t xml:space="preserve">https://doi.org/10.1145/3485447.3512111</w:t>
        </w:r>
      </w:hyperlink>
    </w:p>
    <w:bookmarkEnd w:id="111"/>
    <w:bookmarkStart w:id="113" w:name="ref-fan2022stos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12">
        <w:r>
          <w:rPr>
            <w:rStyle w:val="Hyperlink"/>
          </w:rPr>
          <w:t xml:space="preserve">https://doi.org/10.1145/3485447.3512077</w:t>
        </w:r>
      </w:hyperlink>
    </w:p>
    <w:bookmarkEnd w:id="113"/>
    <w:bookmarkStart w:id="115" w:name="ref-fan2021lightsan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4">
        <w:r>
          <w:rPr>
            <w:rStyle w:val="Hyperlink"/>
          </w:rPr>
          <w:t xml:space="preserve">https://doi.org/10.1145/3404835.3462440</w:t>
        </w:r>
      </w:hyperlink>
    </w:p>
    <w:bookmarkEnd w:id="115"/>
    <w:bookmarkStart w:id="117" w:name="ref-hou2022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6">
        <w:r>
          <w:rPr>
            <w:rStyle w:val="Hyperlink"/>
          </w:rPr>
          <w:t xml:space="preserve">https://doi.org/10.1145/3477495.3531955</w:t>
        </w:r>
      </w:hyperlink>
    </w:p>
    <w:bookmarkEnd w:id="117"/>
    <w:bookmarkStart w:id="119" w:name="ref-xie2022cl4srec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8">
        <w:r>
          <w:rPr>
            <w:rStyle w:val="Hyperlink"/>
          </w:rPr>
          <w:t xml:space="preserve">https://doi.org/10.1109/ICDE53745.2022.00099</w:t>
        </w:r>
      </w:hyperlink>
    </w:p>
    <w:bookmarkEnd w:id="119"/>
    <w:bookmarkStart w:id="121" w:name="ref-qiu2022duorec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20">
        <w:r>
          <w:rPr>
            <w:rStyle w:val="Hyperlink"/>
          </w:rPr>
          <w:t xml:space="preserve">https://doi.org/10.1145/3488560.3498433</w:t>
        </w:r>
      </w:hyperlink>
    </w:p>
    <w:bookmarkEnd w:id="121"/>
    <w:bookmarkStart w:id="123" w:name="ref-chen2022iclre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22">
        <w:r>
          <w:rPr>
            <w:rStyle w:val="Hyperlink"/>
          </w:rPr>
          <w:t xml:space="preserve">https://doi.org/10.1145/3485447.3512090</w:t>
        </w:r>
      </w:hyperlink>
    </w:p>
    <w:bookmarkEnd w:id="123"/>
    <w:bookmarkStart w:id="125" w:name="ref-liu2021asrep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4">
        <w:r>
          <w:rPr>
            <w:rStyle w:val="Hyperlink"/>
          </w:rPr>
          <w:t xml:space="preserve">https://doi.org/10.1145/3404835.3463036</w:t>
        </w:r>
      </w:hyperlink>
    </w:p>
    <w:bookmarkEnd w:id="125"/>
    <w:bookmarkStart w:id="127" w:name="ref-rendle2020baselines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6">
        <w:r>
          <w:rPr>
            <w:rStyle w:val="Hyperlink"/>
          </w:rPr>
          <w:t xml:space="preserve">https://doi.org/10.1145/3383313.3412488</w:t>
        </w:r>
      </w:hyperlink>
    </w:p>
    <w:bookmarkEnd w:id="127"/>
    <w:bookmarkStart w:id="129" w:name="ref-krichene2020sampled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8">
        <w:r>
          <w:rPr>
            <w:rStyle w:val="Hyperlink"/>
          </w:rPr>
          <w:t xml:space="preserve">https://doi.org/10.1145/3394486.3403226</w:t>
        </w:r>
      </w:hyperlink>
    </w:p>
    <w:bookmarkEnd w:id="129"/>
    <w:bookmarkStart w:id="131" w:name="ref-petrov2022replicability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30">
        <w:r>
          <w:rPr>
            <w:rStyle w:val="Hyperlink"/>
          </w:rPr>
          <w:t xml:space="preserve">https://doi.org/10.1145/3523227.3548487</w:t>
        </w:r>
      </w:hyperlink>
    </w:p>
    <w:bookmarkEnd w:id="131"/>
    <w:bookmarkStart w:id="133" w:name="ref-ba2016layernorm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https://doi.org/10.48550/arXiv.1607.06450</w:t>
        </w:r>
      </w:hyperlink>
    </w:p>
    <w:bookmarkEnd w:id="133"/>
    <w:bookmarkStart w:id="135" w:name="ref-akiba2019optuna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4">
        <w:r>
          <w:rPr>
            <w:rStyle w:val="Hyperlink"/>
          </w:rPr>
          <w:t xml:space="preserve">https://doi.org/10.1145/3292500.3330701</w:t>
        </w:r>
      </w:hyperlink>
    </w:p>
    <w:bookmarkEnd w:id="135"/>
    <w:bookmarkStart w:id="137" w:name="ref-harper2015movielen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6">
        <w:r>
          <w:rPr>
            <w:rStyle w:val="Hyperlink"/>
          </w:rPr>
          <w:t xml:space="preserve">https://doi.org/10.1145/2827872</w:t>
        </w:r>
      </w:hyperlink>
    </w:p>
    <w:bookmarkEnd w:id="137"/>
    <w:bookmarkStart w:id="139" w:name="ref-mcauley2015amazon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8">
        <w:r>
          <w:rPr>
            <w:rStyle w:val="Hyperlink"/>
          </w:rPr>
          <w:t xml:space="preserve">https://doi.org/10.1145/2766462.2767755</w:t>
        </w:r>
      </w:hyperlink>
    </w:p>
    <w:bookmarkEnd w:id="139"/>
    <w:bookmarkStart w:id="141" w:name="ref-he2016amazonups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40">
        <w:r>
          <w:rPr>
            <w:rStyle w:val="Hyperlink"/>
          </w:rPr>
          <w:t xml:space="preserve">https://doi.org/10.1145/2872427.2883037</w:t>
        </w:r>
      </w:hyperlink>
    </w:p>
    <w:bookmarkEnd w:id="141"/>
    <w:bookmarkStart w:id="143" w:name="ref-pathak2017steam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42">
        <w:r>
          <w:rPr>
            <w:rStyle w:val="Hyperlink"/>
          </w:rPr>
          <w:t xml:space="preserve">https://doi.org/10.1145/3077136.3080724</w:t>
        </w:r>
      </w:hyperlink>
    </w:p>
    <w:bookmarkEnd w:id="143"/>
    <w:bookmarkStart w:id="145" w:name="ref-wan2018steamreview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4">
        <w:r>
          <w:rPr>
            <w:rStyle w:val="Hyperlink"/>
          </w:rPr>
          <w:t xml:space="preserve">https://doi.org/10.1145/3240323.3240369</w:t>
        </w:r>
      </w:hyperlink>
    </w:p>
    <w:bookmarkEnd w:id="145"/>
    <w:bookmarkStart w:id="147" w:name="ref-efron1993bootstrap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6">
        <w:r>
          <w:rPr>
            <w:rStyle w:val="Hyperlink"/>
          </w:rPr>
          <w:t xml:space="preserve">https://doi.org/10.1201/9780429246593</w:t>
        </w:r>
      </w:hyperlink>
    </w:p>
    <w:bookmarkEnd w:id="147"/>
    <w:bookmarkStart w:id="149" w:name="ref-zhao2021recbole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8">
        <w:r>
          <w:rPr>
            <w:rStyle w:val="Hyperlink"/>
          </w:rPr>
          <w:t xml:space="preserve">https://doi.org/10.1145/3459637.3482016</w:t>
        </w:r>
      </w:hyperlink>
    </w:p>
    <w:bookmarkEnd w:id="149"/>
    <w:bookmarkStart w:id="151" w:name="ref-paszke2019pytorc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50">
        <w:r>
          <w:rPr>
            <w:rStyle w:val="Hyperlink"/>
          </w:rPr>
          <w:t xml:space="preserve">https://doi.org/10.48550/arXiv.1912.01703</w:t>
        </w:r>
      </w:hyperlink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df" /><Relationship Type="http://schemas.openxmlformats.org/officeDocument/2006/relationships/image" Id="rId43" Target="media/rId43.pdf" /><Relationship Type="http://schemas.openxmlformats.org/officeDocument/2006/relationships/hyperlink" Id="rId118" Target="https://doi.org/10.1109/ICDE53745.2022.00099" TargetMode="External" /><Relationship Type="http://schemas.openxmlformats.org/officeDocument/2006/relationships/hyperlink" Id="rId94" Target="https://doi.org/10.1109/ICDM.2008.16" TargetMode="External" /><Relationship Type="http://schemas.openxmlformats.org/officeDocument/2006/relationships/hyperlink" Id="rId92" Target="https://doi.org/10.1109/ICDM.2008.22" TargetMode="External" /><Relationship Type="http://schemas.openxmlformats.org/officeDocument/2006/relationships/hyperlink" Id="rId62" Target="https://doi.org/10.1109/ICDM.2018.00035" TargetMode="External" /><Relationship Type="http://schemas.openxmlformats.org/officeDocument/2006/relationships/hyperlink" Id="rId80" Target="https://doi.org/10.1145/1772690.1772773" TargetMode="External" /><Relationship Type="http://schemas.openxmlformats.org/officeDocument/2006/relationships/hyperlink" Id="rId138" Target="https://doi.org/10.1145/2766462.2767755" TargetMode="External" /><Relationship Type="http://schemas.openxmlformats.org/officeDocument/2006/relationships/hyperlink" Id="rId136" Target="https://doi.org/10.1145/2827872" TargetMode="External" /><Relationship Type="http://schemas.openxmlformats.org/officeDocument/2006/relationships/hyperlink" Id="rId140" Target="https://doi.org/10.1145/2872427.2883037" TargetMode="External" /><Relationship Type="http://schemas.openxmlformats.org/officeDocument/2006/relationships/hyperlink" Id="rId142" Target="https://doi.org/10.1145/3077136.3080724" TargetMode="External" /><Relationship Type="http://schemas.openxmlformats.org/officeDocument/2006/relationships/hyperlink" Id="rId78" Target="https://doi.org/10.1145/3132847.3132926" TargetMode="External" /><Relationship Type="http://schemas.openxmlformats.org/officeDocument/2006/relationships/hyperlink" Id="rId82" Target="https://doi.org/10.1145/3159652.3159656" TargetMode="External" /><Relationship Type="http://schemas.openxmlformats.org/officeDocument/2006/relationships/hyperlink" Id="rId144" Target="https://doi.org/10.1145/3240323.3240369" TargetMode="External" /><Relationship Type="http://schemas.openxmlformats.org/officeDocument/2006/relationships/hyperlink" Id="rId84" Target="https://doi.org/10.1145/3289600.3290975" TargetMode="External" /><Relationship Type="http://schemas.openxmlformats.org/officeDocument/2006/relationships/hyperlink" Id="rId134" Target="https://doi.org/10.1145/3292500.3330701" TargetMode="External" /><Relationship Type="http://schemas.openxmlformats.org/officeDocument/2006/relationships/hyperlink" Id="rId102" Target="https://doi.org/10.1145/3292500.3330984" TargetMode="External" /><Relationship Type="http://schemas.openxmlformats.org/officeDocument/2006/relationships/hyperlink" Id="rId66" Target="https://doi.org/10.1145/3298689.3347058" TargetMode="External" /><Relationship Type="http://schemas.openxmlformats.org/officeDocument/2006/relationships/hyperlink" Id="rId74" Target="https://doi.org/10.1145/3336191.3371786" TargetMode="External" /><Relationship Type="http://schemas.openxmlformats.org/officeDocument/2006/relationships/hyperlink" Id="rId90" Target="https://doi.org/10.1145/3340531.3411954" TargetMode="External" /><Relationship Type="http://schemas.openxmlformats.org/officeDocument/2006/relationships/hyperlink" Id="rId64" Target="https://doi.org/10.1145/3357384.3357895" TargetMode="External" /><Relationship Type="http://schemas.openxmlformats.org/officeDocument/2006/relationships/hyperlink" Id="rId108" Target="https://doi.org/10.1145/3383313.3412216" TargetMode="External" /><Relationship Type="http://schemas.openxmlformats.org/officeDocument/2006/relationships/hyperlink" Id="rId106" Target="https://doi.org/10.1145/3383313.3412258" TargetMode="External" /><Relationship Type="http://schemas.openxmlformats.org/officeDocument/2006/relationships/hyperlink" Id="rId126" Target="https://doi.org/10.1145/3383313.3412488" TargetMode="External" /><Relationship Type="http://schemas.openxmlformats.org/officeDocument/2006/relationships/hyperlink" Id="rId68" Target="https://doi.org/10.1145/3383313.3412489" TargetMode="External" /><Relationship Type="http://schemas.openxmlformats.org/officeDocument/2006/relationships/hyperlink" Id="rId128" Target="https://doi.org/10.1145/3394486.3403226" TargetMode="External" /><Relationship Type="http://schemas.openxmlformats.org/officeDocument/2006/relationships/hyperlink" Id="rId114" Target="https://doi.org/10.1145/3404835.3462440" TargetMode="External" /><Relationship Type="http://schemas.openxmlformats.org/officeDocument/2006/relationships/hyperlink" Id="rId124" Target="https://doi.org/10.1145/3404835.3463036" TargetMode="External" /><Relationship Type="http://schemas.openxmlformats.org/officeDocument/2006/relationships/hyperlink" Id="rId148" Target="https://doi.org/10.1145/3459637.3482016" TargetMode="External" /><Relationship Type="http://schemas.openxmlformats.org/officeDocument/2006/relationships/hyperlink" Id="rId116" Target="https://doi.org/10.1145/3477495.3531955" TargetMode="External" /><Relationship Type="http://schemas.openxmlformats.org/officeDocument/2006/relationships/hyperlink" Id="rId98" Target="https://doi.org/10.1145/3477495.3531963" TargetMode="External" /><Relationship Type="http://schemas.openxmlformats.org/officeDocument/2006/relationships/hyperlink" Id="rId112" Target="https://doi.org/10.1145/3485447.3512077" TargetMode="External" /><Relationship Type="http://schemas.openxmlformats.org/officeDocument/2006/relationships/hyperlink" Id="rId122" Target="https://doi.org/10.1145/3485447.3512090" TargetMode="External" /><Relationship Type="http://schemas.openxmlformats.org/officeDocument/2006/relationships/hyperlink" Id="rId110" Target="https://doi.org/10.1145/3485447.3512111" TargetMode="External" /><Relationship Type="http://schemas.openxmlformats.org/officeDocument/2006/relationships/hyperlink" Id="rId120" Target="https://doi.org/10.1145/3488560.3498433" TargetMode="External" /><Relationship Type="http://schemas.openxmlformats.org/officeDocument/2006/relationships/hyperlink" Id="rId100" Target="https://doi.org/10.1145/3523227.3546777" TargetMode="External" /><Relationship Type="http://schemas.openxmlformats.org/officeDocument/2006/relationships/hyperlink" Id="rId130" Target="https://doi.org/10.1145/3523227.3548487" TargetMode="External" /><Relationship Type="http://schemas.openxmlformats.org/officeDocument/2006/relationships/hyperlink" Id="rId104" Target="https://doi.org/10.1145/3534678.3539381" TargetMode="External" /><Relationship Type="http://schemas.openxmlformats.org/officeDocument/2006/relationships/hyperlink" Id="rId146" Target="https://doi.org/10.1201/9780429246593" TargetMode="External" /><Relationship Type="http://schemas.openxmlformats.org/officeDocument/2006/relationships/hyperlink" Id="rId96" Target="https://doi.org/10.1609/aaai.v35i5.16549" TargetMode="External" /><Relationship Type="http://schemas.openxmlformats.org/officeDocument/2006/relationships/hyperlink" Id="rId72" Target="https://doi.org/10.18653/v1/N19-1423" TargetMode="External" /><Relationship Type="http://schemas.openxmlformats.org/officeDocument/2006/relationships/hyperlink" Id="rId88" Target="https://doi.org/10.24963/ijcai.2019/600" TargetMode="External" /><Relationship Type="http://schemas.openxmlformats.org/officeDocument/2006/relationships/hyperlink" Id="rId76" Target="https://doi.org/10.48550/arXiv.1511.06939" TargetMode="External" /><Relationship Type="http://schemas.openxmlformats.org/officeDocument/2006/relationships/hyperlink" Id="rId132" Target="https://doi.org/10.48550/arXiv.1607.06450" TargetMode="External" /><Relationship Type="http://schemas.openxmlformats.org/officeDocument/2006/relationships/hyperlink" Id="rId70" Target="https://doi.org/10.48550/arXiv.1706.03762" TargetMode="External" /><Relationship Type="http://schemas.openxmlformats.org/officeDocument/2006/relationships/hyperlink" Id="rId150" Target="https://doi.org/10.48550/arXiv.1912.01703" TargetMode="External" /><Relationship Type="http://schemas.openxmlformats.org/officeDocument/2006/relationships/hyperlink" Id="rId86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doi.org/10.1109/ICDE53745.2022.00099" TargetMode="External" /><Relationship Type="http://schemas.openxmlformats.org/officeDocument/2006/relationships/hyperlink" Id="rId94" Target="https://doi.org/10.1109/ICDM.2008.16" TargetMode="External" /><Relationship Type="http://schemas.openxmlformats.org/officeDocument/2006/relationships/hyperlink" Id="rId92" Target="https://doi.org/10.1109/ICDM.2008.22" TargetMode="External" /><Relationship Type="http://schemas.openxmlformats.org/officeDocument/2006/relationships/hyperlink" Id="rId62" Target="https://doi.org/10.1109/ICDM.2018.00035" TargetMode="External" /><Relationship Type="http://schemas.openxmlformats.org/officeDocument/2006/relationships/hyperlink" Id="rId80" Target="https://doi.org/10.1145/1772690.1772773" TargetMode="External" /><Relationship Type="http://schemas.openxmlformats.org/officeDocument/2006/relationships/hyperlink" Id="rId138" Target="https://doi.org/10.1145/2766462.2767755" TargetMode="External" /><Relationship Type="http://schemas.openxmlformats.org/officeDocument/2006/relationships/hyperlink" Id="rId136" Target="https://doi.org/10.1145/2827872" TargetMode="External" /><Relationship Type="http://schemas.openxmlformats.org/officeDocument/2006/relationships/hyperlink" Id="rId140" Target="https://doi.org/10.1145/2872427.2883037" TargetMode="External" /><Relationship Type="http://schemas.openxmlformats.org/officeDocument/2006/relationships/hyperlink" Id="rId142" Target="https://doi.org/10.1145/3077136.3080724" TargetMode="External" /><Relationship Type="http://schemas.openxmlformats.org/officeDocument/2006/relationships/hyperlink" Id="rId78" Target="https://doi.org/10.1145/3132847.3132926" TargetMode="External" /><Relationship Type="http://schemas.openxmlformats.org/officeDocument/2006/relationships/hyperlink" Id="rId82" Target="https://doi.org/10.1145/3159652.3159656" TargetMode="External" /><Relationship Type="http://schemas.openxmlformats.org/officeDocument/2006/relationships/hyperlink" Id="rId144" Target="https://doi.org/10.1145/3240323.3240369" TargetMode="External" /><Relationship Type="http://schemas.openxmlformats.org/officeDocument/2006/relationships/hyperlink" Id="rId84" Target="https://doi.org/10.1145/3289600.3290975" TargetMode="External" /><Relationship Type="http://schemas.openxmlformats.org/officeDocument/2006/relationships/hyperlink" Id="rId134" Target="https://doi.org/10.1145/3292500.3330701" TargetMode="External" /><Relationship Type="http://schemas.openxmlformats.org/officeDocument/2006/relationships/hyperlink" Id="rId102" Target="https://doi.org/10.1145/3292500.3330984" TargetMode="External" /><Relationship Type="http://schemas.openxmlformats.org/officeDocument/2006/relationships/hyperlink" Id="rId66" Target="https://doi.org/10.1145/3298689.3347058" TargetMode="External" /><Relationship Type="http://schemas.openxmlformats.org/officeDocument/2006/relationships/hyperlink" Id="rId74" Target="https://doi.org/10.1145/3336191.3371786" TargetMode="External" /><Relationship Type="http://schemas.openxmlformats.org/officeDocument/2006/relationships/hyperlink" Id="rId90" Target="https://doi.org/10.1145/3340531.3411954" TargetMode="External" /><Relationship Type="http://schemas.openxmlformats.org/officeDocument/2006/relationships/hyperlink" Id="rId64" Target="https://doi.org/10.1145/3357384.3357895" TargetMode="External" /><Relationship Type="http://schemas.openxmlformats.org/officeDocument/2006/relationships/hyperlink" Id="rId108" Target="https://doi.org/10.1145/3383313.3412216" TargetMode="External" /><Relationship Type="http://schemas.openxmlformats.org/officeDocument/2006/relationships/hyperlink" Id="rId106" Target="https://doi.org/10.1145/3383313.3412258" TargetMode="External" /><Relationship Type="http://schemas.openxmlformats.org/officeDocument/2006/relationships/hyperlink" Id="rId126" Target="https://doi.org/10.1145/3383313.3412488" TargetMode="External" /><Relationship Type="http://schemas.openxmlformats.org/officeDocument/2006/relationships/hyperlink" Id="rId68" Target="https://doi.org/10.1145/3383313.3412489" TargetMode="External" /><Relationship Type="http://schemas.openxmlformats.org/officeDocument/2006/relationships/hyperlink" Id="rId128" Target="https://doi.org/10.1145/3394486.3403226" TargetMode="External" /><Relationship Type="http://schemas.openxmlformats.org/officeDocument/2006/relationships/hyperlink" Id="rId114" Target="https://doi.org/10.1145/3404835.3462440" TargetMode="External" /><Relationship Type="http://schemas.openxmlformats.org/officeDocument/2006/relationships/hyperlink" Id="rId124" Target="https://doi.org/10.1145/3404835.3463036" TargetMode="External" /><Relationship Type="http://schemas.openxmlformats.org/officeDocument/2006/relationships/hyperlink" Id="rId148" Target="https://doi.org/10.1145/3459637.3482016" TargetMode="External" /><Relationship Type="http://schemas.openxmlformats.org/officeDocument/2006/relationships/hyperlink" Id="rId116" Target="https://doi.org/10.1145/3477495.3531955" TargetMode="External" /><Relationship Type="http://schemas.openxmlformats.org/officeDocument/2006/relationships/hyperlink" Id="rId98" Target="https://doi.org/10.1145/3477495.3531963" TargetMode="External" /><Relationship Type="http://schemas.openxmlformats.org/officeDocument/2006/relationships/hyperlink" Id="rId112" Target="https://doi.org/10.1145/3485447.3512077" TargetMode="External" /><Relationship Type="http://schemas.openxmlformats.org/officeDocument/2006/relationships/hyperlink" Id="rId122" Target="https://doi.org/10.1145/3485447.3512090" TargetMode="External" /><Relationship Type="http://schemas.openxmlformats.org/officeDocument/2006/relationships/hyperlink" Id="rId110" Target="https://doi.org/10.1145/3485447.3512111" TargetMode="External" /><Relationship Type="http://schemas.openxmlformats.org/officeDocument/2006/relationships/hyperlink" Id="rId120" Target="https://doi.org/10.1145/3488560.3498433" TargetMode="External" /><Relationship Type="http://schemas.openxmlformats.org/officeDocument/2006/relationships/hyperlink" Id="rId100" Target="https://doi.org/10.1145/3523227.3546777" TargetMode="External" /><Relationship Type="http://schemas.openxmlformats.org/officeDocument/2006/relationships/hyperlink" Id="rId130" Target="https://doi.org/10.1145/3523227.3548487" TargetMode="External" /><Relationship Type="http://schemas.openxmlformats.org/officeDocument/2006/relationships/hyperlink" Id="rId104" Target="https://doi.org/10.1145/3534678.3539381" TargetMode="External" /><Relationship Type="http://schemas.openxmlformats.org/officeDocument/2006/relationships/hyperlink" Id="rId146" Target="https://doi.org/10.1201/9780429246593" TargetMode="External" /><Relationship Type="http://schemas.openxmlformats.org/officeDocument/2006/relationships/hyperlink" Id="rId96" Target="https://doi.org/10.1609/aaai.v35i5.16549" TargetMode="External" /><Relationship Type="http://schemas.openxmlformats.org/officeDocument/2006/relationships/hyperlink" Id="rId72" Target="https://doi.org/10.18653/v1/N19-1423" TargetMode="External" /><Relationship Type="http://schemas.openxmlformats.org/officeDocument/2006/relationships/hyperlink" Id="rId88" Target="https://doi.org/10.24963/ijcai.2019/600" TargetMode="External" /><Relationship Type="http://schemas.openxmlformats.org/officeDocument/2006/relationships/hyperlink" Id="rId76" Target="https://doi.org/10.48550/arXiv.1511.06939" TargetMode="External" /><Relationship Type="http://schemas.openxmlformats.org/officeDocument/2006/relationships/hyperlink" Id="rId132" Target="https://doi.org/10.48550/arXiv.1607.06450" TargetMode="External" /><Relationship Type="http://schemas.openxmlformats.org/officeDocument/2006/relationships/hyperlink" Id="rId70" Target="https://doi.org/10.48550/arXiv.1706.03762" TargetMode="External" /><Relationship Type="http://schemas.openxmlformats.org/officeDocument/2006/relationships/hyperlink" Id="rId150" Target="https://doi.org/10.48550/arXiv.1912.01703" TargetMode="External" /><Relationship Type="http://schemas.openxmlformats.org/officeDocument/2006/relationships/hyperlink" Id="rId86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2026-05-31T20:29:59Z</dcterms:created>
  <dcterms:modified xsi:type="dcterms:W3CDTF">2026-05-31T20:29:59Z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