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EF" w:rsidRPr="008110EF" w:rsidRDefault="008110EF" w:rsidP="008110EF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8110EF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Parental anxiety, depression may lead to fussy eating in kids</w:t>
      </w:r>
    </w:p>
    <w:p w:rsidR="00A132A5" w:rsidRDefault="008110EF" w:rsidP="008110EF">
      <w:pPr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</w:pPr>
      <w:r w:rsidRPr="008110EF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IANS </w:t>
      </w:r>
      <w:r w:rsidRPr="008110EF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8110EF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Feb 23, 2016, 12.41PM IST</w:t>
      </w:r>
    </w:p>
    <w:p w:rsidR="008110EF" w:rsidRDefault="008110EF" w:rsidP="008110EF">
      <w:pPr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</w:pPr>
    </w:p>
    <w:p w:rsidR="008110EF" w:rsidRDefault="008110EF" w:rsidP="008110EF">
      <w:pP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</w:pPr>
      <w:r>
        <w:rPr>
          <w:rFonts w:ascii="Georgia" w:hAnsi="Georgia"/>
          <w:color w:val="3F3F3F"/>
          <w:sz w:val="23"/>
          <w:szCs w:val="23"/>
          <w:shd w:val="clear" w:color="auto" w:fill="FFFFFF"/>
        </w:rPr>
        <w:t>Children whose parents suffer from anxiety and or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"http://timesofindia.indiatimes.com/topic/Depression" </w:instrText>
      </w:r>
      <w:r>
        <w:fldChar w:fldCharType="separate"/>
      </w:r>
      <w:r>
        <w:rPr>
          <w:rStyle w:val="Hyperlink"/>
          <w:rFonts w:ascii="Georgia" w:hAnsi="Georgia"/>
          <w:color w:val="336797"/>
          <w:sz w:val="23"/>
          <w:szCs w:val="23"/>
          <w:shd w:val="clear" w:color="auto" w:fill="FFFFFF"/>
        </w:rPr>
        <w:t>depression</w:t>
      </w:r>
      <w:r>
        <w:fldChar w:fldCharType="end"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during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pregnancy or early in the child's life are most likely to become fussy eaters, finds new research.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The results showed that by the age of three, around 30 percent of the children were classified as fussy eaters.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For mothers, the anxiety was evident both during pregnancy and during preschool days of the child, whereas for fathers the depression was felt only during the pre-school period.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</w:p>
    <w:p w:rsidR="008110EF" w:rsidRDefault="008110EF" w:rsidP="008110EF"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Further, clinically high maternal anxiety scores were more associated with fussy </w:t>
      </w:r>
      <w:proofErr w:type="gram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eating 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proofErr w:type="gramEnd"/>
      <w:r>
        <w:rPr>
          <w:rFonts w:ascii="Georgia" w:hAnsi="Georgia"/>
          <w:color w:val="3F3F3F"/>
          <w:sz w:val="23"/>
          <w:szCs w:val="23"/>
        </w:rPr>
        <w:br/>
      </w:r>
      <w:bookmarkStart w:id="0" w:name="_GoBack"/>
      <w:bookmarkEnd w:id="0"/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As for depression, the mothers' prenatal symptoms predicted a four-year-old's fussy eating behaviour, irrespective of whether she had the symptoms when the child was three. The results were similar for the fathers.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The study "strongly suggests that the direction of the associations with mothers' antenatal symptoms is from mother to child," said the team from Erasmus MC-University Medical Centre in Rotterdam, Netherlands.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"Clinicians should be aware that not only severe anxiety and depression, but also milder forms of internalising problems can affect child eating behaviour," they added.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Fussy eating behaviour, which is characterised by the consistent rejection of particular foods, is common in childhood, and a frequent source of concern for parents, the researchers explained, in the study published online in the Archives of Disease in Childhood.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Previously, it has been associated with constipation, weight problems and behavioural issues in the child.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The analysis was based on 4,746 mother and child pairs and 4,144 dads, whose children had all been born between 2002 and 2006.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Parents were asked to complete a validated questionnaire during mid pregnancy, and then again three years later, to assess their own symptoms of anxiety and depression.</w:t>
      </w:r>
    </w:p>
    <w:sectPr w:rsidR="0081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EF"/>
    <w:rsid w:val="008110EF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301D-27E9-446A-B3BC-E168A21A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8110EF"/>
  </w:style>
  <w:style w:type="character" w:customStyle="1" w:styleId="apple-converted-space">
    <w:name w:val="apple-converted-space"/>
    <w:basedOn w:val="DefaultParagraphFont"/>
    <w:rsid w:val="008110EF"/>
  </w:style>
  <w:style w:type="character" w:styleId="Hyperlink">
    <w:name w:val="Hyperlink"/>
    <w:basedOn w:val="DefaultParagraphFont"/>
    <w:uiPriority w:val="99"/>
    <w:semiHidden/>
    <w:unhideWhenUsed/>
    <w:rsid w:val="00811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2016-05-26T15:58:00Z</dcterms:created>
  <dcterms:modified xsi:type="dcterms:W3CDTF">2016-05-26T15:59:00Z</dcterms:modified>
</cp:coreProperties>
</file>