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365" w:rsidRPr="00B91365" w:rsidRDefault="00B91365" w:rsidP="00B91365">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Pr>
          <w:rFonts w:ascii="Georgia" w:eastAsia="Times New Roman" w:hAnsi="Georgia" w:cs="Times New Roman"/>
          <w:color w:val="000000"/>
          <w:spacing w:val="-9"/>
          <w:kern w:val="36"/>
          <w:sz w:val="38"/>
          <w:szCs w:val="38"/>
          <w:lang w:eastAsia="en-GB"/>
        </w:rPr>
        <w:t>B</w:t>
      </w:r>
      <w:bookmarkStart w:id="0" w:name="_GoBack"/>
      <w:bookmarkEnd w:id="0"/>
      <w:r w:rsidRPr="00B91365">
        <w:rPr>
          <w:rFonts w:ascii="Georgia" w:eastAsia="Times New Roman" w:hAnsi="Georgia" w:cs="Times New Roman"/>
          <w:color w:val="000000"/>
          <w:spacing w:val="-9"/>
          <w:kern w:val="36"/>
          <w:sz w:val="38"/>
          <w:szCs w:val="38"/>
          <w:lang w:eastAsia="en-GB"/>
        </w:rPr>
        <w:t>abies born in warmer months may be more at risk for celiac disease: study</w:t>
      </w:r>
    </w:p>
    <w:p w:rsidR="00B91365" w:rsidRPr="00B91365" w:rsidRDefault="00B91365" w:rsidP="00B91365">
      <w:pPr>
        <w:spacing w:after="0" w:line="240" w:lineRule="auto"/>
        <w:textAlignment w:val="baseline"/>
        <w:rPr>
          <w:rFonts w:ascii="Georgia" w:eastAsia="Times New Roman" w:hAnsi="Georgia" w:cs="Helvetica"/>
          <w:caps/>
          <w:color w:val="DF0023"/>
          <w:sz w:val="17"/>
          <w:szCs w:val="17"/>
          <w:lang w:eastAsia="en-GB"/>
        </w:rPr>
      </w:pPr>
      <w:r w:rsidRPr="00B91365">
        <w:rPr>
          <w:rFonts w:ascii="Georgia" w:eastAsia="Times New Roman" w:hAnsi="Georgia" w:cs="Helvetica"/>
          <w:caps/>
          <w:color w:val="DF0023"/>
          <w:sz w:val="17"/>
          <w:szCs w:val="17"/>
          <w:lang w:eastAsia="en-GB"/>
        </w:rPr>
        <w:t>LISA RAPAPORT</w:t>
      </w:r>
    </w:p>
    <w:p w:rsidR="00B91365" w:rsidRPr="00B91365" w:rsidRDefault="00B91365" w:rsidP="00B91365">
      <w:pPr>
        <w:spacing w:after="0" w:line="240" w:lineRule="auto"/>
        <w:textAlignment w:val="baseline"/>
        <w:rPr>
          <w:rFonts w:ascii="Helvetica" w:eastAsia="Times New Roman" w:hAnsi="Helvetica" w:cs="Helvetica"/>
          <w:sz w:val="17"/>
          <w:szCs w:val="17"/>
          <w:lang w:eastAsia="en-GB"/>
        </w:rPr>
      </w:pPr>
      <w:r w:rsidRPr="00B91365">
        <w:rPr>
          <w:rFonts w:ascii="Helvetica" w:eastAsia="Times New Roman" w:hAnsi="Helvetica" w:cs="Helvetica"/>
          <w:sz w:val="17"/>
          <w:szCs w:val="17"/>
          <w:lang w:eastAsia="en-GB"/>
        </w:rPr>
        <w:t>Reuters</w:t>
      </w:r>
    </w:p>
    <w:p w:rsidR="00B91365" w:rsidRPr="00B91365" w:rsidRDefault="00B91365" w:rsidP="00B91365">
      <w:pPr>
        <w:spacing w:after="0" w:line="240" w:lineRule="auto"/>
        <w:textAlignment w:val="baseline"/>
        <w:rPr>
          <w:rFonts w:ascii="Helvetica" w:eastAsia="Times New Roman" w:hAnsi="Helvetica" w:cs="Helvetica"/>
          <w:sz w:val="17"/>
          <w:szCs w:val="17"/>
          <w:lang w:eastAsia="en-GB"/>
        </w:rPr>
      </w:pPr>
      <w:r w:rsidRPr="00B91365">
        <w:rPr>
          <w:rFonts w:ascii="Helvetica" w:eastAsia="Times New Roman" w:hAnsi="Helvetica" w:cs="Helvetica"/>
          <w:sz w:val="17"/>
          <w:szCs w:val="17"/>
          <w:lang w:eastAsia="en-GB"/>
        </w:rPr>
        <w:t>Published Friday, Aug. 19, 2016 2:34PM EDT</w:t>
      </w:r>
    </w:p>
    <w:p w:rsidR="00B91365" w:rsidRPr="00B91365" w:rsidRDefault="00B91365" w:rsidP="00B91365">
      <w:pPr>
        <w:spacing w:line="240" w:lineRule="auto"/>
        <w:textAlignment w:val="baseline"/>
        <w:rPr>
          <w:rFonts w:ascii="Helvetica" w:eastAsia="Times New Roman" w:hAnsi="Helvetica" w:cs="Helvetica"/>
          <w:sz w:val="17"/>
          <w:szCs w:val="17"/>
          <w:lang w:eastAsia="en-GB"/>
        </w:rPr>
      </w:pPr>
      <w:r w:rsidRPr="00B91365">
        <w:rPr>
          <w:rFonts w:ascii="Helvetica" w:eastAsia="Times New Roman" w:hAnsi="Helvetica" w:cs="Helvetica"/>
          <w:sz w:val="17"/>
          <w:szCs w:val="17"/>
          <w:lang w:eastAsia="en-GB"/>
        </w:rPr>
        <w:t>Last updated Friday, Aug. 19, 2016 2:37PM EDT</w:t>
      </w:r>
    </w:p>
    <w:p w:rsidR="00B91365" w:rsidRPr="00B91365" w:rsidRDefault="00B91365" w:rsidP="00B91365">
      <w:pPr>
        <w:numPr>
          <w:ilvl w:val="0"/>
          <w:numId w:val="1"/>
        </w:numPr>
        <w:pBdr>
          <w:right w:val="single" w:sz="6" w:space="4" w:color="FFFFFF"/>
        </w:pBdr>
        <w:spacing w:after="0" w:line="240" w:lineRule="auto"/>
        <w:ind w:left="0"/>
        <w:textAlignment w:val="center"/>
        <w:rPr>
          <w:rFonts w:ascii="Georgia" w:eastAsia="Times New Roman" w:hAnsi="Georgia" w:cs="Times New Roman"/>
          <w:color w:val="000000"/>
          <w:sz w:val="20"/>
          <w:szCs w:val="20"/>
          <w:lang w:eastAsia="en-GB"/>
        </w:rPr>
      </w:pPr>
      <w:hyperlink r:id="rId5" w:tooltip="Go to the comments page" w:history="1">
        <w:r w:rsidRPr="00B91365">
          <w:rPr>
            <w:rFonts w:ascii="Helvetica" w:eastAsia="Times New Roman" w:hAnsi="Helvetica" w:cs="Helvetica"/>
            <w:color w:val="000000"/>
            <w:sz w:val="15"/>
            <w:szCs w:val="15"/>
            <w:lang w:eastAsia="en-GB"/>
          </w:rPr>
          <w:t>2 Comments</w:t>
        </w:r>
      </w:hyperlink>
    </w:p>
    <w:p w:rsidR="00B91365" w:rsidRPr="00B91365" w:rsidRDefault="00B91365" w:rsidP="00B91365">
      <w:pPr>
        <w:shd w:val="clear" w:color="auto" w:fill="F8F8F8"/>
        <w:spacing w:after="0" w:line="240" w:lineRule="auto"/>
        <w:textAlignment w:val="baseline"/>
        <w:rPr>
          <w:rFonts w:ascii="Georgia" w:eastAsia="Times New Roman" w:hAnsi="Georgia" w:cs="Times New Roman"/>
          <w:color w:val="000000"/>
          <w:sz w:val="20"/>
          <w:szCs w:val="20"/>
          <w:lang w:eastAsia="en-GB"/>
        </w:rPr>
      </w:pPr>
      <w:r w:rsidRPr="00B91365">
        <w:rPr>
          <w:rFonts w:ascii="Georgia" w:eastAsia="Times New Roman" w:hAnsi="Georgia" w:cs="Times New Roman"/>
          <w:color w:val="000000"/>
          <w:sz w:val="20"/>
          <w:szCs w:val="20"/>
          <w:lang w:eastAsia="en-GB"/>
        </w:rPr>
        <w:t> </w:t>
      </w:r>
    </w:p>
    <w:p w:rsidR="00B91365" w:rsidRPr="00B91365" w:rsidRDefault="00B91365" w:rsidP="00B91365">
      <w:pPr>
        <w:numPr>
          <w:ilvl w:val="0"/>
          <w:numId w:val="1"/>
        </w:numPr>
        <w:pBdr>
          <w:right w:val="single" w:sz="6" w:space="4" w:color="FFFFFF"/>
        </w:pBdr>
        <w:spacing w:after="150" w:line="240" w:lineRule="auto"/>
        <w:ind w:left="0"/>
        <w:textAlignment w:val="baseline"/>
        <w:rPr>
          <w:rFonts w:ascii="Georgia" w:eastAsia="Times New Roman" w:hAnsi="Georgia" w:cs="Times New Roman"/>
          <w:color w:val="000000"/>
          <w:sz w:val="20"/>
          <w:szCs w:val="20"/>
          <w:lang w:eastAsia="en-GB"/>
        </w:rPr>
      </w:pPr>
    </w:p>
    <w:tbl>
      <w:tblPr>
        <w:tblW w:w="0" w:type="dxa"/>
        <w:tblCellMar>
          <w:left w:w="0" w:type="dxa"/>
          <w:right w:w="0" w:type="dxa"/>
        </w:tblCellMar>
        <w:tblLook w:val="04A0" w:firstRow="1" w:lastRow="0" w:firstColumn="1" w:lastColumn="0" w:noHBand="0" w:noVBand="1"/>
      </w:tblPr>
      <w:tblGrid>
        <w:gridCol w:w="536"/>
        <w:gridCol w:w="302"/>
        <w:gridCol w:w="22"/>
        <w:gridCol w:w="113"/>
        <w:gridCol w:w="22"/>
      </w:tblGrid>
      <w:tr w:rsidR="00B91365" w:rsidRPr="00B91365" w:rsidTr="00B91365">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252"/>
              <w:gridCol w:w="284"/>
            </w:tblGrid>
            <w:tr w:rsidR="00B91365" w:rsidRPr="00B91365" w:rsidTr="00B91365">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240"/>
                    <w:gridCol w:w="6"/>
                  </w:tblGrid>
                  <w:tr w:rsidR="00B91365" w:rsidRPr="00B91365" w:rsidTr="00B91365">
                    <w:tc>
                      <w:tcPr>
                        <w:tcW w:w="6" w:type="dxa"/>
                        <w:tcBorders>
                          <w:top w:val="nil"/>
                          <w:left w:val="nil"/>
                          <w:bottom w:val="nil"/>
                          <w:right w:val="nil"/>
                        </w:tcBorders>
                        <w:vAlign w:val="bottom"/>
                        <w:hideMark/>
                      </w:tcPr>
                      <w:p w:rsidR="00B91365" w:rsidRPr="00B91365" w:rsidRDefault="00B91365" w:rsidP="00B91365">
                        <w:pPr>
                          <w:numPr>
                            <w:ilvl w:val="0"/>
                            <w:numId w:val="1"/>
                          </w:numPr>
                          <w:pBdr>
                            <w:right w:val="single" w:sz="6" w:space="4" w:color="FFFFFF"/>
                          </w:pBdr>
                          <w:spacing w:after="0" w:line="240" w:lineRule="auto"/>
                          <w:ind w:left="0"/>
                          <w:textAlignment w:val="baseline"/>
                          <w:rPr>
                            <w:rFonts w:ascii="Georgia" w:eastAsia="Times New Roman" w:hAnsi="Georgia" w:cs="Times New Roman"/>
                            <w:color w:val="000000"/>
                            <w:sz w:val="20"/>
                            <w:szCs w:val="20"/>
                            <w:lang w:eastAsia="en-GB"/>
                          </w:rPr>
                        </w:pPr>
                      </w:p>
                    </w:tc>
                    <w:tc>
                      <w:tcPr>
                        <w:tcW w:w="6" w:type="dxa"/>
                        <w:tcBorders>
                          <w:top w:val="nil"/>
                          <w:left w:val="nil"/>
                          <w:bottom w:val="nil"/>
                          <w:right w:val="nil"/>
                        </w:tcBorders>
                        <w:vAlign w:val="center"/>
                        <w:hideMark/>
                      </w:tcPr>
                      <w:p w:rsidR="00B91365" w:rsidRPr="00B91365" w:rsidRDefault="00B91365" w:rsidP="00B91365">
                        <w:pPr>
                          <w:spacing w:after="0" w:line="240" w:lineRule="auto"/>
                          <w:rPr>
                            <w:rFonts w:ascii="Arial" w:eastAsia="Times New Roman" w:hAnsi="Arial" w:cs="Arial"/>
                            <w:color w:val="4D4D4D"/>
                            <w:sz w:val="15"/>
                            <w:szCs w:val="15"/>
                            <w:lang w:eastAsia="en-GB"/>
                          </w:rPr>
                        </w:pPr>
                        <w:r w:rsidRPr="00B91365">
                          <w:rPr>
                            <w:rFonts w:ascii="Arial" w:eastAsia="Times New Roman" w:hAnsi="Arial" w:cs="Arial"/>
                            <w:noProof/>
                            <w:color w:val="4D4D4D"/>
                            <w:sz w:val="15"/>
                            <w:szCs w:val="15"/>
                            <w:lang w:eastAsia="en-GB"/>
                          </w:rPr>
                          <w:drawing>
                            <wp:inline distT="0" distB="0" distL="0" distR="0" wp14:anchorId="2AD95F3C" wp14:editId="3C5DFEC7">
                              <wp:extent cx="152400" cy="152400"/>
                              <wp:effectExtent l="0" t="0" r="0" b="0"/>
                              <wp:docPr id="1" name="tgamShareBar-reaction0-icon_img" descr="http://cdn.gigya.com/gs/i/sharebar/icons/sha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amShareBar-reaction0-icon_img" descr="http://cdn.gigya.com/gs/i/sharebar/icons/sha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 w:type="dxa"/>
                        <w:tcBorders>
                          <w:top w:val="nil"/>
                          <w:left w:val="nil"/>
                          <w:bottom w:val="nil"/>
                          <w:right w:val="nil"/>
                        </w:tcBorders>
                        <w:vAlign w:val="bottom"/>
                        <w:hideMark/>
                      </w:tcPr>
                      <w:p w:rsidR="00B91365" w:rsidRPr="00B91365" w:rsidRDefault="00B91365" w:rsidP="00B91365">
                        <w:pPr>
                          <w:spacing w:after="0" w:line="240" w:lineRule="auto"/>
                          <w:rPr>
                            <w:rFonts w:ascii="Arial" w:eastAsia="Times New Roman" w:hAnsi="Arial" w:cs="Arial"/>
                            <w:color w:val="4D4D4D"/>
                            <w:sz w:val="15"/>
                            <w:szCs w:val="15"/>
                            <w:lang w:eastAsia="en-GB"/>
                          </w:rPr>
                        </w:pPr>
                      </w:p>
                    </w:tc>
                  </w:tr>
                </w:tbl>
                <w:p w:rsidR="00B91365" w:rsidRPr="00B91365" w:rsidRDefault="00B91365" w:rsidP="00B9136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vAlign w:val="bottom"/>
                  <w:hideMark/>
                </w:tcPr>
                <w:p w:rsidR="00B91365" w:rsidRPr="00B91365" w:rsidRDefault="00B91365" w:rsidP="00B91365">
                  <w:pPr>
                    <w:spacing w:after="0" w:line="300" w:lineRule="atLeast"/>
                    <w:jc w:val="center"/>
                    <w:textAlignment w:val="center"/>
                    <w:rPr>
                      <w:rFonts w:ascii="Arial" w:eastAsia="Times New Roman" w:hAnsi="Arial" w:cs="Arial"/>
                      <w:color w:val="4D4D4D"/>
                      <w:sz w:val="15"/>
                      <w:szCs w:val="15"/>
                      <w:lang w:eastAsia="en-GB"/>
                    </w:rPr>
                  </w:pPr>
                  <w:r w:rsidRPr="00B91365">
                    <w:rPr>
                      <w:rFonts w:ascii="Arial" w:eastAsia="Times New Roman" w:hAnsi="Arial" w:cs="Arial"/>
                      <w:b/>
                      <w:bCs/>
                      <w:color w:val="4D4D4D"/>
                      <w:sz w:val="17"/>
                      <w:szCs w:val="17"/>
                      <w:bdr w:val="none" w:sz="0" w:space="0" w:color="auto" w:frame="1"/>
                      <w:lang w:eastAsia="en-GB"/>
                    </w:rPr>
                    <w:t>193</w:t>
                  </w:r>
                </w:p>
              </w:tc>
            </w:tr>
          </w:tbl>
          <w:p w:rsidR="00B91365" w:rsidRPr="00B91365" w:rsidRDefault="00B91365" w:rsidP="00B9136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18"/>
              <w:gridCol w:w="284"/>
            </w:tblGrid>
            <w:tr w:rsidR="00B91365" w:rsidRPr="00B91365" w:rsidTr="00B91365">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B91365" w:rsidRPr="00B91365" w:rsidTr="00B91365">
                    <w:tc>
                      <w:tcPr>
                        <w:tcW w:w="6" w:type="dxa"/>
                        <w:tcBorders>
                          <w:top w:val="nil"/>
                          <w:left w:val="nil"/>
                          <w:bottom w:val="nil"/>
                          <w:right w:val="nil"/>
                        </w:tcBorders>
                        <w:vAlign w:val="bottom"/>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bottom"/>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r>
                </w:tbl>
                <w:p w:rsidR="00B91365" w:rsidRPr="00B91365" w:rsidRDefault="00B91365" w:rsidP="00B9136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vAlign w:val="bottom"/>
                  <w:hideMark/>
                </w:tcPr>
                <w:p w:rsidR="00B91365" w:rsidRPr="00B91365" w:rsidRDefault="00B91365" w:rsidP="00B91365">
                  <w:pPr>
                    <w:spacing w:after="0" w:line="300" w:lineRule="atLeast"/>
                    <w:jc w:val="center"/>
                    <w:textAlignment w:val="center"/>
                    <w:rPr>
                      <w:rFonts w:ascii="Arial" w:eastAsia="Times New Roman" w:hAnsi="Arial" w:cs="Arial"/>
                      <w:color w:val="4D4D4D"/>
                      <w:sz w:val="15"/>
                      <w:szCs w:val="15"/>
                      <w:lang w:eastAsia="en-GB"/>
                    </w:rPr>
                  </w:pPr>
                  <w:r w:rsidRPr="00B91365">
                    <w:rPr>
                      <w:rFonts w:ascii="Arial" w:eastAsia="Times New Roman" w:hAnsi="Arial" w:cs="Arial"/>
                      <w:b/>
                      <w:bCs/>
                      <w:color w:val="4D4D4D"/>
                      <w:sz w:val="17"/>
                      <w:szCs w:val="17"/>
                      <w:bdr w:val="none" w:sz="0" w:space="0" w:color="auto" w:frame="1"/>
                      <w:lang w:eastAsia="en-GB"/>
                    </w:rPr>
                    <w:t>193</w:t>
                  </w:r>
                </w:p>
              </w:tc>
            </w:tr>
          </w:tbl>
          <w:p w:rsidR="00B91365" w:rsidRPr="00B91365" w:rsidRDefault="00B91365" w:rsidP="00B9136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B91365" w:rsidRPr="00B91365" w:rsidTr="00B91365">
              <w:tc>
                <w:tcPr>
                  <w:tcW w:w="6" w:type="dxa"/>
                  <w:tcBorders>
                    <w:top w:val="nil"/>
                    <w:left w:val="nil"/>
                    <w:bottom w:val="nil"/>
                    <w:right w:val="nil"/>
                  </w:tcBorders>
                  <w:vAlign w:val="bottom"/>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bottom"/>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r>
          </w:tbl>
          <w:p w:rsidR="00B91365" w:rsidRPr="00B91365" w:rsidRDefault="00B91365" w:rsidP="00B9136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18"/>
              <w:gridCol w:w="95"/>
            </w:tblGrid>
            <w:tr w:rsidR="00B91365" w:rsidRPr="00B91365" w:rsidTr="00B91365">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
                    <w:gridCol w:w="6"/>
                  </w:tblGrid>
                  <w:tr w:rsidR="00B91365" w:rsidRPr="00B91365" w:rsidTr="00B91365">
                    <w:tc>
                      <w:tcPr>
                        <w:tcW w:w="6" w:type="dxa"/>
                        <w:tcBorders>
                          <w:top w:val="nil"/>
                          <w:left w:val="nil"/>
                          <w:bottom w:val="nil"/>
                          <w:right w:val="nil"/>
                        </w:tcBorders>
                        <w:vAlign w:val="bottom"/>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bottom"/>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r>
                </w:tbl>
                <w:p w:rsidR="00B91365" w:rsidRPr="00B91365" w:rsidRDefault="00B91365" w:rsidP="00B91365">
                  <w:pPr>
                    <w:spacing w:after="0" w:line="240" w:lineRule="auto"/>
                    <w:textAlignment w:val="baseline"/>
                    <w:rPr>
                      <w:rFonts w:ascii="Arial" w:eastAsia="Times New Roman" w:hAnsi="Arial" w:cs="Arial"/>
                      <w:color w:val="4D4D4D"/>
                      <w:sz w:val="15"/>
                      <w:szCs w:val="15"/>
                      <w:lang w:eastAsia="en-GB"/>
                    </w:rPr>
                  </w:pPr>
                </w:p>
              </w:tc>
              <w:tc>
                <w:tcPr>
                  <w:tcW w:w="6" w:type="dxa"/>
                  <w:tcBorders>
                    <w:top w:val="nil"/>
                    <w:left w:val="nil"/>
                    <w:bottom w:val="nil"/>
                    <w:right w:val="nil"/>
                  </w:tcBorders>
                  <w:vAlign w:val="bottom"/>
                  <w:hideMark/>
                </w:tcPr>
                <w:p w:rsidR="00B91365" w:rsidRPr="00B91365" w:rsidRDefault="00B91365" w:rsidP="00B91365">
                  <w:pPr>
                    <w:spacing w:after="0" w:line="300" w:lineRule="atLeast"/>
                    <w:jc w:val="center"/>
                    <w:textAlignment w:val="center"/>
                    <w:rPr>
                      <w:rFonts w:ascii="Arial" w:eastAsia="Times New Roman" w:hAnsi="Arial" w:cs="Arial"/>
                      <w:color w:val="4D4D4D"/>
                      <w:sz w:val="15"/>
                      <w:szCs w:val="15"/>
                      <w:lang w:eastAsia="en-GB"/>
                    </w:rPr>
                  </w:pPr>
                  <w:r w:rsidRPr="00B91365">
                    <w:rPr>
                      <w:rFonts w:ascii="Arial" w:eastAsia="Times New Roman" w:hAnsi="Arial" w:cs="Arial"/>
                      <w:b/>
                      <w:bCs/>
                      <w:color w:val="4D4D4D"/>
                      <w:sz w:val="17"/>
                      <w:szCs w:val="17"/>
                      <w:bdr w:val="none" w:sz="0" w:space="0" w:color="auto" w:frame="1"/>
                      <w:lang w:eastAsia="en-GB"/>
                    </w:rPr>
                    <w:t>0</w:t>
                  </w:r>
                </w:p>
              </w:tc>
            </w:tr>
          </w:tbl>
          <w:p w:rsidR="00B91365" w:rsidRPr="00B91365" w:rsidRDefault="00B91365" w:rsidP="00B91365">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vAlign w:val="bottom"/>
            <w:hideMark/>
          </w:tcPr>
          <w:p w:rsidR="00B91365" w:rsidRPr="00B91365" w:rsidRDefault="00B91365" w:rsidP="00B91365">
            <w:pPr>
              <w:spacing w:after="0" w:line="240" w:lineRule="auto"/>
              <w:rPr>
                <w:rFonts w:ascii="Times New Roman" w:eastAsia="Times New Roman" w:hAnsi="Times New Roman" w:cs="Times New Roman"/>
                <w:sz w:val="20"/>
                <w:szCs w:val="20"/>
                <w:lang w:eastAsia="en-GB"/>
              </w:rPr>
            </w:pPr>
          </w:p>
        </w:tc>
      </w:tr>
    </w:tbl>
    <w:p w:rsidR="00B91365" w:rsidRPr="00B91365" w:rsidRDefault="00B91365" w:rsidP="00B91365">
      <w:pPr>
        <w:shd w:val="clear" w:color="auto" w:fill="F8F8F8"/>
        <w:spacing w:after="0" w:line="240" w:lineRule="auto"/>
        <w:textAlignment w:val="baseline"/>
        <w:rPr>
          <w:rFonts w:ascii="Georgia" w:eastAsia="Times New Roman" w:hAnsi="Georgia" w:cs="Times New Roman"/>
          <w:color w:val="000000"/>
          <w:sz w:val="20"/>
          <w:szCs w:val="20"/>
          <w:lang w:eastAsia="en-GB"/>
        </w:rPr>
      </w:pPr>
      <w:r w:rsidRPr="00B91365">
        <w:rPr>
          <w:rFonts w:ascii="Georgia" w:eastAsia="Times New Roman" w:hAnsi="Georgia" w:cs="Times New Roman"/>
          <w:color w:val="000000"/>
          <w:sz w:val="20"/>
          <w:szCs w:val="20"/>
          <w:lang w:eastAsia="en-GB"/>
        </w:rPr>
        <w:t> </w:t>
      </w:r>
    </w:p>
    <w:p w:rsidR="00B91365" w:rsidRPr="00B91365" w:rsidRDefault="00B91365" w:rsidP="00B91365">
      <w:pPr>
        <w:numPr>
          <w:ilvl w:val="0"/>
          <w:numId w:val="1"/>
        </w:numPr>
        <w:spacing w:after="150" w:line="240" w:lineRule="auto"/>
        <w:ind w:left="0"/>
        <w:textAlignment w:val="center"/>
        <w:rPr>
          <w:rFonts w:ascii="Georgia" w:eastAsia="Times New Roman" w:hAnsi="Georgia" w:cs="Times New Roman"/>
          <w:color w:val="000000"/>
          <w:sz w:val="20"/>
          <w:szCs w:val="20"/>
          <w:lang w:eastAsia="en-GB"/>
        </w:rPr>
      </w:pPr>
      <w:hyperlink r:id="rId7" w:history="1">
        <w:r w:rsidRPr="00B91365">
          <w:rPr>
            <w:rFonts w:ascii="Georgia" w:eastAsia="Times New Roman" w:hAnsi="Georgia" w:cs="Times New Roman"/>
            <w:b/>
            <w:bCs/>
            <w:color w:val="333333"/>
            <w:sz w:val="15"/>
            <w:szCs w:val="15"/>
            <w:bdr w:val="none" w:sz="0" w:space="0" w:color="auto" w:frame="1"/>
            <w:lang w:eastAsia="en-GB"/>
          </w:rPr>
          <w:t>A</w:t>
        </w:r>
        <w:r w:rsidRPr="00B91365">
          <w:rPr>
            <w:rFonts w:ascii="Georgia" w:eastAsia="Times New Roman" w:hAnsi="Georgia" w:cs="Times New Roman"/>
            <w:b/>
            <w:bCs/>
            <w:color w:val="333333"/>
            <w:sz w:val="18"/>
            <w:szCs w:val="18"/>
            <w:bdr w:val="single" w:sz="6" w:space="4" w:color="CCCCCC" w:frame="1"/>
            <w:lang w:eastAsia="en-GB"/>
          </w:rPr>
          <w:t>A</w:t>
        </w:r>
      </w:hyperlink>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Winter babies and people born in places with shorter days and less sunlight might have a lower risk of developing celiac disease than peers born in warmer regions or seasons, a Swedish study suggests.</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About one in 100 people have celiac disease, an autoimmune disorder that damages the small intestine and interferes with the absorption of nutrients from food. People with celiac disease can’t tolerate gluten, a protein in wheat, rye and barley. Left untreated, the condition can lead to complications such as malnutrition, low bone density, lactose intolerance and infertility.</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 xml:space="preserve">While the exact causes of celiac disease are unknown, some previous research has pointed to the potential for the season of one’s birth to be among many environmental factors that might influence the risk, said lead study author </w:t>
      </w:r>
      <w:proofErr w:type="spellStart"/>
      <w:r w:rsidRPr="00B91365">
        <w:rPr>
          <w:rFonts w:ascii="Verdana" w:eastAsia="Times New Roman" w:hAnsi="Verdana" w:cs="Times New Roman"/>
          <w:color w:val="000000"/>
          <w:sz w:val="18"/>
          <w:szCs w:val="18"/>
          <w:lang w:eastAsia="en-GB"/>
        </w:rPr>
        <w:t>Fredinah</w:t>
      </w:r>
      <w:proofErr w:type="spellEnd"/>
      <w:r w:rsidRPr="00B91365">
        <w:rPr>
          <w:rFonts w:ascii="Verdana" w:eastAsia="Times New Roman" w:hAnsi="Verdana" w:cs="Times New Roman"/>
          <w:color w:val="000000"/>
          <w:sz w:val="18"/>
          <w:szCs w:val="18"/>
          <w:lang w:eastAsia="en-GB"/>
        </w:rPr>
        <w:t xml:space="preserve"> </w:t>
      </w:r>
      <w:proofErr w:type="spellStart"/>
      <w:r w:rsidRPr="00B91365">
        <w:rPr>
          <w:rFonts w:ascii="Verdana" w:eastAsia="Times New Roman" w:hAnsi="Verdana" w:cs="Times New Roman"/>
          <w:color w:val="000000"/>
          <w:sz w:val="18"/>
          <w:szCs w:val="18"/>
          <w:lang w:eastAsia="en-GB"/>
        </w:rPr>
        <w:t>Namatovu</w:t>
      </w:r>
      <w:proofErr w:type="spellEnd"/>
      <w:r w:rsidRPr="00B91365">
        <w:rPr>
          <w:rFonts w:ascii="Verdana" w:eastAsia="Times New Roman" w:hAnsi="Verdana" w:cs="Times New Roman"/>
          <w:color w:val="000000"/>
          <w:sz w:val="18"/>
          <w:szCs w:val="18"/>
          <w:lang w:eastAsia="en-GB"/>
        </w:rPr>
        <w:t>, a public health researcher at the Umea University in Sweden.</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 xml:space="preserve">“Season of birth and area of birth appears to play a role,” </w:t>
      </w:r>
      <w:proofErr w:type="spellStart"/>
      <w:r w:rsidRPr="00B91365">
        <w:rPr>
          <w:rFonts w:ascii="Verdana" w:eastAsia="Times New Roman" w:hAnsi="Verdana" w:cs="Times New Roman"/>
          <w:color w:val="000000"/>
          <w:sz w:val="18"/>
          <w:szCs w:val="18"/>
          <w:lang w:eastAsia="en-GB"/>
        </w:rPr>
        <w:t>Namatovu</w:t>
      </w:r>
      <w:proofErr w:type="spellEnd"/>
      <w:r w:rsidRPr="00B91365">
        <w:rPr>
          <w:rFonts w:ascii="Verdana" w:eastAsia="Times New Roman" w:hAnsi="Verdana" w:cs="Times New Roman"/>
          <w:color w:val="000000"/>
          <w:sz w:val="18"/>
          <w:szCs w:val="18"/>
          <w:lang w:eastAsia="en-GB"/>
        </w:rPr>
        <w:t xml:space="preserve"> said by e-mail. “Season and </w:t>
      </w:r>
      <w:proofErr w:type="gramStart"/>
      <w:r w:rsidRPr="00B91365">
        <w:rPr>
          <w:rFonts w:ascii="Verdana" w:eastAsia="Times New Roman" w:hAnsi="Verdana" w:cs="Times New Roman"/>
          <w:color w:val="000000"/>
          <w:sz w:val="18"/>
          <w:szCs w:val="18"/>
          <w:lang w:eastAsia="en-GB"/>
        </w:rPr>
        <w:t>region</w:t>
      </w:r>
      <w:proofErr w:type="gramEnd"/>
      <w:r w:rsidRPr="00B91365">
        <w:rPr>
          <w:rFonts w:ascii="Verdana" w:eastAsia="Times New Roman" w:hAnsi="Verdana" w:cs="Times New Roman"/>
          <w:color w:val="000000"/>
          <w:sz w:val="18"/>
          <w:szCs w:val="18"/>
          <w:lang w:eastAsia="en-GB"/>
        </w:rPr>
        <w:t xml:space="preserve"> of birth could be a proxy for other factors, such as vitamin D and viral infections.”</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To test out this idea, researchers examined data on almost 2 million children up to age 15 born in Sweden from 1991 to 2009, including about 6,600 diagnosed with celiac disease.</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Overall, the risk of diagnosis was around 10 per cent greater among children born in spring (March-May), summer (June-August) and autumn (September-November) than it was among those born in winter (December-February). But seasonal patterns differed by region, the researchers report in Archives of Disease in Childhood.</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The risk of celiac disease was higher among those born in the south of the country, where sunlight in spring and summer is intense, than among children born in the north of the country, where springs are colder and summers shorter.</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In another twist, kids diagnosed before age of 2 years appeared to have a greater risk if they were born in the spring, while older children seemed to have an increased risk if they were born in summer or fall.</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Because the study is observational, it can’t prove that certain birth seasons or regions directly cause celiac disease, the authors note.</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Potential explanations for the variations in risk might be seasonal differences in exposure to viral infections, or to vitamin D, which the body makes in response to sunlight, both of which could affect the immune system at a vulnerable time in its development. But that wouldn’t explain the regional variations and these ideas would need to be explored with more research, the authors conclude.</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lastRenderedPageBreak/>
        <w:t>Among other things, global warming, variation in the type of spring weather and the timing of changing seasons could potentially explain some of the differences in risk found in the study, said Dr. Joseph Murray, director of the celiac disease program at the Mayo Clinic in Rochester, Minn.</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Trends in how much and what type of gluten infants eat over time might also have contributed to the study results, as could an influx of migrants in the southern part of the country, who might have different eating habits, Murray, who wasn’t involved in the study, added by e-mail.</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 xml:space="preserve">“Many factors are associated with the risk of contracting celiac disease and thus far, research has not led to an understanding of the potential cause or origin of the disease,” said Dr. Alex </w:t>
      </w:r>
      <w:proofErr w:type="spellStart"/>
      <w:r w:rsidRPr="00B91365">
        <w:rPr>
          <w:rFonts w:ascii="Verdana" w:eastAsia="Times New Roman" w:hAnsi="Verdana" w:cs="Times New Roman"/>
          <w:color w:val="000000"/>
          <w:sz w:val="18"/>
          <w:szCs w:val="18"/>
          <w:lang w:eastAsia="en-GB"/>
        </w:rPr>
        <w:t>Krist</w:t>
      </w:r>
      <w:proofErr w:type="spellEnd"/>
      <w:r w:rsidRPr="00B91365">
        <w:rPr>
          <w:rFonts w:ascii="Verdana" w:eastAsia="Times New Roman" w:hAnsi="Verdana" w:cs="Times New Roman"/>
          <w:color w:val="000000"/>
          <w:sz w:val="18"/>
          <w:szCs w:val="18"/>
          <w:lang w:eastAsia="en-GB"/>
        </w:rPr>
        <w:t>, a researcher at Virginia Commonwealth University in Richmond who wasn’t involved in the study.</w:t>
      </w:r>
    </w:p>
    <w:p w:rsidR="00B91365" w:rsidRPr="00B91365" w:rsidRDefault="00B91365" w:rsidP="00B91365">
      <w:pPr>
        <w:spacing w:after="300" w:line="240" w:lineRule="auto"/>
        <w:textAlignment w:val="baseline"/>
        <w:rPr>
          <w:rFonts w:ascii="Verdana" w:eastAsia="Times New Roman" w:hAnsi="Verdana" w:cs="Times New Roman"/>
          <w:color w:val="000000"/>
          <w:sz w:val="18"/>
          <w:szCs w:val="18"/>
          <w:lang w:eastAsia="en-GB"/>
        </w:rPr>
      </w:pPr>
      <w:r w:rsidRPr="00B91365">
        <w:rPr>
          <w:rFonts w:ascii="Verdana" w:eastAsia="Times New Roman" w:hAnsi="Verdana" w:cs="Times New Roman"/>
          <w:color w:val="000000"/>
          <w:sz w:val="18"/>
          <w:szCs w:val="18"/>
          <w:lang w:eastAsia="en-GB"/>
        </w:rPr>
        <w:t xml:space="preserve">“Our current understanding of who is at risk is limited to people who have a family history or other autoimmune conditions, as well as those belonging to certain racial and ethnic groups,” </w:t>
      </w:r>
      <w:proofErr w:type="spellStart"/>
      <w:r w:rsidRPr="00B91365">
        <w:rPr>
          <w:rFonts w:ascii="Verdana" w:eastAsia="Times New Roman" w:hAnsi="Verdana" w:cs="Times New Roman"/>
          <w:color w:val="000000"/>
          <w:sz w:val="18"/>
          <w:szCs w:val="18"/>
          <w:lang w:eastAsia="en-GB"/>
        </w:rPr>
        <w:t>Krist</w:t>
      </w:r>
      <w:proofErr w:type="spellEnd"/>
      <w:r w:rsidRPr="00B91365">
        <w:rPr>
          <w:rFonts w:ascii="Verdana" w:eastAsia="Times New Roman" w:hAnsi="Verdana" w:cs="Times New Roman"/>
          <w:color w:val="000000"/>
          <w:sz w:val="18"/>
          <w:szCs w:val="18"/>
          <w:lang w:eastAsia="en-GB"/>
        </w:rPr>
        <w:t xml:space="preserve"> added by e-mail. “Learning more about other potential associations, like birth season, may prove useful in better understanding both the cause of and who is at risk for celiac disease.”</w:t>
      </w:r>
    </w:p>
    <w:p w:rsidR="00C936D1" w:rsidRDefault="00C936D1"/>
    <w:sectPr w:rsidR="00C93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42E27"/>
    <w:multiLevelType w:val="multilevel"/>
    <w:tmpl w:val="A71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65"/>
    <w:rsid w:val="00B91365"/>
    <w:rsid w:val="00C93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943BC-A925-4A77-807E-B193CA42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38829">
      <w:bodyDiv w:val="1"/>
      <w:marLeft w:val="0"/>
      <w:marRight w:val="0"/>
      <w:marTop w:val="0"/>
      <w:marBottom w:val="0"/>
      <w:divBdr>
        <w:top w:val="none" w:sz="0" w:space="0" w:color="auto"/>
        <w:left w:val="none" w:sz="0" w:space="0" w:color="auto"/>
        <w:bottom w:val="none" w:sz="0" w:space="0" w:color="auto"/>
        <w:right w:val="none" w:sz="0" w:space="0" w:color="auto"/>
      </w:divBdr>
      <w:divsChild>
        <w:div w:id="895122087">
          <w:marLeft w:val="3600"/>
          <w:marRight w:val="0"/>
          <w:marTop w:val="0"/>
          <w:marBottom w:val="300"/>
          <w:divBdr>
            <w:top w:val="none" w:sz="0" w:space="0" w:color="auto"/>
            <w:left w:val="none" w:sz="0" w:space="0" w:color="auto"/>
            <w:bottom w:val="none" w:sz="0" w:space="0" w:color="auto"/>
            <w:right w:val="none" w:sz="0" w:space="0" w:color="auto"/>
          </w:divBdr>
          <w:divsChild>
            <w:div w:id="699282280">
              <w:marLeft w:val="0"/>
              <w:marRight w:val="0"/>
              <w:marTop w:val="150"/>
              <w:marBottom w:val="0"/>
              <w:divBdr>
                <w:top w:val="none" w:sz="0" w:space="0" w:color="auto"/>
                <w:left w:val="none" w:sz="0" w:space="0" w:color="auto"/>
                <w:bottom w:val="none" w:sz="0" w:space="0" w:color="auto"/>
                <w:right w:val="none" w:sz="0" w:space="0" w:color="auto"/>
              </w:divBdr>
              <w:divsChild>
                <w:div w:id="1814372436">
                  <w:marLeft w:val="0"/>
                  <w:marRight w:val="0"/>
                  <w:marTop w:val="0"/>
                  <w:marBottom w:val="0"/>
                  <w:divBdr>
                    <w:top w:val="none" w:sz="0" w:space="0" w:color="auto"/>
                    <w:left w:val="none" w:sz="0" w:space="0" w:color="auto"/>
                    <w:bottom w:val="none" w:sz="0" w:space="0" w:color="auto"/>
                    <w:right w:val="none" w:sz="0" w:space="0" w:color="auto"/>
                  </w:divBdr>
                </w:div>
                <w:div w:id="12425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8771">
          <w:marLeft w:val="0"/>
          <w:marRight w:val="0"/>
          <w:marTop w:val="0"/>
          <w:marBottom w:val="0"/>
          <w:divBdr>
            <w:top w:val="none" w:sz="0" w:space="0" w:color="auto"/>
            <w:left w:val="none" w:sz="0" w:space="0" w:color="auto"/>
            <w:bottom w:val="none" w:sz="0" w:space="0" w:color="auto"/>
            <w:right w:val="none" w:sz="0" w:space="0" w:color="auto"/>
          </w:divBdr>
          <w:divsChild>
            <w:div w:id="906040303">
              <w:marLeft w:val="0"/>
              <w:marRight w:val="0"/>
              <w:marTop w:val="0"/>
              <w:marBottom w:val="150"/>
              <w:divBdr>
                <w:top w:val="none" w:sz="0" w:space="0" w:color="auto"/>
                <w:left w:val="none" w:sz="0" w:space="0" w:color="auto"/>
                <w:bottom w:val="none" w:sz="0" w:space="0" w:color="auto"/>
                <w:right w:val="none" w:sz="0" w:space="0" w:color="auto"/>
              </w:divBdr>
              <w:divsChild>
                <w:div w:id="995381575">
                  <w:marLeft w:val="0"/>
                  <w:marRight w:val="0"/>
                  <w:marTop w:val="0"/>
                  <w:marBottom w:val="0"/>
                  <w:divBdr>
                    <w:top w:val="none" w:sz="0" w:space="0" w:color="auto"/>
                    <w:left w:val="none" w:sz="0" w:space="0" w:color="auto"/>
                    <w:bottom w:val="none" w:sz="0" w:space="0" w:color="auto"/>
                    <w:right w:val="none" w:sz="0" w:space="0" w:color="auto"/>
                  </w:divBdr>
                  <w:divsChild>
                    <w:div w:id="575282640">
                      <w:marLeft w:val="0"/>
                      <w:marRight w:val="0"/>
                      <w:marTop w:val="0"/>
                      <w:marBottom w:val="0"/>
                      <w:divBdr>
                        <w:top w:val="none" w:sz="0" w:space="0" w:color="auto"/>
                        <w:left w:val="none" w:sz="0" w:space="0" w:color="auto"/>
                        <w:bottom w:val="none" w:sz="0" w:space="0" w:color="auto"/>
                        <w:right w:val="none" w:sz="0" w:space="0" w:color="auto"/>
                      </w:divBdr>
                      <w:divsChild>
                        <w:div w:id="1494103469">
                          <w:marLeft w:val="0"/>
                          <w:marRight w:val="0"/>
                          <w:marTop w:val="0"/>
                          <w:marBottom w:val="75"/>
                          <w:divBdr>
                            <w:top w:val="none" w:sz="0" w:space="0" w:color="auto"/>
                            <w:left w:val="none" w:sz="0" w:space="0" w:color="auto"/>
                            <w:bottom w:val="none" w:sz="0" w:space="0" w:color="auto"/>
                            <w:right w:val="none" w:sz="0" w:space="0" w:color="auto"/>
                          </w:divBdr>
                          <w:divsChild>
                            <w:div w:id="348142159">
                              <w:marLeft w:val="0"/>
                              <w:marRight w:val="0"/>
                              <w:marTop w:val="0"/>
                              <w:marBottom w:val="0"/>
                              <w:divBdr>
                                <w:top w:val="none" w:sz="0" w:space="0" w:color="auto"/>
                                <w:left w:val="none" w:sz="0" w:space="0" w:color="auto"/>
                                <w:bottom w:val="none" w:sz="0" w:space="0" w:color="auto"/>
                                <w:right w:val="none" w:sz="0" w:space="0" w:color="auto"/>
                              </w:divBdr>
                            </w:div>
                            <w:div w:id="1951476100">
                              <w:marLeft w:val="15"/>
                              <w:marRight w:val="0"/>
                              <w:marTop w:val="0"/>
                              <w:marBottom w:val="0"/>
                              <w:divBdr>
                                <w:top w:val="none" w:sz="0" w:space="0" w:color="auto"/>
                                <w:left w:val="none" w:sz="0" w:space="0" w:color="auto"/>
                                <w:bottom w:val="none" w:sz="0" w:space="0" w:color="auto"/>
                                <w:right w:val="none" w:sz="0" w:space="0" w:color="auto"/>
                              </w:divBdr>
                            </w:div>
                          </w:divsChild>
                        </w:div>
                        <w:div w:id="337082166">
                          <w:marLeft w:val="0"/>
                          <w:marRight w:val="0"/>
                          <w:marTop w:val="0"/>
                          <w:marBottom w:val="75"/>
                          <w:divBdr>
                            <w:top w:val="none" w:sz="0" w:space="0" w:color="auto"/>
                            <w:left w:val="none" w:sz="0" w:space="0" w:color="auto"/>
                            <w:bottom w:val="none" w:sz="0" w:space="0" w:color="auto"/>
                            <w:right w:val="none" w:sz="0" w:space="0" w:color="auto"/>
                          </w:divBdr>
                          <w:divsChild>
                            <w:div w:id="244069392">
                              <w:marLeft w:val="0"/>
                              <w:marRight w:val="0"/>
                              <w:marTop w:val="0"/>
                              <w:marBottom w:val="0"/>
                              <w:divBdr>
                                <w:top w:val="none" w:sz="0" w:space="0" w:color="auto"/>
                                <w:left w:val="none" w:sz="0" w:space="0" w:color="auto"/>
                                <w:bottom w:val="none" w:sz="0" w:space="0" w:color="auto"/>
                                <w:right w:val="none" w:sz="0" w:space="0" w:color="auto"/>
                              </w:divBdr>
                            </w:div>
                            <w:div w:id="1894196273">
                              <w:marLeft w:val="15"/>
                              <w:marRight w:val="0"/>
                              <w:marTop w:val="0"/>
                              <w:marBottom w:val="0"/>
                              <w:divBdr>
                                <w:top w:val="none" w:sz="0" w:space="0" w:color="auto"/>
                                <w:left w:val="none" w:sz="0" w:space="0" w:color="auto"/>
                                <w:bottom w:val="none" w:sz="0" w:space="0" w:color="auto"/>
                                <w:right w:val="none" w:sz="0" w:space="0" w:color="auto"/>
                              </w:divBdr>
                            </w:div>
                          </w:divsChild>
                        </w:div>
                        <w:div w:id="606278028">
                          <w:marLeft w:val="0"/>
                          <w:marRight w:val="0"/>
                          <w:marTop w:val="0"/>
                          <w:marBottom w:val="75"/>
                          <w:divBdr>
                            <w:top w:val="none" w:sz="0" w:space="0" w:color="auto"/>
                            <w:left w:val="none" w:sz="0" w:space="0" w:color="auto"/>
                            <w:bottom w:val="none" w:sz="0" w:space="0" w:color="auto"/>
                            <w:right w:val="none" w:sz="0" w:space="0" w:color="auto"/>
                          </w:divBdr>
                          <w:divsChild>
                            <w:div w:id="428081213">
                              <w:marLeft w:val="0"/>
                              <w:marRight w:val="0"/>
                              <w:marTop w:val="0"/>
                              <w:marBottom w:val="0"/>
                              <w:divBdr>
                                <w:top w:val="none" w:sz="0" w:space="0" w:color="auto"/>
                                <w:left w:val="none" w:sz="0" w:space="0" w:color="auto"/>
                                <w:bottom w:val="none" w:sz="0" w:space="0" w:color="auto"/>
                                <w:right w:val="none" w:sz="0" w:space="0" w:color="auto"/>
                              </w:divBdr>
                            </w:div>
                          </w:divsChild>
                        </w:div>
                        <w:div w:id="1777870913">
                          <w:marLeft w:val="0"/>
                          <w:marRight w:val="0"/>
                          <w:marTop w:val="0"/>
                          <w:marBottom w:val="75"/>
                          <w:divBdr>
                            <w:top w:val="none" w:sz="0" w:space="0" w:color="auto"/>
                            <w:left w:val="none" w:sz="0" w:space="0" w:color="auto"/>
                            <w:bottom w:val="none" w:sz="0" w:space="0" w:color="auto"/>
                            <w:right w:val="none" w:sz="0" w:space="0" w:color="auto"/>
                          </w:divBdr>
                          <w:divsChild>
                            <w:div w:id="1573735237">
                              <w:marLeft w:val="0"/>
                              <w:marRight w:val="0"/>
                              <w:marTop w:val="0"/>
                              <w:marBottom w:val="0"/>
                              <w:divBdr>
                                <w:top w:val="none" w:sz="0" w:space="0" w:color="auto"/>
                                <w:left w:val="none" w:sz="0" w:space="0" w:color="auto"/>
                                <w:bottom w:val="none" w:sz="0" w:space="0" w:color="auto"/>
                                <w:right w:val="none" w:sz="0" w:space="0" w:color="auto"/>
                              </w:divBdr>
                            </w:div>
                            <w:div w:id="75871414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139000">
              <w:marLeft w:val="0"/>
              <w:marRight w:val="0"/>
              <w:marTop w:val="0"/>
              <w:marBottom w:val="0"/>
              <w:divBdr>
                <w:top w:val="none" w:sz="0" w:space="0" w:color="auto"/>
                <w:left w:val="none" w:sz="0" w:space="0" w:color="auto"/>
                <w:bottom w:val="none" w:sz="0" w:space="0" w:color="auto"/>
                <w:right w:val="none" w:sz="0" w:space="0" w:color="auto"/>
              </w:divBdr>
              <w:divsChild>
                <w:div w:id="10275594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globeandmail.com/life/health-and-fitness/health/babies-born-in-warmer-months-may-be-more-at-risk-for-celiac-disease-study/article31467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globeandmail.com/life/health-and-fitness/health/babies-born-in-warmer-months-may-be-more-at-risk-for-celiac-disease-study/article31467512/com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2016-10-19T16:11:00Z</dcterms:created>
  <dcterms:modified xsi:type="dcterms:W3CDTF">2016-10-19T16:11:00Z</dcterms:modified>
</cp:coreProperties>
</file>