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44" w:rsidRPr="00061044" w:rsidRDefault="00061044" w:rsidP="00061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044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SHED THOSE POUNDS</w:t>
      </w:r>
      <w:r w:rsidRPr="0006104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061044" w:rsidRPr="00061044" w:rsidRDefault="00061044" w:rsidP="00061044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06104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Overweight teenage boys are TWICE as likely to develop this killer disease later in life</w:t>
      </w:r>
    </w:p>
    <w:p w:rsidR="00061044" w:rsidRPr="00061044" w:rsidRDefault="00061044" w:rsidP="00061044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232327"/>
          <w:sz w:val="21"/>
          <w:szCs w:val="21"/>
          <w:lang w:eastAsia="en-GB"/>
        </w:rPr>
      </w:pPr>
      <w:r w:rsidRPr="00061044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>By Andrea Downey, Digital Health Reporter</w:t>
      </w:r>
    </w:p>
    <w:p w:rsidR="00061044" w:rsidRPr="00061044" w:rsidRDefault="00061044" w:rsidP="00061044">
      <w:pPr>
        <w:shd w:val="clear" w:color="auto" w:fill="FFFFFF"/>
        <w:spacing w:after="75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061044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21st March 2017, 1:06 pm</w:t>
      </w:r>
    </w:p>
    <w:p w:rsidR="00061044" w:rsidRPr="00061044" w:rsidRDefault="00061044" w:rsidP="00061044">
      <w:pPr>
        <w:shd w:val="clear" w:color="auto" w:fill="EAEEEF"/>
        <w:spacing w:after="0" w:line="240" w:lineRule="auto"/>
        <w:rPr>
          <w:rFonts w:ascii="Times New Roman" w:eastAsia="Times New Roman" w:hAnsi="Times New Roman" w:cs="Times New Roman"/>
          <w:color w:val="232327"/>
          <w:sz w:val="23"/>
          <w:szCs w:val="23"/>
          <w:lang w:eastAsia="en-GB"/>
        </w:rPr>
      </w:pPr>
      <w:r w:rsidRPr="00061044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begin"/>
      </w:r>
      <w:r w:rsidRPr="00061044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instrText xml:space="preserve"> HYPERLINK "https://www.thescottishsun.co.uk/living/754452/overweight-teenage-boys-are-twice-as-likely-to-develop-this-killer-disease-later-in-life/" \l "comments" </w:instrText>
      </w:r>
      <w:r w:rsidRPr="00061044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separate"/>
      </w:r>
    </w:p>
    <w:p w:rsidR="00061044" w:rsidRPr="00061044" w:rsidRDefault="00061044" w:rsidP="00061044">
      <w:pPr>
        <w:shd w:val="clear" w:color="auto" w:fill="EAEEEF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szCs w:val="20"/>
          <w:lang w:eastAsia="en-GB"/>
        </w:rPr>
      </w:pPr>
      <w:r w:rsidRPr="00061044">
        <w:rPr>
          <w:rFonts w:ascii="Roboto Slab" w:eastAsia="Times New Roman" w:hAnsi="Roboto Slab" w:cs="Times New Roman"/>
          <w:b/>
          <w:bCs/>
          <w:caps/>
          <w:color w:val="FFFFFF"/>
          <w:sz w:val="20"/>
          <w:szCs w:val="20"/>
          <w:lang w:eastAsia="en-GB"/>
        </w:rPr>
        <w:t>NOW</w:t>
      </w:r>
    </w:p>
    <w:p w:rsidR="00061044" w:rsidRPr="00061044" w:rsidRDefault="00061044" w:rsidP="00061044">
      <w:pPr>
        <w:shd w:val="clear" w:color="auto" w:fill="EAEEEF"/>
        <w:spacing w:after="0" w:line="240" w:lineRule="auto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r w:rsidRPr="00061044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end"/>
      </w:r>
    </w:p>
    <w:p w:rsidR="00061044" w:rsidRPr="00061044" w:rsidRDefault="00061044" w:rsidP="00061044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Facebook" w:history="1">
        <w:r w:rsidRPr="00061044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061044" w:rsidRPr="00061044" w:rsidRDefault="00061044" w:rsidP="00061044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Twitter" w:history="1">
        <w:r w:rsidRPr="00061044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061044" w:rsidRPr="00061044" w:rsidRDefault="00061044" w:rsidP="00061044">
      <w:pPr>
        <w:numPr>
          <w:ilvl w:val="0"/>
          <w:numId w:val="1"/>
        </w:numPr>
        <w:shd w:val="clear" w:color="auto" w:fill="EAEEEF"/>
        <w:spacing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7" w:tgtFrame="_blank" w:tooltip="Click to share on WhatsApp" w:history="1">
        <w:r w:rsidRPr="00061044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43D854"/>
            <w:lang w:eastAsia="en-GB"/>
          </w:rPr>
          <w:t>Click to share on WhatsApp (Opens in new window)</w:t>
        </w:r>
      </w:hyperlink>
    </w:p>
    <w:p w:rsidR="00061044" w:rsidRPr="00061044" w:rsidRDefault="00061044" w:rsidP="00061044">
      <w:pPr>
        <w:pBdr>
          <w:left w:val="single" w:sz="36" w:space="8" w:color="E465BE"/>
        </w:pBdr>
        <w:spacing w:after="150"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bookmarkEnd w:id="0"/>
      <w:r w:rsidRPr="00061044">
        <w:rPr>
          <w:rFonts w:ascii="Roboto Slab" w:eastAsia="Times New Roman" w:hAnsi="Roboto Slab" w:cs="Times New Roman"/>
          <w:sz w:val="24"/>
          <w:szCs w:val="24"/>
          <w:lang w:eastAsia="en-GB"/>
        </w:rPr>
        <w:t>The researchers then looked at whether having a high body mass index (BMI) when they were aged 17 to 19 was linked to an increase of the disease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FAT teenage boys are twice as likely to developing liver cancer later in life, a new study has found.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are also more likely to develop other severe liver disease, many of which are often fatal, according to research.</w:t>
      </w:r>
    </w:p>
    <w:p w:rsidR="00061044" w:rsidRPr="00061044" w:rsidRDefault="00061044" w:rsidP="00061044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Obese teenagers are more than twice </w:t>
      </w:r>
      <w:proofErr w:type="gramStart"/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as likely to develop liver disease in later life than</w:t>
      </w:r>
      <w:proofErr w:type="gramEnd"/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men of normal weight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examined data from more than 1.2 million Swedish men enlisted for conscription between 1969 and 1996.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data was then linked with other health registers to assess whether these men went on to develop severe liver disease.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researchers then looked at whether having a high body mass index (BMI) when they were aged 17 to 19 was linked to an increase of the disease.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Overall, there were 5,281 cases of severe liver disease including 251 cases of liver cancer during the follow up period – one year after conscription until December 2012.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researchers, led by Dr Hannes </w:t>
      </w:r>
      <w:proofErr w:type="spellStart"/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Hagstrom</w:t>
      </w:r>
      <w:proofErr w:type="spellEnd"/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, of the Centre for Digestive Diseases at the </w:t>
      </w:r>
      <w:proofErr w:type="spellStart"/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Karolinska</w:t>
      </w:r>
      <w:proofErr w:type="spellEnd"/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University Hospital in Sweden, discovered that overweight men were nearly 50 per cent more likely to develop liver disease.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And the stats are worse for obese men – they are more than twice </w:t>
      </w:r>
      <w:proofErr w:type="gramStart"/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as likely to develop liver disease in later life than</w:t>
      </w:r>
      <w:proofErr w:type="gramEnd"/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men of normal weight.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Men who developed type 2 diabetes during the follow up period also had a higher risk, regardless of how much they weighed when they signed up to military conscription.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found that obese men with type 2 diabetes were three times more likely to have liver problems when they were older compared with non-diabetic, normal weight men.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They warned that increasing numbers of people who are overweight or obese could lead to rises in the number of cases of severe liver disease in the future.</w:t>
      </w:r>
    </w:p>
    <w:p w:rsidR="00061044" w:rsidRPr="00061044" w:rsidRDefault="00061044" w:rsidP="00061044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There are more than 100 different types of liver disease, which together affect at least 2 million people in the UK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authors said: “The risk of severe liver disease was highly affected by a diagnosis of T2DM (type 2 diabetes) during follow-up, across all BMI categories.”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“Interventions to reduce the increasing prevalence of overweight and obesity should be implemented from an early age to reduce the future burden of severe liver disease on individuals and society.”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There are more than 100 different types of liver disease, which together affect at least 2 million people in the UK, according to the NHS.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three main causes of liver disease in the country are obesity, undiagnosed hepatitis infection and alcohol abuse.</w:t>
      </w:r>
    </w:p>
    <w:p w:rsidR="00061044" w:rsidRPr="00061044" w:rsidRDefault="00061044" w:rsidP="0006104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104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Yet, all these causes are preventable.</w:t>
      </w:r>
    </w:p>
    <w:p w:rsidR="005918A5" w:rsidRDefault="005918A5"/>
    <w:sectPr w:rsidR="0059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772EC"/>
    <w:multiLevelType w:val="multilevel"/>
    <w:tmpl w:val="33FA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44"/>
    <w:rsid w:val="00061044"/>
    <w:rsid w:val="0059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68CF5-CE6D-4F9F-A6AF-9BE295DE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1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0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10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061044"/>
  </w:style>
  <w:style w:type="character" w:customStyle="1" w:styleId="apple-converted-space">
    <w:name w:val="apple-converted-space"/>
    <w:basedOn w:val="DefaultParagraphFont"/>
    <w:rsid w:val="00061044"/>
  </w:style>
  <w:style w:type="paragraph" w:styleId="NormalWeb">
    <w:name w:val="Normal (Web)"/>
    <w:basedOn w:val="Normal"/>
    <w:uiPriority w:val="99"/>
    <w:semiHidden/>
    <w:unhideWhenUsed/>
    <w:rsid w:val="00061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061044"/>
  </w:style>
  <w:style w:type="character" w:customStyle="1" w:styleId="articletimestamp">
    <w:name w:val="article__timestamp"/>
    <w:basedOn w:val="DefaultParagraphFont"/>
    <w:rsid w:val="00061044"/>
  </w:style>
  <w:style w:type="character" w:styleId="Hyperlink">
    <w:name w:val="Hyperlink"/>
    <w:basedOn w:val="DefaultParagraphFont"/>
    <w:uiPriority w:val="99"/>
    <w:semiHidden/>
    <w:unhideWhenUsed/>
    <w:rsid w:val="00061044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061044"/>
  </w:style>
  <w:style w:type="paragraph" w:customStyle="1" w:styleId="articlecontent">
    <w:name w:val="article__content"/>
    <w:basedOn w:val="Normal"/>
    <w:rsid w:val="00061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061044"/>
  </w:style>
  <w:style w:type="character" w:customStyle="1" w:styleId="swiper-pagination-current">
    <w:name w:val="swiper-pagination-current"/>
    <w:basedOn w:val="DefaultParagraphFont"/>
    <w:rsid w:val="00061044"/>
  </w:style>
  <w:style w:type="character" w:customStyle="1" w:styleId="swiper-pagination-total">
    <w:name w:val="swiper-pagination-total"/>
    <w:basedOn w:val="DefaultParagraphFont"/>
    <w:rsid w:val="00061044"/>
  </w:style>
  <w:style w:type="character" w:customStyle="1" w:styleId="railitem-sub">
    <w:name w:val="rail__item-sub"/>
    <w:basedOn w:val="DefaultParagraphFont"/>
    <w:rsid w:val="00061044"/>
  </w:style>
  <w:style w:type="paragraph" w:styleId="ListParagraph">
    <w:name w:val="List Paragraph"/>
    <w:basedOn w:val="Normal"/>
    <w:uiPriority w:val="34"/>
    <w:qFormat/>
    <w:rsid w:val="0006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709">
          <w:marLeft w:val="0"/>
          <w:marRight w:val="0"/>
          <w:marTop w:val="0"/>
          <w:marBottom w:val="15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190879445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361840">
          <w:marLeft w:val="-300"/>
          <w:marRight w:val="-300"/>
          <w:marTop w:val="15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6419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653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767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42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8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75089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481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2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70137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42622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0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91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65543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5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2434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5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6690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1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73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06999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2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46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8380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3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20983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2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34727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0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24380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36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5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30968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4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46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06479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9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80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74784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68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96544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3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04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23464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9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576661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2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21247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0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88733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9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6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8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hatsapp://send?text=Overweight%20teenage%20boys%20are%20TWICE%20as%20likely%20to%20develop%20this%20killer%20disease%20later%20in%20life%20https%3A%2F%2Fwww.thescottishsun.co.uk%2Fliving%2F754452%2Foverweight-teenage-boys-are-twice-as-likely-to-develop-this-killer-disease-later-in-life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cottishsun.co.uk/living/754452/overweight-teenage-boys-are-twice-as-likely-to-develop-this-killer-disease-later-in-life/?share=twitter&amp;nb=1" TargetMode="External"/><Relationship Id="rId5" Type="http://schemas.openxmlformats.org/officeDocument/2006/relationships/hyperlink" Target="https://www.thescottishsun.co.uk/living/754452/overweight-teenage-boys-are-twice-as-likely-to-develop-this-killer-disease-later-in-life/?share=facebook&amp;n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2017-05-22T10:26:00Z</dcterms:created>
  <dcterms:modified xsi:type="dcterms:W3CDTF">2017-05-22T10:29:00Z</dcterms:modified>
</cp:coreProperties>
</file>