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418" w:rsidRPr="00CE4418" w:rsidRDefault="00CE4418" w:rsidP="00CE4418">
      <w:pPr>
        <w:spacing w:after="0" w:line="240" w:lineRule="auto"/>
        <w:outlineLvl w:val="0"/>
        <w:rPr>
          <w:rFonts w:ascii="Arial" w:eastAsia="Times New Roman" w:hAnsi="Arial" w:cs="Arial"/>
          <w:b/>
          <w:bCs/>
          <w:color w:val="201D1C"/>
          <w:kern w:val="36"/>
          <w:sz w:val="72"/>
          <w:szCs w:val="72"/>
          <w:lang w:eastAsia="en-GB"/>
        </w:rPr>
      </w:pPr>
      <w:r w:rsidRPr="00CE4418">
        <w:rPr>
          <w:rFonts w:ascii="Arial" w:eastAsia="Times New Roman" w:hAnsi="Arial" w:cs="Arial"/>
          <w:b/>
          <w:bCs/>
          <w:color w:val="201D1C"/>
          <w:kern w:val="36"/>
          <w:sz w:val="72"/>
          <w:szCs w:val="72"/>
          <w:lang w:eastAsia="en-GB"/>
        </w:rPr>
        <w:t>Drinking alcohol slashes risk of heart problems – if you drink this much per week</w:t>
      </w:r>
    </w:p>
    <w:p w:rsidR="00CE4418" w:rsidRPr="00CE4418" w:rsidRDefault="00CE4418" w:rsidP="00CE4418">
      <w:pPr>
        <w:spacing w:before="105" w:after="225" w:line="315" w:lineRule="atLeast"/>
        <w:rPr>
          <w:rFonts w:ascii="Arial" w:eastAsia="Times New Roman" w:hAnsi="Arial" w:cs="Arial"/>
          <w:b/>
          <w:bCs/>
          <w:color w:val="333333"/>
          <w:sz w:val="23"/>
          <w:szCs w:val="23"/>
          <w:lang w:eastAsia="en-GB"/>
        </w:rPr>
      </w:pPr>
      <w:r w:rsidRPr="00CE4418">
        <w:rPr>
          <w:rFonts w:ascii="Arial" w:eastAsia="Times New Roman" w:hAnsi="Arial" w:cs="Arial"/>
          <w:b/>
          <w:bCs/>
          <w:color w:val="333333"/>
          <w:sz w:val="23"/>
          <w:szCs w:val="23"/>
          <w:lang w:eastAsia="en-GB"/>
        </w:rPr>
        <w:t>BOOZERS rejoice because drinking alcohol can boost your heart health.</w:t>
      </w:r>
    </w:p>
    <w:tbl>
      <w:tblPr>
        <w:tblW w:w="0" w:type="dxa"/>
        <w:tblCellMar>
          <w:left w:w="0" w:type="dxa"/>
          <w:right w:w="0" w:type="dxa"/>
        </w:tblCellMar>
        <w:tblLook w:val="04A0" w:firstRow="1" w:lastRow="0" w:firstColumn="1" w:lastColumn="0" w:noHBand="0" w:noVBand="1"/>
      </w:tblPr>
      <w:tblGrid>
        <w:gridCol w:w="2052"/>
        <w:gridCol w:w="2112"/>
        <w:gridCol w:w="672"/>
        <w:gridCol w:w="672"/>
        <w:gridCol w:w="3481"/>
      </w:tblGrid>
      <w:tr w:rsidR="00CE4418" w:rsidRPr="00CE4418" w:rsidTr="00CE4418">
        <w:tc>
          <w:tcPr>
            <w:tcW w:w="6" w:type="dxa"/>
            <w:tcBorders>
              <w:top w:val="nil"/>
              <w:left w:val="nil"/>
              <w:bottom w:val="nil"/>
              <w:right w:val="nil"/>
            </w:tcBorders>
            <w:noWrap/>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CE4418" w:rsidRPr="00CE4418" w:rsidTr="00CE4418">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b/>
                      <w:bCs/>
                      <w:color w:val="333333"/>
                      <w:sz w:val="23"/>
                      <w:szCs w:val="23"/>
                      <w:lang w:eastAsia="en-GB"/>
                    </w:rPr>
                  </w:pP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r w:rsidRPr="00CE4418">
                    <w:rPr>
                      <w:rFonts w:ascii="Arial" w:eastAsia="Times New Roman" w:hAnsi="Arial" w:cs="Arial"/>
                      <w:noProof/>
                      <w:color w:val="4D4D4D"/>
                      <w:sz w:val="15"/>
                      <w:szCs w:val="15"/>
                      <w:lang w:eastAsia="en-GB"/>
                    </w:rPr>
                    <w:drawing>
                      <wp:inline distT="0" distB="0" distL="0" distR="0">
                        <wp:extent cx="1285875" cy="361950"/>
                        <wp:effectExtent l="0" t="0" r="9525" b="0"/>
                        <wp:docPr id="22" name="Picture 22" descr="http://cdn.images.dailystar.co.uk/img/static/icons/share2/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0-icon_img" descr="http://cdn.images.dailystar.co.uk/img/static/icons/share2/faceboo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p>
              </w:tc>
            </w:tr>
          </w:tbl>
          <w:p w:rsidR="00CE4418" w:rsidRPr="00CE4418" w:rsidRDefault="00CE4418" w:rsidP="00CE4418">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2040"/>
              <w:gridCol w:w="6"/>
            </w:tblGrid>
            <w:tr w:rsidR="00CE4418" w:rsidRPr="00CE4418" w:rsidTr="00CE4418">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r w:rsidRPr="00CE4418">
                    <w:rPr>
                      <w:rFonts w:ascii="Arial" w:eastAsia="Times New Roman" w:hAnsi="Arial" w:cs="Arial"/>
                      <w:noProof/>
                      <w:color w:val="4D4D4D"/>
                      <w:sz w:val="15"/>
                      <w:szCs w:val="15"/>
                      <w:lang w:eastAsia="en-GB"/>
                    </w:rPr>
                    <w:drawing>
                      <wp:inline distT="0" distB="0" distL="0" distR="0">
                        <wp:extent cx="1285875" cy="361950"/>
                        <wp:effectExtent l="0" t="0" r="9525" b="0"/>
                        <wp:docPr id="21" name="Picture 21" descr="http://cdn.images.dailystar.co.uk/img/static/icons/share2/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1-icon_img" descr="http://cdn.images.dailystar.co.uk/img/static/icons/share2/twit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8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p>
              </w:tc>
            </w:tr>
          </w:tbl>
          <w:p w:rsidR="00CE4418" w:rsidRPr="00CE4418" w:rsidRDefault="00CE4418" w:rsidP="00CE4418">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600"/>
              <w:gridCol w:w="6"/>
            </w:tblGrid>
            <w:tr w:rsidR="00CE4418" w:rsidRPr="00CE4418" w:rsidTr="00CE4418">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r w:rsidRPr="00CE4418">
                    <w:rPr>
                      <w:rFonts w:ascii="Arial" w:eastAsia="Times New Roman" w:hAnsi="Arial" w:cs="Arial"/>
                      <w:noProof/>
                      <w:color w:val="4D4D4D"/>
                      <w:sz w:val="15"/>
                      <w:szCs w:val="15"/>
                      <w:lang w:eastAsia="en-GB"/>
                    </w:rPr>
                    <w:drawing>
                      <wp:inline distT="0" distB="0" distL="0" distR="0">
                        <wp:extent cx="381000" cy="371475"/>
                        <wp:effectExtent l="0" t="0" r="0" b="9525"/>
                        <wp:docPr id="20" name="Picture 20" descr="http://cdn.images.dailystar.co.uk/img/static/icons/share4/google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2-icon_img" descr="http://cdn.images.dailystar.co.uk/img/static/icons/share4/googlepl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71475"/>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p>
              </w:tc>
            </w:tr>
          </w:tbl>
          <w:p w:rsidR="00CE4418" w:rsidRPr="00CE4418" w:rsidRDefault="00CE4418" w:rsidP="00CE4418">
            <w:pPr>
              <w:spacing w:after="0" w:line="240" w:lineRule="auto"/>
              <w:textAlignment w:val="top"/>
              <w:rPr>
                <w:rFonts w:ascii="Arial" w:eastAsia="Times New Roman" w:hAnsi="Arial" w:cs="Arial"/>
                <w:color w:val="4D4D4D"/>
                <w:sz w:val="15"/>
                <w:szCs w:val="15"/>
                <w:lang w:eastAsia="en-GB"/>
              </w:rPr>
            </w:pPr>
          </w:p>
        </w:tc>
        <w:tc>
          <w:tcPr>
            <w:tcW w:w="6"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
              <w:gridCol w:w="600"/>
              <w:gridCol w:w="6"/>
            </w:tblGrid>
            <w:tr w:rsidR="00CE4418" w:rsidRPr="00CE4418" w:rsidTr="00CE4418">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r w:rsidRPr="00CE4418">
                    <w:rPr>
                      <w:rFonts w:ascii="Arial" w:eastAsia="Times New Roman" w:hAnsi="Arial" w:cs="Arial"/>
                      <w:noProof/>
                      <w:color w:val="4D4D4D"/>
                      <w:sz w:val="15"/>
                      <w:szCs w:val="15"/>
                      <w:lang w:eastAsia="en-GB"/>
                    </w:rPr>
                    <w:drawing>
                      <wp:inline distT="0" distB="0" distL="0" distR="0">
                        <wp:extent cx="371475" cy="361950"/>
                        <wp:effectExtent l="0" t="0" r="9525" b="0"/>
                        <wp:docPr id="19" name="Picture 19" descr="http://cdn.images.dailystar.co.uk/img/static/icons/share2/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3-icon_img" descr="http://cdn.images.dailystar.co.uk/img/static/icons/share2/commen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p>
              </w:tc>
            </w:tr>
          </w:tbl>
          <w:p w:rsidR="00CE4418" w:rsidRPr="00CE4418" w:rsidRDefault="00CE4418" w:rsidP="00CE4418">
            <w:pPr>
              <w:spacing w:after="0" w:line="240" w:lineRule="auto"/>
              <w:textAlignment w:val="top"/>
              <w:rPr>
                <w:rFonts w:ascii="Arial" w:eastAsia="Times New Roman" w:hAnsi="Arial" w:cs="Arial"/>
                <w:color w:val="4D4D4D"/>
                <w:sz w:val="15"/>
                <w:szCs w:val="15"/>
                <w:lang w:eastAsia="en-GB"/>
              </w:rPr>
            </w:pPr>
          </w:p>
        </w:tc>
        <w:tc>
          <w:tcPr>
            <w:tcW w:w="3473" w:type="dxa"/>
            <w:tcBorders>
              <w:top w:val="nil"/>
              <w:left w:val="nil"/>
              <w:bottom w:val="nil"/>
              <w:right w:val="nil"/>
            </w:tcBorders>
            <w:noWrap/>
            <w:tcMar>
              <w:top w:w="0" w:type="dxa"/>
              <w:left w:w="60" w:type="dxa"/>
              <w:bottom w:w="0" w:type="dxa"/>
              <w:right w:w="0" w:type="dxa"/>
            </w:tcMar>
            <w:vAlign w:val="center"/>
            <w:hideMark/>
          </w:tcPr>
          <w:tbl>
            <w:tblPr>
              <w:tblW w:w="0" w:type="dxa"/>
              <w:tblCellMar>
                <w:left w:w="0" w:type="dxa"/>
                <w:right w:w="0" w:type="dxa"/>
              </w:tblCellMar>
              <w:tblLook w:val="04A0" w:firstRow="1" w:lastRow="0" w:firstColumn="1" w:lastColumn="0" w:noHBand="0" w:noVBand="1"/>
            </w:tblPr>
            <w:tblGrid>
              <w:gridCol w:w="612"/>
              <w:gridCol w:w="84"/>
            </w:tblGrid>
            <w:tr w:rsidR="00CE4418" w:rsidRPr="00CE4418" w:rsidTr="00CE4418">
              <w:tc>
                <w:tcPr>
                  <w:tcW w:w="6" w:type="dxa"/>
                  <w:tcBorders>
                    <w:top w:val="nil"/>
                    <w:left w:val="nil"/>
                    <w:bottom w:val="nil"/>
                    <w:right w:val="nil"/>
                  </w:tcBorders>
                  <w:vAlign w:val="center"/>
                  <w:hideMark/>
                </w:tcPr>
                <w:tbl>
                  <w:tblPr>
                    <w:tblW w:w="0" w:type="dxa"/>
                    <w:tblCellMar>
                      <w:left w:w="0" w:type="dxa"/>
                      <w:right w:w="0" w:type="dxa"/>
                    </w:tblCellMar>
                    <w:tblLook w:val="04A0" w:firstRow="1" w:lastRow="0" w:firstColumn="1" w:lastColumn="0" w:noHBand="0" w:noVBand="1"/>
                  </w:tblPr>
                  <w:tblGrid>
                    <w:gridCol w:w="6"/>
                    <w:gridCol w:w="600"/>
                    <w:gridCol w:w="6"/>
                  </w:tblGrid>
                  <w:tr w:rsidR="00CE4418" w:rsidRPr="00CE4418" w:rsidTr="00CE4418">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Times New Roman" w:eastAsia="Times New Roman" w:hAnsi="Times New Roman" w:cs="Times New Roman"/>
                            <w:sz w:val="20"/>
                            <w:szCs w:val="20"/>
                            <w:lang w:eastAsia="en-GB"/>
                          </w:rPr>
                        </w:pP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r w:rsidRPr="00CE4418">
                          <w:rPr>
                            <w:rFonts w:ascii="Arial" w:eastAsia="Times New Roman" w:hAnsi="Arial" w:cs="Arial"/>
                            <w:noProof/>
                            <w:color w:val="4D4D4D"/>
                            <w:sz w:val="15"/>
                            <w:szCs w:val="15"/>
                            <w:lang w:eastAsia="en-GB"/>
                          </w:rPr>
                          <w:drawing>
                            <wp:inline distT="0" distB="0" distL="0" distR="0">
                              <wp:extent cx="371475" cy="361950"/>
                              <wp:effectExtent l="0" t="0" r="9525" b="0"/>
                              <wp:docPr id="18" name="Picture 18" descr="http://cdn.images.dailystar.co.uk/img/static/icons/share2/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v2-reaction4-icon_img" descr="http://cdn.images.dailystar.co.uk/img/static/icons/share2/sh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 cy="361950"/>
                                      </a:xfrm>
                                      <a:prstGeom prst="rect">
                                        <a:avLst/>
                                      </a:prstGeom>
                                      <a:noFill/>
                                      <a:ln>
                                        <a:noFill/>
                                      </a:ln>
                                    </pic:spPr>
                                  </pic:pic>
                                </a:graphicData>
                              </a:graphic>
                            </wp:inline>
                          </w:drawing>
                        </w:r>
                      </w:p>
                    </w:tc>
                    <w:tc>
                      <w:tcPr>
                        <w:tcW w:w="6" w:type="dxa"/>
                        <w:tcBorders>
                          <w:top w:val="nil"/>
                          <w:left w:val="nil"/>
                          <w:bottom w:val="nil"/>
                          <w:right w:val="nil"/>
                        </w:tcBorders>
                        <w:vAlign w:val="center"/>
                        <w:hideMark/>
                      </w:tcPr>
                      <w:p w:rsidR="00CE4418" w:rsidRPr="00CE4418" w:rsidRDefault="00CE4418" w:rsidP="00CE4418">
                        <w:pPr>
                          <w:spacing w:after="0" w:line="240" w:lineRule="auto"/>
                          <w:rPr>
                            <w:rFonts w:ascii="Arial" w:eastAsia="Times New Roman" w:hAnsi="Arial" w:cs="Arial"/>
                            <w:color w:val="4D4D4D"/>
                            <w:sz w:val="15"/>
                            <w:szCs w:val="15"/>
                            <w:lang w:eastAsia="en-GB"/>
                          </w:rPr>
                        </w:pPr>
                      </w:p>
                    </w:tc>
                  </w:tr>
                </w:tbl>
                <w:p w:rsidR="00CE4418" w:rsidRPr="00CE4418" w:rsidRDefault="00CE4418" w:rsidP="00CE4418">
                  <w:pPr>
                    <w:spacing w:after="0" w:line="240" w:lineRule="auto"/>
                    <w:rPr>
                      <w:rFonts w:ascii="Arial" w:eastAsia="Times New Roman" w:hAnsi="Arial" w:cs="Arial"/>
                      <w:color w:val="4D4D4D"/>
                      <w:sz w:val="15"/>
                      <w:szCs w:val="15"/>
                      <w:lang w:eastAsia="en-GB"/>
                    </w:rPr>
                  </w:pPr>
                </w:p>
              </w:tc>
              <w:tc>
                <w:tcPr>
                  <w:tcW w:w="6" w:type="dxa"/>
                  <w:tcBorders>
                    <w:top w:val="nil"/>
                    <w:left w:val="nil"/>
                    <w:bottom w:val="nil"/>
                    <w:right w:val="nil"/>
                  </w:tcBorders>
                  <w:vAlign w:val="center"/>
                  <w:hideMark/>
                </w:tcPr>
                <w:p w:rsidR="00CE4418" w:rsidRPr="00CE4418" w:rsidRDefault="00CE4418" w:rsidP="00CE4418">
                  <w:pPr>
                    <w:spacing w:after="0" w:line="300" w:lineRule="atLeast"/>
                    <w:jc w:val="center"/>
                    <w:textAlignment w:val="center"/>
                    <w:rPr>
                      <w:rFonts w:ascii="Arial" w:eastAsia="Times New Roman" w:hAnsi="Arial" w:cs="Arial"/>
                      <w:color w:val="4D4D4D"/>
                      <w:sz w:val="15"/>
                      <w:szCs w:val="15"/>
                      <w:lang w:eastAsia="en-GB"/>
                    </w:rPr>
                  </w:pPr>
                  <w:r w:rsidRPr="00CE4418">
                    <w:rPr>
                      <w:rFonts w:ascii="Arial" w:eastAsia="Times New Roman" w:hAnsi="Arial" w:cs="Arial"/>
                      <w:color w:val="4D4D4D"/>
                      <w:sz w:val="15"/>
                      <w:szCs w:val="15"/>
                      <w:bdr w:val="none" w:sz="0" w:space="0" w:color="auto" w:frame="1"/>
                      <w:lang w:eastAsia="en-GB"/>
                    </w:rPr>
                    <w:t>0</w:t>
                  </w:r>
                </w:p>
              </w:tc>
            </w:tr>
          </w:tbl>
          <w:p w:rsidR="00CE4418" w:rsidRPr="00CE4418" w:rsidRDefault="00CE4418" w:rsidP="00CE4418">
            <w:pPr>
              <w:spacing w:after="0" w:line="240" w:lineRule="auto"/>
              <w:textAlignment w:val="top"/>
              <w:rPr>
                <w:rFonts w:ascii="Arial" w:eastAsia="Times New Roman" w:hAnsi="Arial" w:cs="Arial"/>
                <w:color w:val="4D4D4D"/>
                <w:sz w:val="15"/>
                <w:szCs w:val="15"/>
                <w:lang w:eastAsia="en-GB"/>
              </w:rPr>
            </w:pPr>
          </w:p>
        </w:tc>
      </w:tr>
    </w:tbl>
    <w:p w:rsidR="00CE4418" w:rsidRPr="00CE4418" w:rsidRDefault="00CE4418" w:rsidP="00CE4418">
      <w:pPr>
        <w:spacing w:after="0" w:line="315" w:lineRule="atLeast"/>
        <w:rPr>
          <w:rFonts w:ascii="Arial" w:eastAsia="Times New Roman" w:hAnsi="Arial" w:cs="Arial"/>
          <w:b/>
          <w:bCs/>
          <w:color w:val="333333"/>
          <w:sz w:val="23"/>
          <w:szCs w:val="23"/>
          <w:lang w:eastAsia="en-GB"/>
        </w:rPr>
      </w:pPr>
      <w:r w:rsidRPr="00CE4418">
        <w:rPr>
          <w:rFonts w:ascii="Arial" w:eastAsia="Times New Roman" w:hAnsi="Arial" w:cs="Arial"/>
          <w:b/>
          <w:bCs/>
          <w:color w:val="333333"/>
          <w:sz w:val="23"/>
          <w:szCs w:val="23"/>
          <w:lang w:eastAsia="en-GB"/>
        </w:rPr>
        <w:t>By </w:t>
      </w:r>
      <w:hyperlink r:id="rId10" w:history="1">
        <w:r w:rsidRPr="00CE4418">
          <w:rPr>
            <w:rFonts w:ascii="Arial" w:eastAsia="Times New Roman" w:hAnsi="Arial" w:cs="Arial"/>
            <w:b/>
            <w:bCs/>
            <w:color w:val="9F021E"/>
            <w:sz w:val="23"/>
            <w:szCs w:val="23"/>
            <w:u w:val="single"/>
            <w:lang w:eastAsia="en-GB"/>
          </w:rPr>
          <w:t>Sarah Buchanan</w:t>
        </w:r>
      </w:hyperlink>
      <w:r w:rsidRPr="00CE4418">
        <w:rPr>
          <w:rFonts w:ascii="Arial" w:eastAsia="Times New Roman" w:hAnsi="Arial" w:cs="Arial"/>
          <w:b/>
          <w:bCs/>
          <w:color w:val="333333"/>
          <w:sz w:val="23"/>
          <w:szCs w:val="23"/>
          <w:lang w:eastAsia="en-GB"/>
        </w:rPr>
        <w:t> </w:t>
      </w:r>
      <w:r w:rsidRPr="00CE4418">
        <w:rPr>
          <w:rFonts w:ascii="Arial" w:eastAsia="Times New Roman" w:hAnsi="Arial" w:cs="Arial"/>
          <w:color w:val="666666"/>
          <w:sz w:val="18"/>
          <w:szCs w:val="18"/>
          <w:lang w:eastAsia="en-GB"/>
        </w:rPr>
        <w:t>/</w:t>
      </w:r>
      <w:r w:rsidRPr="00CE4418">
        <w:rPr>
          <w:rFonts w:ascii="Arial" w:eastAsia="Times New Roman" w:hAnsi="Arial" w:cs="Arial"/>
          <w:b/>
          <w:bCs/>
          <w:color w:val="333333"/>
          <w:sz w:val="23"/>
          <w:szCs w:val="23"/>
          <w:lang w:eastAsia="en-GB"/>
        </w:rPr>
        <w:t> Published 22nd March 2017</w:t>
      </w:r>
    </w:p>
    <w:p w:rsidR="00CE4418" w:rsidRPr="00CE4418" w:rsidRDefault="00CE4418" w:rsidP="00CE4418">
      <w:pPr>
        <w:shd w:val="clear" w:color="auto" w:fill="FFFFFF"/>
        <w:spacing w:after="0" w:line="240" w:lineRule="auto"/>
        <w:rPr>
          <w:rFonts w:ascii="Arial" w:eastAsia="Times New Roman" w:hAnsi="Arial" w:cs="Arial"/>
          <w:color w:val="333333"/>
          <w:sz w:val="24"/>
          <w:szCs w:val="24"/>
          <w:lang w:eastAsia="en-GB"/>
        </w:rPr>
      </w:pPr>
      <w:bookmarkStart w:id="0" w:name="_GoBack"/>
      <w:bookmarkEnd w:id="0"/>
      <w:r w:rsidRPr="00CE4418">
        <w:rPr>
          <w:rFonts w:ascii="Arial" w:eastAsia="Times New Roman" w:hAnsi="Arial" w:cs="Arial"/>
          <w:caps/>
          <w:color w:val="FFFFFF"/>
          <w:sz w:val="14"/>
          <w:szCs w:val="14"/>
          <w:lang w:eastAsia="en-GB"/>
        </w:rPr>
        <w:t>GETTY</w:t>
      </w:r>
    </w:p>
    <w:p w:rsidR="00CE4418" w:rsidRPr="00CE4418" w:rsidRDefault="00CE4418" w:rsidP="00CE4418">
      <w:pPr>
        <w:shd w:val="clear" w:color="auto" w:fill="FFFFFF"/>
        <w:spacing w:after="0" w:line="240" w:lineRule="auto"/>
        <w:rPr>
          <w:rFonts w:ascii="Arial" w:eastAsia="Times New Roman" w:hAnsi="Arial" w:cs="Arial"/>
          <w:color w:val="333333"/>
          <w:sz w:val="24"/>
          <w:szCs w:val="24"/>
          <w:lang w:eastAsia="en-GB"/>
        </w:rPr>
      </w:pPr>
      <w:r w:rsidRPr="00CE4418">
        <w:rPr>
          <w:rFonts w:ascii="Arial" w:eastAsia="Times New Roman" w:hAnsi="Arial" w:cs="Arial"/>
          <w:color w:val="FFFFFF"/>
          <w:sz w:val="18"/>
          <w:szCs w:val="18"/>
          <w:lang w:eastAsia="en-GB"/>
        </w:rPr>
        <w:t>HEART HEALTH: Guzzling a moderate amount of booze can have a beneficial effect</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Believe it or not, moderate drinking can cut your risk of suffering from a heart attack, angina or heart failure.</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In fact in can be better for you than not drinking, according to a new study of 1.93million Brits.</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Researchers found that guzzling up to 14 units of alcohol per week can have a protective effect on the heart compared with not drinking.</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Previous studies have suggested that </w:t>
      </w:r>
      <w:hyperlink r:id="rId11" w:tgtFrame="_blank" w:history="1">
        <w:r w:rsidRPr="00CE4418">
          <w:rPr>
            <w:rFonts w:ascii="Arial" w:eastAsia="Times New Roman" w:hAnsi="Arial" w:cs="Arial"/>
            <w:color w:val="9F021E"/>
            <w:sz w:val="21"/>
            <w:szCs w:val="21"/>
            <w:u w:val="single"/>
            <w:lang w:eastAsia="en-GB"/>
          </w:rPr>
          <w:t>alcohol has a positive effect on the levels of "good" cholesterol in the blood</w:t>
        </w:r>
      </w:hyperlink>
      <w:r w:rsidRPr="00CE4418">
        <w:rPr>
          <w:rFonts w:ascii="Arial" w:eastAsia="Times New Roman" w:hAnsi="Arial" w:cs="Arial"/>
          <w:color w:val="333333"/>
          <w:sz w:val="21"/>
          <w:szCs w:val="21"/>
          <w:lang w:eastAsia="en-GB"/>
        </w:rPr>
        <w:t> as well as proteins associated with blood clotting.</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The study, published in the British Medical Journal, found that moderate drinkers were less likely to turn up at their doctor suffering from angina, heart attack, heart failure, ischaemic stroke, circulation problems caused by a build-up of fat in the arteries and aortic aneurysm than non-drinkers.</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 xml:space="preserve">But the research found that heavy drinking – downing more than 14 units per week – actually increased the risk of heart failure, cardiac arrest, </w:t>
      </w:r>
      <w:proofErr w:type="gramStart"/>
      <w:r w:rsidRPr="00CE4418">
        <w:rPr>
          <w:rFonts w:ascii="Arial" w:eastAsia="Times New Roman" w:hAnsi="Arial" w:cs="Arial"/>
          <w:color w:val="333333"/>
          <w:sz w:val="21"/>
          <w:szCs w:val="21"/>
          <w:lang w:eastAsia="en-GB"/>
        </w:rPr>
        <w:t>ischaemic</w:t>
      </w:r>
      <w:proofErr w:type="gramEnd"/>
      <w:r w:rsidRPr="00CE4418">
        <w:rPr>
          <w:rFonts w:ascii="Arial" w:eastAsia="Times New Roman" w:hAnsi="Arial" w:cs="Arial"/>
          <w:color w:val="333333"/>
          <w:sz w:val="21"/>
          <w:szCs w:val="21"/>
          <w:lang w:eastAsia="en-GB"/>
        </w:rPr>
        <w:t xml:space="preserve"> stroke and circulation problems caused by fatty arteries.</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The authors, from the University of Cambridge and University College London, welcomed the findings.</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But they warned: "While we found that moderate drinkers were less likely to initially present with several cardiovascular diseases than non-drinkers, it could be argued that it would be unwise to encourage individuals to take up drinking as a means of lowering their risk.</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lastRenderedPageBreak/>
        <w:t>"This is because there are arguably safer and more effective ways of reducing cardiovascular risk, such as increasing physical activity and smoking cessation, which do not incur increased risks of alcohol-related harm such as alcohol dependence, liver disease and cancer."</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Dave Roberts, director general of the Alcohol Information Partnership, which is funded by drinks firms including Diageo, Pernod Ricard, Campari and Bacardi, said: "This new study confirms yet again what previous studies have consistently found.</w:t>
      </w:r>
    </w:p>
    <w:p w:rsidR="00CE4418" w:rsidRPr="00CE4418" w:rsidRDefault="00CE4418" w:rsidP="00CE4418">
      <w:pPr>
        <w:shd w:val="clear" w:color="auto" w:fill="FFFFFF"/>
        <w:spacing w:after="300" w:line="315" w:lineRule="atLeast"/>
        <w:rPr>
          <w:rFonts w:ascii="Arial" w:eastAsia="Times New Roman" w:hAnsi="Arial" w:cs="Arial"/>
          <w:color w:val="333333"/>
          <w:sz w:val="21"/>
          <w:szCs w:val="21"/>
          <w:lang w:eastAsia="en-GB"/>
        </w:rPr>
      </w:pPr>
      <w:r w:rsidRPr="00CE4418">
        <w:rPr>
          <w:rFonts w:ascii="Arial" w:eastAsia="Times New Roman" w:hAnsi="Arial" w:cs="Arial"/>
          <w:color w:val="333333"/>
          <w:sz w:val="21"/>
          <w:szCs w:val="21"/>
          <w:lang w:eastAsia="en-GB"/>
        </w:rPr>
        <w:t>"Moderate alcohol consumption can have a beneficial impact on health. This study demonstrates that the anti-alcohol campaigners' mantra that there is no safe limit just doesn't stack up."</w:t>
      </w:r>
    </w:p>
    <w:sectPr w:rsidR="00CE4418" w:rsidRPr="00CE4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07615"/>
    <w:multiLevelType w:val="multilevel"/>
    <w:tmpl w:val="A990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E6C6E"/>
    <w:multiLevelType w:val="multilevel"/>
    <w:tmpl w:val="16B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418"/>
    <w:rsid w:val="004576E8"/>
    <w:rsid w:val="00CE4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C6DE0-935B-414E-8826-FCA50FA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44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CE441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41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E4418"/>
    <w:rPr>
      <w:rFonts w:ascii="Times New Roman" w:eastAsia="Times New Roman" w:hAnsi="Times New Roman" w:cs="Times New Roman"/>
      <w:b/>
      <w:bCs/>
      <w:sz w:val="27"/>
      <w:szCs w:val="27"/>
      <w:lang w:eastAsia="en-GB"/>
    </w:rPr>
  </w:style>
  <w:style w:type="paragraph" w:customStyle="1" w:styleId="lead">
    <w:name w:val="lead"/>
    <w:basedOn w:val="Normal"/>
    <w:rsid w:val="00CE4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ig-counter-text">
    <w:name w:val="gig-counter-text"/>
    <w:basedOn w:val="DefaultParagraphFont"/>
    <w:rsid w:val="00CE4418"/>
  </w:style>
  <w:style w:type="character" w:customStyle="1" w:styleId="apple-converted-space">
    <w:name w:val="apple-converted-space"/>
    <w:basedOn w:val="DefaultParagraphFont"/>
    <w:rsid w:val="00CE4418"/>
  </w:style>
  <w:style w:type="character" w:styleId="Hyperlink">
    <w:name w:val="Hyperlink"/>
    <w:basedOn w:val="DefaultParagraphFont"/>
    <w:uiPriority w:val="99"/>
    <w:semiHidden/>
    <w:unhideWhenUsed/>
    <w:rsid w:val="00CE4418"/>
    <w:rPr>
      <w:color w:val="0000FF"/>
      <w:u w:val="single"/>
    </w:rPr>
  </w:style>
  <w:style w:type="character" w:customStyle="1" w:styleId="sep">
    <w:name w:val="sep"/>
    <w:basedOn w:val="DefaultParagraphFont"/>
    <w:rsid w:val="00CE4418"/>
  </w:style>
  <w:style w:type="paragraph" w:styleId="NormalWeb">
    <w:name w:val="Normal (Web)"/>
    <w:basedOn w:val="Normal"/>
    <w:uiPriority w:val="99"/>
    <w:semiHidden/>
    <w:unhideWhenUsed/>
    <w:rsid w:val="00CE4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edit">
    <w:name w:val="credit"/>
    <w:basedOn w:val="DefaultParagraphFont"/>
    <w:rsid w:val="00CE4418"/>
  </w:style>
  <w:style w:type="character" w:customStyle="1" w:styleId="caption">
    <w:name w:val="caption"/>
    <w:basedOn w:val="DefaultParagraphFont"/>
    <w:rsid w:val="00CE4418"/>
  </w:style>
  <w:style w:type="character" w:customStyle="1" w:styleId="vjs-control-text">
    <w:name w:val="vjs-control-text"/>
    <w:basedOn w:val="DefaultParagraphFont"/>
    <w:rsid w:val="00CE4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498386">
      <w:bodyDiv w:val="1"/>
      <w:marLeft w:val="0"/>
      <w:marRight w:val="0"/>
      <w:marTop w:val="0"/>
      <w:marBottom w:val="0"/>
      <w:divBdr>
        <w:top w:val="none" w:sz="0" w:space="0" w:color="auto"/>
        <w:left w:val="none" w:sz="0" w:space="0" w:color="auto"/>
        <w:bottom w:val="none" w:sz="0" w:space="0" w:color="auto"/>
        <w:right w:val="none" w:sz="0" w:space="0" w:color="auto"/>
      </w:divBdr>
      <w:divsChild>
        <w:div w:id="1030379798">
          <w:marLeft w:val="0"/>
          <w:marRight w:val="0"/>
          <w:marTop w:val="0"/>
          <w:marBottom w:val="225"/>
          <w:divBdr>
            <w:top w:val="none" w:sz="0" w:space="0" w:color="auto"/>
            <w:left w:val="none" w:sz="0" w:space="0" w:color="auto"/>
            <w:bottom w:val="none" w:sz="0" w:space="0" w:color="auto"/>
            <w:right w:val="none" w:sz="0" w:space="0" w:color="auto"/>
          </w:divBdr>
          <w:divsChild>
            <w:div w:id="731588449">
              <w:marLeft w:val="0"/>
              <w:marRight w:val="0"/>
              <w:marTop w:val="0"/>
              <w:marBottom w:val="0"/>
              <w:divBdr>
                <w:top w:val="none" w:sz="0" w:space="0" w:color="auto"/>
                <w:left w:val="none" w:sz="0" w:space="0" w:color="auto"/>
                <w:bottom w:val="none" w:sz="0" w:space="0" w:color="auto"/>
                <w:right w:val="none" w:sz="0" w:space="0" w:color="auto"/>
              </w:divBdr>
              <w:divsChild>
                <w:div w:id="1928535620">
                  <w:marLeft w:val="0"/>
                  <w:marRight w:val="0"/>
                  <w:marTop w:val="0"/>
                  <w:marBottom w:val="0"/>
                  <w:divBdr>
                    <w:top w:val="none" w:sz="0" w:space="0" w:color="auto"/>
                    <w:left w:val="none" w:sz="0" w:space="0" w:color="auto"/>
                    <w:bottom w:val="none" w:sz="0" w:space="0" w:color="auto"/>
                    <w:right w:val="none" w:sz="0" w:space="0" w:color="auto"/>
                  </w:divBdr>
                  <w:divsChild>
                    <w:div w:id="1105803965">
                      <w:marLeft w:val="0"/>
                      <w:marRight w:val="0"/>
                      <w:marTop w:val="0"/>
                      <w:marBottom w:val="75"/>
                      <w:divBdr>
                        <w:top w:val="none" w:sz="0" w:space="0" w:color="auto"/>
                        <w:left w:val="none" w:sz="0" w:space="0" w:color="auto"/>
                        <w:bottom w:val="none" w:sz="0" w:space="0" w:color="auto"/>
                        <w:right w:val="none" w:sz="0" w:space="0" w:color="auto"/>
                      </w:divBdr>
                      <w:divsChild>
                        <w:div w:id="585456374">
                          <w:marLeft w:val="0"/>
                          <w:marRight w:val="0"/>
                          <w:marTop w:val="0"/>
                          <w:marBottom w:val="0"/>
                          <w:divBdr>
                            <w:top w:val="none" w:sz="0" w:space="0" w:color="auto"/>
                            <w:left w:val="none" w:sz="0" w:space="0" w:color="auto"/>
                            <w:bottom w:val="none" w:sz="0" w:space="0" w:color="auto"/>
                            <w:right w:val="none" w:sz="0" w:space="0" w:color="auto"/>
                          </w:divBdr>
                        </w:div>
                      </w:divsChild>
                    </w:div>
                    <w:div w:id="833910881">
                      <w:marLeft w:val="0"/>
                      <w:marRight w:val="0"/>
                      <w:marTop w:val="0"/>
                      <w:marBottom w:val="75"/>
                      <w:divBdr>
                        <w:top w:val="none" w:sz="0" w:space="0" w:color="auto"/>
                        <w:left w:val="none" w:sz="0" w:space="0" w:color="auto"/>
                        <w:bottom w:val="none" w:sz="0" w:space="0" w:color="auto"/>
                        <w:right w:val="none" w:sz="0" w:space="0" w:color="auto"/>
                      </w:divBdr>
                      <w:divsChild>
                        <w:div w:id="390468567">
                          <w:marLeft w:val="0"/>
                          <w:marRight w:val="0"/>
                          <w:marTop w:val="0"/>
                          <w:marBottom w:val="0"/>
                          <w:divBdr>
                            <w:top w:val="none" w:sz="0" w:space="0" w:color="auto"/>
                            <w:left w:val="none" w:sz="0" w:space="0" w:color="auto"/>
                            <w:bottom w:val="none" w:sz="0" w:space="0" w:color="auto"/>
                            <w:right w:val="none" w:sz="0" w:space="0" w:color="auto"/>
                          </w:divBdr>
                        </w:div>
                      </w:divsChild>
                    </w:div>
                    <w:div w:id="576747198">
                      <w:marLeft w:val="0"/>
                      <w:marRight w:val="0"/>
                      <w:marTop w:val="0"/>
                      <w:marBottom w:val="75"/>
                      <w:divBdr>
                        <w:top w:val="none" w:sz="0" w:space="0" w:color="auto"/>
                        <w:left w:val="none" w:sz="0" w:space="0" w:color="auto"/>
                        <w:bottom w:val="none" w:sz="0" w:space="0" w:color="auto"/>
                        <w:right w:val="none" w:sz="0" w:space="0" w:color="auto"/>
                      </w:divBdr>
                      <w:divsChild>
                        <w:div w:id="1657295438">
                          <w:marLeft w:val="0"/>
                          <w:marRight w:val="0"/>
                          <w:marTop w:val="0"/>
                          <w:marBottom w:val="0"/>
                          <w:divBdr>
                            <w:top w:val="none" w:sz="0" w:space="0" w:color="auto"/>
                            <w:left w:val="none" w:sz="0" w:space="0" w:color="auto"/>
                            <w:bottom w:val="none" w:sz="0" w:space="0" w:color="auto"/>
                            <w:right w:val="none" w:sz="0" w:space="0" w:color="auto"/>
                          </w:divBdr>
                        </w:div>
                      </w:divsChild>
                    </w:div>
                    <w:div w:id="15934315">
                      <w:marLeft w:val="0"/>
                      <w:marRight w:val="0"/>
                      <w:marTop w:val="0"/>
                      <w:marBottom w:val="75"/>
                      <w:divBdr>
                        <w:top w:val="none" w:sz="0" w:space="0" w:color="auto"/>
                        <w:left w:val="none" w:sz="0" w:space="0" w:color="auto"/>
                        <w:bottom w:val="none" w:sz="0" w:space="0" w:color="auto"/>
                        <w:right w:val="none" w:sz="0" w:space="0" w:color="auto"/>
                      </w:divBdr>
                      <w:divsChild>
                        <w:div w:id="809906606">
                          <w:marLeft w:val="0"/>
                          <w:marRight w:val="0"/>
                          <w:marTop w:val="0"/>
                          <w:marBottom w:val="0"/>
                          <w:divBdr>
                            <w:top w:val="none" w:sz="0" w:space="0" w:color="auto"/>
                            <w:left w:val="none" w:sz="0" w:space="0" w:color="auto"/>
                            <w:bottom w:val="none" w:sz="0" w:space="0" w:color="auto"/>
                            <w:right w:val="none" w:sz="0" w:space="0" w:color="auto"/>
                          </w:divBdr>
                        </w:div>
                      </w:divsChild>
                    </w:div>
                    <w:div w:id="1956205016">
                      <w:marLeft w:val="0"/>
                      <w:marRight w:val="0"/>
                      <w:marTop w:val="0"/>
                      <w:marBottom w:val="75"/>
                      <w:divBdr>
                        <w:top w:val="none" w:sz="0" w:space="0" w:color="auto"/>
                        <w:left w:val="none" w:sz="0" w:space="0" w:color="auto"/>
                        <w:bottom w:val="none" w:sz="0" w:space="0" w:color="auto"/>
                        <w:right w:val="none" w:sz="0" w:space="0" w:color="auto"/>
                      </w:divBdr>
                      <w:divsChild>
                        <w:div w:id="232280905">
                          <w:marLeft w:val="0"/>
                          <w:marRight w:val="0"/>
                          <w:marTop w:val="0"/>
                          <w:marBottom w:val="0"/>
                          <w:divBdr>
                            <w:top w:val="none" w:sz="0" w:space="0" w:color="auto"/>
                            <w:left w:val="none" w:sz="0" w:space="0" w:color="auto"/>
                            <w:bottom w:val="none" w:sz="0" w:space="0" w:color="auto"/>
                            <w:right w:val="none" w:sz="0" w:space="0" w:color="auto"/>
                          </w:divBdr>
                        </w:div>
                        <w:div w:id="121269244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70947">
          <w:marLeft w:val="0"/>
          <w:marRight w:val="0"/>
          <w:marTop w:val="0"/>
          <w:marBottom w:val="0"/>
          <w:divBdr>
            <w:top w:val="none" w:sz="0" w:space="0" w:color="auto"/>
            <w:left w:val="none" w:sz="0" w:space="0" w:color="auto"/>
            <w:bottom w:val="none" w:sz="0" w:space="0" w:color="auto"/>
            <w:right w:val="none" w:sz="0" w:space="0" w:color="auto"/>
          </w:divBdr>
        </w:div>
        <w:div w:id="1279683984">
          <w:marLeft w:val="0"/>
          <w:marRight w:val="0"/>
          <w:marTop w:val="0"/>
          <w:marBottom w:val="0"/>
          <w:divBdr>
            <w:top w:val="none" w:sz="0" w:space="0" w:color="auto"/>
            <w:left w:val="none" w:sz="0" w:space="0" w:color="auto"/>
            <w:bottom w:val="none" w:sz="0" w:space="0" w:color="auto"/>
            <w:right w:val="none" w:sz="0" w:space="0" w:color="auto"/>
          </w:divBdr>
          <w:divsChild>
            <w:div w:id="1121416378">
              <w:marLeft w:val="0"/>
              <w:marRight w:val="0"/>
              <w:marTop w:val="0"/>
              <w:marBottom w:val="300"/>
              <w:divBdr>
                <w:top w:val="none" w:sz="0" w:space="0" w:color="auto"/>
                <w:left w:val="none" w:sz="0" w:space="0" w:color="auto"/>
                <w:bottom w:val="none" w:sz="0" w:space="0" w:color="auto"/>
                <w:right w:val="none" w:sz="0" w:space="0" w:color="auto"/>
              </w:divBdr>
              <w:divsChild>
                <w:div w:id="672991980">
                  <w:marLeft w:val="0"/>
                  <w:marRight w:val="0"/>
                  <w:marTop w:val="0"/>
                  <w:marBottom w:val="0"/>
                  <w:divBdr>
                    <w:top w:val="none" w:sz="0" w:space="0" w:color="auto"/>
                    <w:left w:val="none" w:sz="0" w:space="0" w:color="auto"/>
                    <w:bottom w:val="none" w:sz="0" w:space="0" w:color="auto"/>
                    <w:right w:val="none" w:sz="0" w:space="0" w:color="auto"/>
                  </w:divBdr>
                </w:div>
                <w:div w:id="142431153">
                  <w:marLeft w:val="0"/>
                  <w:marRight w:val="0"/>
                  <w:marTop w:val="0"/>
                  <w:marBottom w:val="0"/>
                  <w:divBdr>
                    <w:top w:val="none" w:sz="0" w:space="0" w:color="auto"/>
                    <w:left w:val="none" w:sz="0" w:space="0" w:color="auto"/>
                    <w:bottom w:val="none" w:sz="0" w:space="0" w:color="auto"/>
                    <w:right w:val="none" w:sz="0" w:space="0" w:color="auto"/>
                  </w:divBdr>
                </w:div>
                <w:div w:id="1033464002">
                  <w:marLeft w:val="0"/>
                  <w:marRight w:val="0"/>
                  <w:marTop w:val="0"/>
                  <w:marBottom w:val="0"/>
                  <w:divBdr>
                    <w:top w:val="none" w:sz="0" w:space="0" w:color="auto"/>
                    <w:left w:val="none" w:sz="0" w:space="0" w:color="auto"/>
                    <w:bottom w:val="none" w:sz="0" w:space="0" w:color="auto"/>
                    <w:right w:val="none" w:sz="0" w:space="0" w:color="auto"/>
                  </w:divBdr>
                </w:div>
                <w:div w:id="1301115149">
                  <w:marLeft w:val="0"/>
                  <w:marRight w:val="0"/>
                  <w:marTop w:val="0"/>
                  <w:marBottom w:val="0"/>
                  <w:divBdr>
                    <w:top w:val="none" w:sz="0" w:space="0" w:color="auto"/>
                    <w:left w:val="none" w:sz="0" w:space="0" w:color="auto"/>
                    <w:bottom w:val="none" w:sz="0" w:space="0" w:color="auto"/>
                    <w:right w:val="none" w:sz="0" w:space="0" w:color="auto"/>
                  </w:divBdr>
                  <w:divsChild>
                    <w:div w:id="1223560722">
                      <w:marLeft w:val="0"/>
                      <w:marRight w:val="0"/>
                      <w:marTop w:val="0"/>
                      <w:marBottom w:val="0"/>
                      <w:divBdr>
                        <w:top w:val="none" w:sz="0" w:space="0" w:color="auto"/>
                        <w:left w:val="none" w:sz="0" w:space="0" w:color="auto"/>
                        <w:bottom w:val="none" w:sz="0" w:space="0" w:color="auto"/>
                        <w:right w:val="none" w:sz="0" w:space="0" w:color="auto"/>
                      </w:divBdr>
                      <w:divsChild>
                        <w:div w:id="20025374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0468697">
                  <w:marLeft w:val="-180"/>
                  <w:marRight w:val="-180"/>
                  <w:marTop w:val="0"/>
                  <w:marBottom w:val="0"/>
                  <w:divBdr>
                    <w:top w:val="none" w:sz="0" w:space="0" w:color="auto"/>
                    <w:left w:val="none" w:sz="0" w:space="0" w:color="auto"/>
                    <w:bottom w:val="none" w:sz="0" w:space="0" w:color="auto"/>
                    <w:right w:val="none" w:sz="0" w:space="0" w:color="auto"/>
                  </w:divBdr>
                  <w:divsChild>
                    <w:div w:id="10835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3692">
              <w:marLeft w:val="0"/>
              <w:marRight w:val="0"/>
              <w:marTop w:val="0"/>
              <w:marBottom w:val="300"/>
              <w:divBdr>
                <w:top w:val="none" w:sz="0" w:space="0" w:color="auto"/>
                <w:left w:val="none" w:sz="0" w:space="0" w:color="auto"/>
                <w:bottom w:val="none" w:sz="0" w:space="0" w:color="auto"/>
                <w:right w:val="none" w:sz="0" w:space="0" w:color="auto"/>
              </w:divBdr>
              <w:divsChild>
                <w:div w:id="934557396">
                  <w:marLeft w:val="0"/>
                  <w:marRight w:val="0"/>
                  <w:marTop w:val="0"/>
                  <w:marBottom w:val="0"/>
                  <w:divBdr>
                    <w:top w:val="none" w:sz="0" w:space="0" w:color="auto"/>
                    <w:left w:val="none" w:sz="0" w:space="0" w:color="auto"/>
                    <w:bottom w:val="none" w:sz="0" w:space="0" w:color="auto"/>
                    <w:right w:val="none" w:sz="0" w:space="0" w:color="auto"/>
                  </w:divBdr>
                </w:div>
                <w:div w:id="112481828">
                  <w:marLeft w:val="0"/>
                  <w:marRight w:val="0"/>
                  <w:marTop w:val="0"/>
                  <w:marBottom w:val="0"/>
                  <w:divBdr>
                    <w:top w:val="none" w:sz="0" w:space="0" w:color="auto"/>
                    <w:left w:val="none" w:sz="0" w:space="0" w:color="auto"/>
                    <w:bottom w:val="none" w:sz="0" w:space="0" w:color="auto"/>
                    <w:right w:val="none" w:sz="0" w:space="0" w:color="auto"/>
                  </w:divBdr>
                </w:div>
                <w:div w:id="833766352">
                  <w:marLeft w:val="0"/>
                  <w:marRight w:val="0"/>
                  <w:marTop w:val="0"/>
                  <w:marBottom w:val="0"/>
                  <w:divBdr>
                    <w:top w:val="none" w:sz="0" w:space="0" w:color="auto"/>
                    <w:left w:val="none" w:sz="0" w:space="0" w:color="auto"/>
                    <w:bottom w:val="none" w:sz="0" w:space="0" w:color="auto"/>
                    <w:right w:val="none" w:sz="0" w:space="0" w:color="auto"/>
                  </w:divBdr>
                </w:div>
                <w:div w:id="1283418942">
                  <w:marLeft w:val="0"/>
                  <w:marRight w:val="0"/>
                  <w:marTop w:val="0"/>
                  <w:marBottom w:val="0"/>
                  <w:divBdr>
                    <w:top w:val="none" w:sz="0" w:space="0" w:color="auto"/>
                    <w:left w:val="none" w:sz="0" w:space="0" w:color="auto"/>
                    <w:bottom w:val="none" w:sz="0" w:space="0" w:color="auto"/>
                    <w:right w:val="none" w:sz="0" w:space="0" w:color="auto"/>
                  </w:divBdr>
                  <w:divsChild>
                    <w:div w:id="1928268322">
                      <w:marLeft w:val="0"/>
                      <w:marRight w:val="0"/>
                      <w:marTop w:val="0"/>
                      <w:marBottom w:val="0"/>
                      <w:divBdr>
                        <w:top w:val="none" w:sz="0" w:space="0" w:color="auto"/>
                        <w:left w:val="none" w:sz="0" w:space="0" w:color="auto"/>
                        <w:bottom w:val="none" w:sz="0" w:space="0" w:color="auto"/>
                        <w:right w:val="none" w:sz="0" w:space="0" w:color="auto"/>
                      </w:divBdr>
                      <w:divsChild>
                        <w:div w:id="6332191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05393482">
                  <w:marLeft w:val="-180"/>
                  <w:marRight w:val="-180"/>
                  <w:marTop w:val="0"/>
                  <w:marBottom w:val="0"/>
                  <w:divBdr>
                    <w:top w:val="none" w:sz="0" w:space="0" w:color="auto"/>
                    <w:left w:val="none" w:sz="0" w:space="0" w:color="auto"/>
                    <w:bottom w:val="none" w:sz="0" w:space="0" w:color="auto"/>
                    <w:right w:val="none" w:sz="0" w:space="0" w:color="auto"/>
                  </w:divBdr>
                  <w:divsChild>
                    <w:div w:id="1762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9120">
              <w:marLeft w:val="0"/>
              <w:marRight w:val="0"/>
              <w:marTop w:val="0"/>
              <w:marBottom w:val="0"/>
              <w:divBdr>
                <w:top w:val="none" w:sz="0" w:space="0" w:color="auto"/>
                <w:left w:val="none" w:sz="0" w:space="0" w:color="auto"/>
                <w:bottom w:val="none" w:sz="0" w:space="0" w:color="auto"/>
                <w:right w:val="none" w:sz="0" w:space="0" w:color="auto"/>
              </w:divBdr>
              <w:divsChild>
                <w:div w:id="328562962">
                  <w:marLeft w:val="0"/>
                  <w:marRight w:val="0"/>
                  <w:marTop w:val="0"/>
                  <w:marBottom w:val="0"/>
                  <w:divBdr>
                    <w:top w:val="none" w:sz="0" w:space="0" w:color="auto"/>
                    <w:left w:val="none" w:sz="0" w:space="0" w:color="auto"/>
                    <w:bottom w:val="none" w:sz="0" w:space="0" w:color="auto"/>
                    <w:right w:val="none" w:sz="0" w:space="0" w:color="auto"/>
                  </w:divBdr>
                  <w:divsChild>
                    <w:div w:id="19968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dailystar.co.uk/diet-fitness/497274/Drinking-alcohol-five-times-week-good-health-lower-risk-heart-disease-attack" TargetMode="External"/><Relationship Id="rId5" Type="http://schemas.openxmlformats.org/officeDocument/2006/relationships/image" Target="media/image1.png"/><Relationship Id="rId10" Type="http://schemas.openxmlformats.org/officeDocument/2006/relationships/hyperlink" Target="http://www.dailystar.co.uk/journalists/sarah-buchana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2017-05-17T11:34:00Z</dcterms:created>
  <dcterms:modified xsi:type="dcterms:W3CDTF">2017-05-17T11:37:00Z</dcterms:modified>
</cp:coreProperties>
</file>