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FFD" w:rsidRPr="00914FFD" w:rsidRDefault="00914FFD" w:rsidP="00914FF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1E1717"/>
          <w:sz w:val="56"/>
          <w:szCs w:val="96"/>
          <w:lang w:val="en-US"/>
        </w:rPr>
      </w:pPr>
      <w:r w:rsidRPr="00914FFD">
        <w:rPr>
          <w:rFonts w:ascii="Helvetica" w:hAnsi="Helvetica" w:cs="Helvetica"/>
          <w:b/>
          <w:bCs/>
          <w:color w:val="1E1717"/>
          <w:sz w:val="56"/>
          <w:szCs w:val="96"/>
          <w:lang w:val="en-US"/>
        </w:rPr>
        <w:t>Probiotic drinks: There is no evidence products benefit healthy adults, research claims</w:t>
      </w:r>
    </w:p>
    <w:p w:rsidR="00914FFD" w:rsidRDefault="00914FFD" w:rsidP="00914FF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E1717"/>
          <w:sz w:val="40"/>
          <w:szCs w:val="40"/>
          <w:lang w:val="en-US"/>
        </w:rPr>
      </w:pPr>
      <w:r>
        <w:rPr>
          <w:rFonts w:ascii="Helvetica" w:hAnsi="Helvetica" w:cs="Helvetica"/>
          <w:color w:val="1E1717"/>
          <w:sz w:val="40"/>
          <w:szCs w:val="40"/>
          <w:lang w:val="en-US"/>
        </w:rPr>
        <w:t>The probiotic market is worth an estimated £19.7 billion globally</w:t>
      </w:r>
    </w:p>
    <w:p w:rsidR="00914FFD" w:rsidRDefault="00914FFD" w:rsidP="00914F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757575"/>
          <w:sz w:val="28"/>
          <w:szCs w:val="28"/>
          <w:lang w:val="en-US"/>
        </w:rPr>
      </w:pPr>
      <w:r>
        <w:rPr>
          <w:rFonts w:ascii="Helvetica" w:hAnsi="Helvetica" w:cs="Helvetica"/>
          <w:color w:val="E40023"/>
          <w:kern w:val="1"/>
          <w:sz w:val="28"/>
          <w:szCs w:val="28"/>
          <w:lang w:val="en-US"/>
        </w:rPr>
        <w:tab/>
      </w:r>
      <w:r>
        <w:rPr>
          <w:rFonts w:ascii="Helvetica" w:hAnsi="Helvetica" w:cs="Helvetica"/>
          <w:color w:val="E40023"/>
          <w:kern w:val="1"/>
          <w:sz w:val="28"/>
          <w:szCs w:val="28"/>
          <w:lang w:val="en-US"/>
        </w:rPr>
        <w:tab/>
      </w:r>
      <w:hyperlink r:id="rId6" w:history="1">
        <w:r>
          <w:rPr>
            <w:rFonts w:ascii="Helvetica" w:hAnsi="Helvetica" w:cs="Helvetica"/>
            <w:color w:val="E40023"/>
            <w:sz w:val="28"/>
            <w:szCs w:val="28"/>
            <w:lang w:val="en-US"/>
          </w:rPr>
          <w:t>Siobhan Fenton</w:t>
        </w:r>
      </w:hyperlink>
    </w:p>
    <w:p w:rsidR="00914FFD" w:rsidRDefault="00914FFD" w:rsidP="00914F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right="120" w:hanging="720"/>
        <w:rPr>
          <w:rFonts w:ascii="Helvetica" w:hAnsi="Helvetica" w:cs="Helvetica"/>
          <w:color w:val="757575"/>
          <w:sz w:val="28"/>
          <w:szCs w:val="28"/>
          <w:lang w:val="en-US"/>
        </w:rPr>
      </w:pPr>
      <w:r>
        <w:rPr>
          <w:rFonts w:ascii="Helvetica" w:hAnsi="Helvetica" w:cs="Helvetica"/>
          <w:color w:val="E40023"/>
          <w:kern w:val="1"/>
          <w:sz w:val="28"/>
          <w:szCs w:val="28"/>
          <w:lang w:val="en-US"/>
        </w:rPr>
        <w:tab/>
      </w:r>
      <w:r>
        <w:rPr>
          <w:rFonts w:ascii="Helvetica" w:hAnsi="Helvetica" w:cs="Helvetica"/>
          <w:color w:val="E40023"/>
          <w:kern w:val="1"/>
          <w:sz w:val="28"/>
          <w:szCs w:val="28"/>
          <w:lang w:val="en-US"/>
        </w:rPr>
        <w:tab/>
      </w:r>
      <w:hyperlink r:id="rId7" w:history="1">
        <w:r>
          <w:rPr>
            <w:rFonts w:ascii="Helvetica" w:hAnsi="Helvetica" w:cs="Helvetica"/>
            <w:color w:val="E40023"/>
            <w:sz w:val="28"/>
            <w:szCs w:val="28"/>
            <w:lang w:val="en-US"/>
          </w:rPr>
          <w:t>@</w:t>
        </w:r>
        <w:proofErr w:type="spellStart"/>
        <w:proofErr w:type="gramStart"/>
        <w:r>
          <w:rPr>
            <w:rFonts w:ascii="Helvetica" w:hAnsi="Helvetica" w:cs="Helvetica"/>
            <w:color w:val="E40023"/>
            <w:sz w:val="28"/>
            <w:szCs w:val="28"/>
            <w:lang w:val="en-US"/>
          </w:rPr>
          <w:t>siobhanfenton</w:t>
        </w:r>
        <w:proofErr w:type="spellEnd"/>
        <w:proofErr w:type="gramEnd"/>
      </w:hyperlink>
    </w:p>
    <w:p w:rsidR="00914FFD" w:rsidRDefault="00914FFD" w:rsidP="00914F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right="120" w:hanging="720"/>
        <w:rPr>
          <w:rFonts w:ascii="Helvetica" w:hAnsi="Helvetica" w:cs="Helvetica"/>
          <w:color w:val="757575"/>
          <w:sz w:val="28"/>
          <w:szCs w:val="28"/>
          <w:lang w:val="en-US"/>
        </w:rPr>
      </w:pPr>
      <w:r>
        <w:rPr>
          <w:rFonts w:ascii="Helvetica" w:hAnsi="Helvetica" w:cs="Helvetica"/>
          <w:color w:val="757575"/>
          <w:kern w:val="1"/>
          <w:sz w:val="28"/>
          <w:szCs w:val="28"/>
          <w:lang w:val="en-US"/>
        </w:rPr>
        <w:tab/>
      </w:r>
      <w:r>
        <w:rPr>
          <w:rFonts w:ascii="Helvetica" w:hAnsi="Helvetica" w:cs="Helvetica"/>
          <w:color w:val="757575"/>
          <w:kern w:val="1"/>
          <w:sz w:val="28"/>
          <w:szCs w:val="28"/>
          <w:lang w:val="en-US"/>
        </w:rPr>
        <w:tab/>
      </w:r>
      <w:r>
        <w:rPr>
          <w:rFonts w:ascii="Helvetica" w:hAnsi="Helvetica" w:cs="Helvetica"/>
          <w:color w:val="757575"/>
          <w:sz w:val="28"/>
          <w:szCs w:val="28"/>
          <w:lang w:val="en-US"/>
        </w:rPr>
        <w:t>Tuesday 10 May 2016</w:t>
      </w:r>
    </w:p>
    <w:p w:rsidR="00914FFD" w:rsidRDefault="00914FFD" w:rsidP="00914F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right="120" w:hanging="720"/>
        <w:rPr>
          <w:rFonts w:ascii="Helvetica" w:hAnsi="Helvetica" w:cs="Helvetica"/>
          <w:color w:val="757575"/>
          <w:sz w:val="28"/>
          <w:szCs w:val="28"/>
          <w:lang w:val="en-US"/>
        </w:rPr>
      </w:pPr>
      <w:r>
        <w:rPr>
          <w:rFonts w:ascii="Helvetica" w:hAnsi="Helvetica" w:cs="Helvetica"/>
          <w:color w:val="E40023"/>
          <w:kern w:val="1"/>
          <w:sz w:val="28"/>
          <w:szCs w:val="28"/>
          <w:lang w:val="en-US"/>
        </w:rPr>
        <w:tab/>
      </w:r>
    </w:p>
    <w:p w:rsidR="00914FFD" w:rsidRDefault="00914FFD" w:rsidP="00914FF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E1717"/>
          <w:sz w:val="38"/>
          <w:szCs w:val="38"/>
          <w:lang w:val="en-US"/>
        </w:rPr>
      </w:pPr>
      <w:r>
        <w:rPr>
          <w:rFonts w:ascii="Helvetica" w:hAnsi="Helvetica" w:cs="Helvetica"/>
          <w:color w:val="1E1717"/>
          <w:sz w:val="38"/>
          <w:szCs w:val="38"/>
          <w:lang w:val="en-US"/>
        </w:rPr>
        <w:t>There is no evidence that probiotic products, such as health drinks and yogurts, have health benefits for healthy adults, research has claimed.</w:t>
      </w:r>
    </w:p>
    <w:p w:rsidR="00914FFD" w:rsidRDefault="00914FFD" w:rsidP="00914FF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E1717"/>
          <w:sz w:val="38"/>
          <w:szCs w:val="38"/>
          <w:lang w:val="en-US"/>
        </w:rPr>
      </w:pPr>
      <w:r>
        <w:rPr>
          <w:rFonts w:ascii="Helvetica" w:hAnsi="Helvetica" w:cs="Helvetica"/>
          <w:color w:val="1E1717"/>
          <w:sz w:val="38"/>
          <w:szCs w:val="38"/>
          <w:lang w:val="en-US"/>
        </w:rPr>
        <w:t xml:space="preserve">Researchers at the University of Copenhagen </w:t>
      </w:r>
      <w:hyperlink r:id="rId8" w:history="1">
        <w:r>
          <w:rPr>
            <w:rFonts w:ascii="Helvetica" w:hAnsi="Helvetica" w:cs="Helvetica"/>
            <w:color w:val="E40023"/>
            <w:sz w:val="38"/>
            <w:szCs w:val="38"/>
            <w:lang w:val="en-US"/>
          </w:rPr>
          <w:t>conducted a review</w:t>
        </w:r>
      </w:hyperlink>
      <w:r>
        <w:rPr>
          <w:rFonts w:ascii="Helvetica" w:hAnsi="Helvetica" w:cs="Helvetica"/>
          <w:color w:val="1E1717"/>
          <w:sz w:val="38"/>
          <w:szCs w:val="38"/>
          <w:lang w:val="en-US"/>
        </w:rPr>
        <w:t xml:space="preserve"> of seven studies of the products to evaluate whether they have health benefits. The systematic review concluded that there is no evidence that the products alter the composition of </w:t>
      </w:r>
      <w:proofErr w:type="spellStart"/>
      <w:r>
        <w:rPr>
          <w:rFonts w:ascii="Helvetica" w:hAnsi="Helvetica" w:cs="Helvetica"/>
          <w:color w:val="1E1717"/>
          <w:sz w:val="38"/>
          <w:szCs w:val="38"/>
          <w:lang w:val="en-US"/>
        </w:rPr>
        <w:t>faecal</w:t>
      </w:r>
      <w:proofErr w:type="spellEnd"/>
      <w:r>
        <w:rPr>
          <w:rFonts w:ascii="Helvetica" w:hAnsi="Helvetica" w:cs="Helvetica"/>
          <w:color w:val="1E1717"/>
          <w:sz w:val="38"/>
          <w:szCs w:val="38"/>
          <w:lang w:val="en-US"/>
        </w:rPr>
        <w:t xml:space="preserve"> bacteria in adults who are not suffering from an existing medical condition related to bacteria.</w:t>
      </w:r>
    </w:p>
    <w:p w:rsidR="00914FFD" w:rsidRDefault="00914FFD" w:rsidP="00914FF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E1717"/>
          <w:sz w:val="38"/>
          <w:szCs w:val="38"/>
          <w:lang w:val="en-US"/>
        </w:rPr>
      </w:pPr>
      <w:r>
        <w:rPr>
          <w:rFonts w:ascii="Helvetica" w:hAnsi="Helvetica" w:cs="Helvetica"/>
          <w:color w:val="1E1717"/>
          <w:sz w:val="38"/>
          <w:szCs w:val="38"/>
          <w:lang w:val="en-US"/>
        </w:rPr>
        <w:t xml:space="preserve">The review's authors conclude: "Overall, this systematic review demonstrates that there is no convincing evidence for consistent effects of probiotics on fecal </w:t>
      </w:r>
      <w:proofErr w:type="spellStart"/>
      <w:r>
        <w:rPr>
          <w:rFonts w:ascii="Helvetica" w:hAnsi="Helvetica" w:cs="Helvetica"/>
          <w:color w:val="1E1717"/>
          <w:sz w:val="38"/>
          <w:szCs w:val="38"/>
          <w:lang w:val="en-US"/>
        </w:rPr>
        <w:t>microbiotica</w:t>
      </w:r>
      <w:proofErr w:type="spellEnd"/>
      <w:r>
        <w:rPr>
          <w:rFonts w:ascii="Helvetica" w:hAnsi="Helvetica" w:cs="Helvetica"/>
          <w:color w:val="1E1717"/>
          <w:sz w:val="38"/>
          <w:szCs w:val="38"/>
          <w:lang w:val="en-US"/>
        </w:rPr>
        <w:t xml:space="preserve"> composition in healthy adults. No effects were observed on the fecal </w:t>
      </w:r>
      <w:proofErr w:type="spellStart"/>
      <w:r>
        <w:rPr>
          <w:rFonts w:ascii="Helvetica" w:hAnsi="Helvetica" w:cs="Helvetica"/>
          <w:color w:val="1E1717"/>
          <w:sz w:val="38"/>
          <w:szCs w:val="38"/>
          <w:lang w:val="en-US"/>
        </w:rPr>
        <w:t>microbiotica</w:t>
      </w:r>
      <w:proofErr w:type="spellEnd"/>
      <w:r>
        <w:rPr>
          <w:rFonts w:ascii="Helvetica" w:hAnsi="Helvetica" w:cs="Helvetica"/>
          <w:color w:val="1E1717"/>
          <w:sz w:val="38"/>
          <w:szCs w:val="38"/>
          <w:lang w:val="en-US"/>
        </w:rPr>
        <w:t xml:space="preserve"> composition in terms of a-diversity, richness, or evenness in any of the included studies when compared to a placebo."</w:t>
      </w:r>
    </w:p>
    <w:p w:rsidR="00914FFD" w:rsidRDefault="00914FFD" w:rsidP="00914FF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E1717"/>
          <w:sz w:val="38"/>
          <w:szCs w:val="38"/>
          <w:lang w:val="en-US"/>
        </w:rPr>
      </w:pPr>
      <w:r>
        <w:rPr>
          <w:rFonts w:ascii="Helvetica" w:hAnsi="Helvetica" w:cs="Helvetica"/>
          <w:color w:val="1E1717"/>
          <w:sz w:val="38"/>
          <w:szCs w:val="38"/>
          <w:lang w:val="en-US"/>
        </w:rPr>
        <w:t>The review notes that one study showed some benefits for people who already have an existing gastro-intestinal condition, but no notable improvement or positive effects were evident in healthy trial participants.</w:t>
      </w:r>
    </w:p>
    <w:p w:rsidR="00914FFD" w:rsidRDefault="00914FFD" w:rsidP="00914FF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E1717"/>
          <w:sz w:val="38"/>
          <w:szCs w:val="38"/>
          <w:lang w:val="en-US"/>
        </w:rPr>
      </w:pPr>
      <w:bookmarkStart w:id="0" w:name="_GoBack"/>
      <w:bookmarkEnd w:id="0"/>
      <w:r>
        <w:rPr>
          <w:rFonts w:ascii="Helvetica" w:hAnsi="Helvetica" w:cs="Helvetica"/>
          <w:color w:val="1E1717"/>
          <w:sz w:val="38"/>
          <w:szCs w:val="38"/>
          <w:lang w:val="en-US"/>
        </w:rPr>
        <w:t xml:space="preserve">The </w:t>
      </w:r>
      <w:proofErr w:type="spellStart"/>
      <w:r>
        <w:rPr>
          <w:rFonts w:ascii="Helvetica" w:hAnsi="Helvetica" w:cs="Helvetica"/>
          <w:color w:val="1E1717"/>
          <w:sz w:val="38"/>
          <w:szCs w:val="38"/>
          <w:lang w:val="en-US"/>
        </w:rPr>
        <w:t>priobiotic</w:t>
      </w:r>
      <w:proofErr w:type="spellEnd"/>
      <w:r>
        <w:rPr>
          <w:rFonts w:ascii="Helvetica" w:hAnsi="Helvetica" w:cs="Helvetica"/>
          <w:color w:val="1E1717"/>
          <w:sz w:val="38"/>
          <w:szCs w:val="38"/>
          <w:lang w:val="en-US"/>
        </w:rPr>
        <w:t xml:space="preserve"> market is valued at </w:t>
      </w:r>
      <w:hyperlink r:id="rId9" w:history="1">
        <w:r>
          <w:rPr>
            <w:rFonts w:ascii="Helvetica" w:hAnsi="Helvetica" w:cs="Helvetica"/>
            <w:color w:val="E40023"/>
            <w:sz w:val="38"/>
            <w:szCs w:val="38"/>
            <w:lang w:val="en-US"/>
          </w:rPr>
          <w:t>an estimated £19.7 billion worldwide</w:t>
        </w:r>
      </w:hyperlink>
      <w:r>
        <w:rPr>
          <w:rFonts w:ascii="Helvetica" w:hAnsi="Helvetica" w:cs="Helvetica"/>
          <w:color w:val="1E1717"/>
          <w:sz w:val="38"/>
          <w:szCs w:val="38"/>
          <w:lang w:val="en-US"/>
        </w:rPr>
        <w:t>.</w:t>
      </w:r>
    </w:p>
    <w:p w:rsidR="00487B85" w:rsidRDefault="00914FFD" w:rsidP="00914FFD">
      <w:r>
        <w:rPr>
          <w:rFonts w:ascii="Helvetica" w:hAnsi="Helvetica" w:cs="Helvetica"/>
          <w:color w:val="1E1717"/>
          <w:sz w:val="38"/>
          <w:szCs w:val="38"/>
          <w:lang w:val="en-US"/>
        </w:rPr>
        <w:t>In the UK, six in ten households regularly buy a probiotic food product such as health drinks or yogurt.</w:t>
      </w:r>
    </w:p>
    <w:sectPr w:rsidR="00487B85" w:rsidSect="00487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FD"/>
    <w:rsid w:val="00487B85"/>
    <w:rsid w:val="0091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EB0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FD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FD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ndependent.co.uk/author/siobhan-fenton" TargetMode="External"/><Relationship Id="rId7" Type="http://schemas.openxmlformats.org/officeDocument/2006/relationships/hyperlink" Target="https://twitter.com/siobhanfenton" TargetMode="External"/><Relationship Id="rId8" Type="http://schemas.openxmlformats.org/officeDocument/2006/relationships/hyperlink" Target="https://genomemedicine.biomedcentral.com/articles/10.1186/s13073-016-0300-5" TargetMode="External"/><Relationship Id="rId9" Type="http://schemas.openxmlformats.org/officeDocument/2006/relationships/hyperlink" Target="http://www.dailymail.co.uk/health/article-2752798/The-probiotic-drinks-don-t-bring-benefits-Study-finds-good-bacteria-products-does-not-reach-small-intestin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Macintosh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2016-08-16T09:57:00Z</dcterms:created>
  <dcterms:modified xsi:type="dcterms:W3CDTF">2016-08-16T09:57:00Z</dcterms:modified>
</cp:coreProperties>
</file>