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75" w:rsidRPr="00732C75" w:rsidRDefault="00732C75" w:rsidP="00732C75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732C75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Chronic conditions on rise in people over 50: Study</w:t>
      </w:r>
    </w:p>
    <w:p w:rsidR="00A132A5" w:rsidRDefault="00732C75" w:rsidP="00732C75">
      <w:pPr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</w:pPr>
      <w:r w:rsidRPr="00732C75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IANS </w:t>
      </w:r>
      <w:r w:rsidRPr="00732C75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732C75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Mar 2, 2016, 02.08PM IST</w:t>
      </w:r>
    </w:p>
    <w:p w:rsidR="00732C75" w:rsidRDefault="00732C75" w:rsidP="00732C75">
      <w:pPr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</w:pPr>
    </w:p>
    <w:p w:rsidR="00732C75" w:rsidRDefault="00732C75" w:rsidP="00732C75">
      <w:pPr>
        <w:rPr>
          <w:rFonts w:ascii="Georgia" w:hAnsi="Georgia"/>
          <w:color w:val="3F3F3F"/>
          <w:sz w:val="23"/>
          <w:szCs w:val="23"/>
          <w:shd w:val="clear" w:color="auto" w:fill="FFFFFF"/>
        </w:rPr>
      </w:pPr>
      <w:r>
        <w:rPr>
          <w:rFonts w:ascii="Georgia" w:hAnsi="Georgia"/>
          <w:color w:val="3F3F3F"/>
          <w:sz w:val="23"/>
          <w:szCs w:val="23"/>
          <w:shd w:val="clear" w:color="auto" w:fill="FFFFFF"/>
        </w:rPr>
        <w:t>A team of researchers, including one of Indian origin, has found that in the last decade there has been a ten percent rise in people above 50 with more than one chronic disease.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The findings showed percentage of older people with multiple conditions, including Type 2 diabetes, high blood pressure and arthritis steadily increased from 31.7 percent in 2002-03 to 43.1 percent in 2012-13.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"The prevalence of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multimorbidity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, where people have more than one chronic condition, in older adults is steadily increasing over time," said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Kamlesh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Khunti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from the University of Leicester in</w:t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London</w:t>
      </w:r>
    </w:p>
    <w:p w:rsidR="00732C75" w:rsidRDefault="00732C75" w:rsidP="00732C75">
      <w:pPr>
        <w:rPr>
          <w:rFonts w:ascii="Georgia" w:hAnsi="Georgia"/>
          <w:color w:val="3F3F3F"/>
          <w:sz w:val="23"/>
          <w:szCs w:val="23"/>
          <w:shd w:val="clear" w:color="auto" w:fill="FFFFFF"/>
        </w:rPr>
      </w:pPr>
    </w:p>
    <w:p w:rsidR="00732C75" w:rsidRDefault="00732C75" w:rsidP="00732C75"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"However, given the increase in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multimorbidity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over the past 10 years and the complex needs of these patients, clinical guidelines need to address the challenges in management of multi-morbidity and formulate best practices to guide clinical decision making for these patients,"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Khunti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added.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Researchers examined more than 15,000 people in England over 10 years.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The study showed there was an increasing trend in people aged over 50 developing a second or third disease adding further strain on health budgets amid a rise in long-term conditions and people living longer.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>"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Multimorbidity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has become one of the main challenges in the recent years for patients, health care providers and the health care systems globally," said another researcher,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Nafeesa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Dhalwani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, in the paper published in the International Journal of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Behavioral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Nutrition and Physical Activity.</w:t>
      </w:r>
      <w:r>
        <w:rPr>
          <w:rStyle w:val="apple-converted-space"/>
          <w:rFonts w:ascii="Georgia" w:hAnsi="Georgia"/>
          <w:color w:val="3F3F3F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</w:rPr>
        <w:br/>
      </w:r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"Physical activity is recommended as one of the main lifestyle changes in the prevention and management of multiple chronic diseases worldwide, however, the evidence on its association with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multimorbidity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remains inconclusive," </w:t>
      </w:r>
      <w:proofErr w:type="spellStart"/>
      <w:r>
        <w:rPr>
          <w:rFonts w:ascii="Georgia" w:hAnsi="Georgia"/>
          <w:color w:val="3F3F3F"/>
          <w:sz w:val="23"/>
          <w:szCs w:val="23"/>
          <w:shd w:val="clear" w:color="auto" w:fill="FFFFFF"/>
        </w:rPr>
        <w:t>Dhalwani</w:t>
      </w:r>
      <w:proofErr w:type="spellEnd"/>
      <w:r>
        <w:rPr>
          <w:rFonts w:ascii="Georgia" w:hAnsi="Georgia"/>
          <w:color w:val="3F3F3F"/>
          <w:sz w:val="23"/>
          <w:szCs w:val="23"/>
          <w:shd w:val="clear" w:color="auto" w:fill="FFFFFF"/>
        </w:rPr>
        <w:t xml:space="preserve"> said.</w:t>
      </w:r>
      <w:bookmarkStart w:id="0" w:name="_GoBack"/>
      <w:bookmarkEnd w:id="0"/>
    </w:p>
    <w:sectPr w:rsidR="0073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75"/>
    <w:rsid w:val="00732C75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5704-4F2B-4699-A9C0-AB6E276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732C75"/>
  </w:style>
  <w:style w:type="character" w:customStyle="1" w:styleId="apple-converted-space">
    <w:name w:val="apple-converted-space"/>
    <w:basedOn w:val="DefaultParagraphFont"/>
    <w:rsid w:val="0073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2016-05-26T15:56:00Z</dcterms:created>
  <dcterms:modified xsi:type="dcterms:W3CDTF">2016-05-26T16:06:00Z</dcterms:modified>
</cp:coreProperties>
</file>