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44E" w:rsidRPr="0076644E" w:rsidRDefault="0076644E" w:rsidP="0076644E">
      <w:pPr>
        <w:spacing w:after="0" w:line="240" w:lineRule="auto"/>
        <w:rPr>
          <w:rFonts w:ascii="Helvetica" w:eastAsia="Times New Roman" w:hAnsi="Helvetica" w:cs="Helvetica"/>
          <w:b/>
          <w:bCs/>
          <w:caps/>
          <w:color w:val="333333"/>
          <w:sz w:val="19"/>
          <w:szCs w:val="19"/>
          <w:lang w:val="en" w:eastAsia="en-GB"/>
        </w:rPr>
      </w:pPr>
      <w:bookmarkStart w:id="0" w:name="_GoBack"/>
      <w:bookmarkEnd w:id="0"/>
      <w:r w:rsidRPr="0076644E">
        <w:rPr>
          <w:rFonts w:ascii="Helvetica" w:eastAsia="Times New Roman" w:hAnsi="Helvetica" w:cs="Helvetica"/>
          <w:b/>
          <w:bCs/>
          <w:caps/>
          <w:color w:val="333333"/>
          <w:sz w:val="19"/>
          <w:szCs w:val="19"/>
          <w:lang w:val="en" w:eastAsia="en-GB"/>
        </w:rPr>
        <w:t>Public Release: 24-Nov-2015</w:t>
      </w:r>
    </w:p>
    <w:p w:rsidR="0076644E" w:rsidRPr="0076644E" w:rsidRDefault="0076644E" w:rsidP="0076644E">
      <w:pPr>
        <w:spacing w:before="375" w:after="375" w:line="240" w:lineRule="auto"/>
        <w:outlineLvl w:val="0"/>
        <w:rPr>
          <w:rFonts w:ascii="inherit" w:eastAsia="Times New Roman" w:hAnsi="inherit" w:cs="Helvetica"/>
          <w:color w:val="333333"/>
          <w:spacing w:val="-5"/>
          <w:kern w:val="36"/>
          <w:sz w:val="51"/>
          <w:szCs w:val="51"/>
          <w:lang w:val="en" w:eastAsia="en-GB"/>
        </w:rPr>
      </w:pPr>
      <w:r w:rsidRPr="0076644E">
        <w:rPr>
          <w:rFonts w:ascii="inherit" w:eastAsia="Times New Roman" w:hAnsi="inherit" w:cs="Helvetica"/>
          <w:color w:val="333333"/>
          <w:spacing w:val="-5"/>
          <w:kern w:val="36"/>
          <w:sz w:val="51"/>
          <w:szCs w:val="51"/>
          <w:lang w:val="en" w:eastAsia="en-GB"/>
        </w:rPr>
        <w:t xml:space="preserve">European folic acid policy is failing to prevent many neural tube defects, warn experts </w:t>
      </w:r>
    </w:p>
    <w:p w:rsidR="0076644E" w:rsidRPr="0076644E" w:rsidRDefault="0076644E" w:rsidP="0076644E">
      <w:pPr>
        <w:spacing w:line="240" w:lineRule="auto"/>
        <w:rPr>
          <w:rFonts w:ascii="Helvetica" w:eastAsia="Times New Roman" w:hAnsi="Helvetica" w:cs="Helvetica"/>
          <w:color w:val="333333"/>
          <w:sz w:val="20"/>
          <w:szCs w:val="20"/>
          <w:lang w:val="en" w:eastAsia="en-GB"/>
        </w:rPr>
      </w:pPr>
      <w:r w:rsidRPr="0076644E">
        <w:rPr>
          <w:rFonts w:ascii="Helvetica" w:eastAsia="Times New Roman" w:hAnsi="Helvetica" w:cs="Helvetica"/>
          <w:color w:val="333333"/>
          <w:sz w:val="20"/>
          <w:szCs w:val="20"/>
          <w:lang w:val="en" w:eastAsia="en-GB"/>
        </w:rPr>
        <w:t>Study finds no clear evidence of a downward trend in neural tube defects over 20 year period</w:t>
      </w:r>
    </w:p>
    <w:p w:rsidR="0076644E" w:rsidRDefault="0076644E" w:rsidP="0076644E">
      <w:pPr>
        <w:pStyle w:val="NormalWeb"/>
        <w:rPr>
          <w:rFonts w:ascii="Open Sans" w:hAnsi="Open Sans" w:cs="Helvetica"/>
          <w:color w:val="333333"/>
          <w:sz w:val="20"/>
          <w:szCs w:val="20"/>
          <w:lang w:val="en"/>
        </w:rPr>
      </w:pPr>
      <w:r>
        <w:rPr>
          <w:rFonts w:ascii="Open Sans" w:hAnsi="Open Sans" w:cs="Helvetica"/>
          <w:color w:val="333333"/>
          <w:sz w:val="20"/>
          <w:szCs w:val="20"/>
          <w:lang w:val="en"/>
        </w:rPr>
        <w:t xml:space="preserve">The prevalence of neural tube defects in Europe has not declined substantially in the past 20 years, despite long-standing recommendations for women to take folic acid supplements if planning a pregnancy, finds a study in </w:t>
      </w:r>
      <w:r>
        <w:rPr>
          <w:rStyle w:val="Emphasis"/>
          <w:rFonts w:ascii="Open Sans" w:hAnsi="Open Sans" w:cs="Helvetica"/>
          <w:color w:val="333333"/>
          <w:sz w:val="20"/>
          <w:szCs w:val="20"/>
          <w:lang w:val="en"/>
        </w:rPr>
        <w:t>The BMJ</w:t>
      </w:r>
      <w:r>
        <w:rPr>
          <w:rFonts w:ascii="Open Sans" w:hAnsi="Open Sans" w:cs="Helvetica"/>
          <w:color w:val="333333"/>
          <w:sz w:val="20"/>
          <w:szCs w:val="20"/>
          <w:lang w:val="en"/>
        </w:rPr>
        <w:t xml:space="preserve"> today.</w:t>
      </w:r>
    </w:p>
    <w:p w:rsidR="0076644E" w:rsidRDefault="0076644E" w:rsidP="0076644E">
      <w:pPr>
        <w:pStyle w:val="NormalWeb"/>
        <w:rPr>
          <w:rFonts w:ascii="Open Sans" w:hAnsi="Open Sans" w:cs="Helvetica"/>
          <w:color w:val="333333"/>
          <w:sz w:val="20"/>
          <w:szCs w:val="20"/>
          <w:lang w:val="en"/>
        </w:rPr>
      </w:pPr>
      <w:r>
        <w:rPr>
          <w:rFonts w:ascii="Open Sans" w:hAnsi="Open Sans" w:cs="Helvetica"/>
          <w:color w:val="333333"/>
          <w:sz w:val="20"/>
          <w:szCs w:val="20"/>
          <w:lang w:val="en"/>
        </w:rPr>
        <w:t>Europe has failed to implement an effective policy for prevention of neural tube defects by folic acid, argue the researchers.</w:t>
      </w:r>
    </w:p>
    <w:p w:rsidR="0076644E" w:rsidRDefault="0076644E" w:rsidP="0076644E">
      <w:pPr>
        <w:pStyle w:val="NormalWeb"/>
        <w:rPr>
          <w:rFonts w:ascii="Open Sans" w:hAnsi="Open Sans" w:cs="Helvetica"/>
          <w:color w:val="333333"/>
          <w:sz w:val="20"/>
          <w:szCs w:val="20"/>
          <w:lang w:val="en"/>
        </w:rPr>
      </w:pPr>
      <w:r>
        <w:rPr>
          <w:rFonts w:ascii="Open Sans" w:hAnsi="Open Sans" w:cs="Helvetica"/>
          <w:color w:val="333333"/>
          <w:sz w:val="20"/>
          <w:szCs w:val="20"/>
          <w:lang w:val="en"/>
        </w:rPr>
        <w:t xml:space="preserve">Each year, around 5,000 pregnancies in Europe are affected by neural tube defects like spina bifida and anencephaly (problems with brain and skull formation), with serious consequences for newborns and their families. Taking folic acid supplements before and during early pregnancy can greatly reduce the risk, but evidence suggests that only a small minority of women do so - and mandatory fortification </w:t>
      </w:r>
      <w:proofErr w:type="spellStart"/>
      <w:r>
        <w:rPr>
          <w:rFonts w:ascii="Open Sans" w:hAnsi="Open Sans" w:cs="Helvetica"/>
          <w:color w:val="333333"/>
          <w:sz w:val="20"/>
          <w:szCs w:val="20"/>
          <w:lang w:val="en"/>
        </w:rPr>
        <w:t>programmes</w:t>
      </w:r>
      <w:proofErr w:type="spellEnd"/>
      <w:r>
        <w:rPr>
          <w:rFonts w:ascii="Open Sans" w:hAnsi="Open Sans" w:cs="Helvetica"/>
          <w:color w:val="333333"/>
          <w:sz w:val="20"/>
          <w:szCs w:val="20"/>
          <w:lang w:val="en"/>
        </w:rPr>
        <w:t xml:space="preserve"> do not yet exist in Europe.</w:t>
      </w:r>
    </w:p>
    <w:p w:rsidR="0076644E" w:rsidRDefault="0076644E" w:rsidP="0076644E">
      <w:pPr>
        <w:pStyle w:val="NormalWeb"/>
        <w:rPr>
          <w:rFonts w:ascii="Open Sans" w:hAnsi="Open Sans" w:cs="Helvetica"/>
          <w:color w:val="333333"/>
          <w:sz w:val="20"/>
          <w:szCs w:val="20"/>
          <w:lang w:val="en"/>
        </w:rPr>
      </w:pPr>
      <w:r>
        <w:rPr>
          <w:rFonts w:ascii="Open Sans" w:hAnsi="Open Sans" w:cs="Helvetica"/>
          <w:color w:val="333333"/>
          <w:sz w:val="20"/>
          <w:szCs w:val="20"/>
          <w:lang w:val="en"/>
        </w:rPr>
        <w:t>So a team of researchers set out to assess the long term trends in neural tube defects in Europe.</w:t>
      </w:r>
    </w:p>
    <w:p w:rsidR="0076644E" w:rsidRDefault="0076644E" w:rsidP="0076644E">
      <w:pPr>
        <w:pStyle w:val="NormalWeb"/>
        <w:rPr>
          <w:rFonts w:ascii="Open Sans" w:hAnsi="Open Sans" w:cs="Helvetica"/>
          <w:color w:val="333333"/>
          <w:sz w:val="20"/>
          <w:szCs w:val="20"/>
          <w:lang w:val="en"/>
        </w:rPr>
      </w:pPr>
      <w:r>
        <w:rPr>
          <w:rFonts w:ascii="Open Sans" w:hAnsi="Open Sans" w:cs="Helvetica"/>
          <w:color w:val="333333"/>
          <w:sz w:val="20"/>
          <w:szCs w:val="20"/>
          <w:lang w:val="en"/>
        </w:rPr>
        <w:t xml:space="preserve">They analysed data for more than 11,000 cases of non-chromosomal neural tube defects from 28 EUROCAT (European Surveillance of Congenital Anomalies) registries covering approximately 12.5 million births in 19 countries between 1991 and 2011. </w:t>
      </w:r>
    </w:p>
    <w:p w:rsidR="0076644E" w:rsidRDefault="0076644E" w:rsidP="0076644E">
      <w:pPr>
        <w:pStyle w:val="NormalWeb"/>
        <w:rPr>
          <w:rFonts w:ascii="Open Sans" w:hAnsi="Open Sans" w:cs="Helvetica"/>
          <w:color w:val="333333"/>
          <w:sz w:val="20"/>
          <w:szCs w:val="20"/>
          <w:lang w:val="en"/>
        </w:rPr>
      </w:pPr>
      <w:r>
        <w:rPr>
          <w:rFonts w:ascii="Open Sans" w:hAnsi="Open Sans" w:cs="Helvetica"/>
          <w:color w:val="333333"/>
          <w:sz w:val="20"/>
          <w:szCs w:val="20"/>
          <w:lang w:val="en"/>
        </w:rPr>
        <w:t>Mathematical models were also used to account for differences across registries and to calculate non-linear time trends.</w:t>
      </w:r>
    </w:p>
    <w:p w:rsidR="0076644E" w:rsidRDefault="0076644E" w:rsidP="0076644E">
      <w:pPr>
        <w:pStyle w:val="NormalWeb"/>
        <w:rPr>
          <w:rFonts w:ascii="Open Sans" w:hAnsi="Open Sans" w:cs="Helvetica"/>
          <w:color w:val="333333"/>
          <w:sz w:val="20"/>
          <w:szCs w:val="20"/>
          <w:lang w:val="en"/>
        </w:rPr>
      </w:pPr>
      <w:r>
        <w:rPr>
          <w:rFonts w:ascii="Open Sans" w:hAnsi="Open Sans" w:cs="Helvetica"/>
          <w:color w:val="333333"/>
          <w:sz w:val="20"/>
          <w:szCs w:val="20"/>
          <w:lang w:val="en"/>
        </w:rPr>
        <w:t>They found that the overall (pooled) total prevalence of neural tube defects in 2011 was fairly similar to that in 1991 (9 per 10,000 births). This was also true for the two main types of anomaly, anencephaly and spina bifida.</w:t>
      </w:r>
    </w:p>
    <w:p w:rsidR="0076644E" w:rsidRDefault="0076644E" w:rsidP="0076644E">
      <w:pPr>
        <w:pStyle w:val="NormalWeb"/>
        <w:rPr>
          <w:rFonts w:ascii="Open Sans" w:hAnsi="Open Sans" w:cs="Helvetica"/>
          <w:color w:val="333333"/>
          <w:sz w:val="20"/>
          <w:szCs w:val="20"/>
          <w:lang w:val="en"/>
        </w:rPr>
      </w:pPr>
      <w:r>
        <w:rPr>
          <w:rFonts w:ascii="Open Sans" w:hAnsi="Open Sans" w:cs="Helvetica"/>
          <w:color w:val="333333"/>
          <w:sz w:val="20"/>
          <w:szCs w:val="20"/>
          <w:lang w:val="en"/>
        </w:rPr>
        <w:t>Estimates from models that took into account differences across registries showed an annual increase of 4% in 1995-99 and a decrease of 3% per year in 1999-2003, with stable rates thereafter.</w:t>
      </w:r>
    </w:p>
    <w:p w:rsidR="0076644E" w:rsidRDefault="0076644E" w:rsidP="0076644E">
      <w:pPr>
        <w:pStyle w:val="NormalWeb"/>
        <w:rPr>
          <w:rFonts w:ascii="Open Sans" w:hAnsi="Open Sans" w:cs="Helvetica"/>
          <w:color w:val="333333"/>
          <w:sz w:val="20"/>
          <w:szCs w:val="20"/>
          <w:lang w:val="en"/>
        </w:rPr>
      </w:pPr>
      <w:r>
        <w:rPr>
          <w:rFonts w:ascii="Open Sans" w:hAnsi="Open Sans" w:cs="Helvetica"/>
          <w:color w:val="333333"/>
          <w:sz w:val="20"/>
          <w:szCs w:val="20"/>
          <w:lang w:val="en"/>
        </w:rPr>
        <w:t>The trend patterns for spina bifida and anencephaly were similar, but neither anomaly decreased substantially over time.</w:t>
      </w:r>
    </w:p>
    <w:p w:rsidR="0076644E" w:rsidRDefault="0076644E" w:rsidP="0076644E">
      <w:pPr>
        <w:pStyle w:val="NormalWeb"/>
        <w:rPr>
          <w:rFonts w:ascii="Open Sans" w:hAnsi="Open Sans" w:cs="Helvetica"/>
          <w:color w:val="333333"/>
          <w:sz w:val="20"/>
          <w:szCs w:val="20"/>
          <w:lang w:val="en"/>
        </w:rPr>
      </w:pPr>
      <w:r w:rsidRPr="003554AF">
        <w:rPr>
          <w:rFonts w:ascii="Open Sans" w:hAnsi="Open Sans" w:cs="Helvetica"/>
          <w:color w:val="333333"/>
          <w:sz w:val="20"/>
          <w:szCs w:val="20"/>
          <w:u w:val="single"/>
          <w:lang w:val="en"/>
        </w:rPr>
        <w:t>The authors stress that this is an observational study so no definitive conclusions can be drawn about cause and effect, and say they cannot exclude the possibility that registration problems or other data factors may have influenced the findings</w:t>
      </w:r>
      <w:r>
        <w:rPr>
          <w:rFonts w:ascii="Open Sans" w:hAnsi="Open Sans" w:cs="Helvetica"/>
          <w:color w:val="333333"/>
          <w:sz w:val="20"/>
          <w:szCs w:val="20"/>
          <w:lang w:val="en"/>
        </w:rPr>
        <w:t>.</w:t>
      </w:r>
    </w:p>
    <w:p w:rsidR="0076644E" w:rsidRDefault="0076644E" w:rsidP="0076644E">
      <w:pPr>
        <w:pStyle w:val="NormalWeb"/>
        <w:rPr>
          <w:rFonts w:ascii="Open Sans" w:hAnsi="Open Sans" w:cs="Helvetica"/>
          <w:color w:val="333333"/>
          <w:sz w:val="20"/>
          <w:szCs w:val="20"/>
          <w:lang w:val="en"/>
        </w:rPr>
      </w:pPr>
      <w:r>
        <w:rPr>
          <w:rFonts w:ascii="Open Sans" w:hAnsi="Open Sans" w:cs="Helvetica"/>
          <w:color w:val="333333"/>
          <w:sz w:val="20"/>
          <w:szCs w:val="20"/>
          <w:lang w:val="en"/>
        </w:rPr>
        <w:t>However, they say their data suggest that "recommendations, voluntary fortification, or both have not been effective in decreasing the prevalence of neural tube defects in Europe."</w:t>
      </w:r>
    </w:p>
    <w:p w:rsidR="0076644E" w:rsidRDefault="0076644E" w:rsidP="0076644E">
      <w:pPr>
        <w:pStyle w:val="NormalWeb"/>
        <w:rPr>
          <w:rFonts w:ascii="Open Sans" w:hAnsi="Open Sans" w:cs="Helvetica"/>
          <w:color w:val="333333"/>
          <w:sz w:val="20"/>
          <w:szCs w:val="20"/>
          <w:lang w:val="en"/>
        </w:rPr>
      </w:pPr>
      <w:r w:rsidRPr="003554AF">
        <w:rPr>
          <w:rFonts w:ascii="Open Sans" w:hAnsi="Open Sans" w:cs="Helvetica"/>
          <w:color w:val="333333"/>
          <w:sz w:val="20"/>
          <w:szCs w:val="20"/>
          <w:u w:val="single"/>
          <w:lang w:val="en"/>
        </w:rPr>
        <w:t>They add that policies for mandatory fortification of food staples with folic acid "should be considered as an important and more effective means for prevention of neural tube defects, while weighing the evidence for its proven benefits and possible risks</w:t>
      </w:r>
      <w:r>
        <w:rPr>
          <w:rFonts w:ascii="Open Sans" w:hAnsi="Open Sans" w:cs="Helvetica"/>
          <w:color w:val="333333"/>
          <w:sz w:val="20"/>
          <w:szCs w:val="20"/>
          <w:lang w:val="en"/>
        </w:rPr>
        <w:t>."</w:t>
      </w:r>
    </w:p>
    <w:p w:rsidR="0076644E" w:rsidRDefault="0076644E" w:rsidP="0076644E">
      <w:pPr>
        <w:pStyle w:val="NormalWeb"/>
        <w:rPr>
          <w:rFonts w:ascii="Open Sans" w:hAnsi="Open Sans" w:cs="Helvetica"/>
          <w:color w:val="333333"/>
          <w:sz w:val="20"/>
          <w:szCs w:val="20"/>
          <w:lang w:val="en"/>
        </w:rPr>
      </w:pPr>
      <w:r>
        <w:rPr>
          <w:rFonts w:ascii="Open Sans" w:hAnsi="Open Sans" w:cs="Helvetica"/>
          <w:color w:val="333333"/>
          <w:sz w:val="20"/>
          <w:szCs w:val="20"/>
          <w:lang w:val="en"/>
        </w:rPr>
        <w:t>Voluntary guidance for women isn't working and Europe should seriously consider mandatory fortification, argue researchers at the US National Institutes of Health, in an accompanying editorial.</w:t>
      </w:r>
    </w:p>
    <w:p w:rsidR="0076644E" w:rsidRDefault="0076644E" w:rsidP="0076644E">
      <w:pPr>
        <w:pStyle w:val="NormalWeb"/>
        <w:rPr>
          <w:rFonts w:ascii="Open Sans" w:hAnsi="Open Sans" w:cs="Helvetica"/>
          <w:color w:val="333333"/>
          <w:sz w:val="20"/>
          <w:szCs w:val="20"/>
          <w:lang w:val="en"/>
        </w:rPr>
      </w:pPr>
      <w:r>
        <w:rPr>
          <w:rFonts w:ascii="Open Sans" w:hAnsi="Open Sans" w:cs="Helvetica"/>
          <w:color w:val="333333"/>
          <w:sz w:val="20"/>
          <w:szCs w:val="20"/>
          <w:lang w:val="en"/>
        </w:rPr>
        <w:t xml:space="preserve">They point out that mandatory fortification has been shown to work in many countries, including the United States, and no important adverse effects have been identified to date. </w:t>
      </w:r>
    </w:p>
    <w:p w:rsidR="0076644E" w:rsidRDefault="0076644E" w:rsidP="0076644E">
      <w:pPr>
        <w:pStyle w:val="NormalWeb"/>
        <w:rPr>
          <w:rFonts w:ascii="Open Sans" w:hAnsi="Open Sans" w:cs="Helvetica"/>
          <w:color w:val="333333"/>
          <w:sz w:val="20"/>
          <w:szCs w:val="20"/>
          <w:lang w:val="en"/>
        </w:rPr>
      </w:pPr>
      <w:r>
        <w:rPr>
          <w:rFonts w:ascii="Open Sans" w:hAnsi="Open Sans" w:cs="Helvetica"/>
          <w:color w:val="333333"/>
          <w:sz w:val="20"/>
          <w:szCs w:val="20"/>
          <w:lang w:val="en"/>
        </w:rPr>
        <w:t xml:space="preserve">Today's findings "should prompt the relevant authorities in the EU to take a further look at the compulsory fortification option," they conclude. </w:t>
      </w:r>
    </w:p>
    <w:p w:rsidR="0076644E" w:rsidRDefault="0076644E" w:rsidP="0076644E">
      <w:pPr>
        <w:pStyle w:val="NormalWeb"/>
        <w:jc w:val="center"/>
        <w:rPr>
          <w:rFonts w:ascii="Open Sans" w:hAnsi="Open Sans" w:cs="Helvetica"/>
          <w:color w:val="333333"/>
          <w:sz w:val="20"/>
          <w:szCs w:val="20"/>
          <w:lang w:val="en"/>
        </w:rPr>
      </w:pPr>
      <w:r>
        <w:rPr>
          <w:rFonts w:ascii="Open Sans" w:hAnsi="Open Sans" w:cs="Helvetica"/>
          <w:color w:val="333333"/>
          <w:sz w:val="20"/>
          <w:szCs w:val="20"/>
          <w:lang w:val="en"/>
        </w:rPr>
        <w:t>###</w:t>
      </w:r>
    </w:p>
    <w:p w:rsidR="001571F2" w:rsidRDefault="001571F2"/>
    <w:sectPr w:rsidR="001571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Open San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44E"/>
    <w:rsid w:val="000456F1"/>
    <w:rsid w:val="001571F2"/>
    <w:rsid w:val="003554AF"/>
    <w:rsid w:val="0076644E"/>
    <w:rsid w:val="00D9419D"/>
    <w:rsid w:val="00DE06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537379-96EE-4082-96EA-EA1121C2B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6644E"/>
    <w:pPr>
      <w:spacing w:before="300" w:after="150" w:line="240" w:lineRule="auto"/>
      <w:outlineLvl w:val="0"/>
    </w:pPr>
    <w:rPr>
      <w:rFonts w:ascii="inherit" w:eastAsia="Times New Roman" w:hAnsi="inherit" w:cs="Times New Roman"/>
      <w:b/>
      <w:bCs/>
      <w:kern w:val="36"/>
      <w:sz w:val="51"/>
      <w:szCs w:val="51"/>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44E"/>
    <w:rPr>
      <w:rFonts w:ascii="inherit" w:eastAsia="Times New Roman" w:hAnsi="inherit" w:cs="Times New Roman"/>
      <w:b/>
      <w:bCs/>
      <w:kern w:val="36"/>
      <w:sz w:val="51"/>
      <w:szCs w:val="51"/>
      <w:lang w:eastAsia="en-GB"/>
    </w:rPr>
  </w:style>
  <w:style w:type="paragraph" w:customStyle="1" w:styleId="summary">
    <w:name w:val="summary"/>
    <w:basedOn w:val="Normal"/>
    <w:rsid w:val="0076644E"/>
    <w:pPr>
      <w:spacing w:after="150"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76644E"/>
    <w:pPr>
      <w:spacing w:after="150"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7664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598541">
      <w:bodyDiv w:val="1"/>
      <w:marLeft w:val="0"/>
      <w:marRight w:val="0"/>
      <w:marTop w:val="0"/>
      <w:marBottom w:val="3390"/>
      <w:divBdr>
        <w:top w:val="none" w:sz="0" w:space="0" w:color="auto"/>
        <w:left w:val="none" w:sz="0" w:space="0" w:color="auto"/>
        <w:bottom w:val="none" w:sz="0" w:space="0" w:color="auto"/>
        <w:right w:val="none" w:sz="0" w:space="0" w:color="auto"/>
      </w:divBdr>
      <w:divsChild>
        <w:div w:id="810095258">
          <w:marLeft w:val="0"/>
          <w:marRight w:val="0"/>
          <w:marTop w:val="0"/>
          <w:marBottom w:val="0"/>
          <w:divBdr>
            <w:top w:val="none" w:sz="0" w:space="0" w:color="auto"/>
            <w:left w:val="none" w:sz="0" w:space="0" w:color="auto"/>
            <w:bottom w:val="none" w:sz="0" w:space="0" w:color="auto"/>
            <w:right w:val="none" w:sz="0" w:space="0" w:color="auto"/>
          </w:divBdr>
          <w:divsChild>
            <w:div w:id="246769479">
              <w:marLeft w:val="0"/>
              <w:marRight w:val="0"/>
              <w:marTop w:val="0"/>
              <w:marBottom w:val="0"/>
              <w:divBdr>
                <w:top w:val="none" w:sz="0" w:space="0" w:color="auto"/>
                <w:left w:val="none" w:sz="0" w:space="0" w:color="auto"/>
                <w:bottom w:val="none" w:sz="0" w:space="0" w:color="auto"/>
                <w:right w:val="none" w:sz="0" w:space="0" w:color="auto"/>
              </w:divBdr>
              <w:divsChild>
                <w:div w:id="1727332359">
                  <w:marLeft w:val="-300"/>
                  <w:marRight w:val="-300"/>
                  <w:marTop w:val="0"/>
                  <w:marBottom w:val="0"/>
                  <w:divBdr>
                    <w:top w:val="none" w:sz="0" w:space="0" w:color="auto"/>
                    <w:left w:val="none" w:sz="0" w:space="0" w:color="auto"/>
                    <w:bottom w:val="none" w:sz="0" w:space="0" w:color="auto"/>
                    <w:right w:val="none" w:sz="0" w:space="0" w:color="auto"/>
                  </w:divBdr>
                  <w:divsChild>
                    <w:div w:id="1082144631">
                      <w:marLeft w:val="0"/>
                      <w:marRight w:val="0"/>
                      <w:marTop w:val="0"/>
                      <w:marBottom w:val="0"/>
                      <w:divBdr>
                        <w:top w:val="none" w:sz="0" w:space="0" w:color="auto"/>
                        <w:left w:val="none" w:sz="0" w:space="0" w:color="auto"/>
                        <w:bottom w:val="none" w:sz="0" w:space="0" w:color="auto"/>
                        <w:right w:val="none" w:sz="0" w:space="0" w:color="auto"/>
                      </w:divBdr>
                      <w:divsChild>
                        <w:div w:id="170066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847487">
      <w:bodyDiv w:val="1"/>
      <w:marLeft w:val="0"/>
      <w:marRight w:val="0"/>
      <w:marTop w:val="0"/>
      <w:marBottom w:val="3390"/>
      <w:divBdr>
        <w:top w:val="none" w:sz="0" w:space="0" w:color="auto"/>
        <w:left w:val="none" w:sz="0" w:space="0" w:color="auto"/>
        <w:bottom w:val="none" w:sz="0" w:space="0" w:color="auto"/>
        <w:right w:val="none" w:sz="0" w:space="0" w:color="auto"/>
      </w:divBdr>
      <w:divsChild>
        <w:div w:id="1123110783">
          <w:marLeft w:val="0"/>
          <w:marRight w:val="0"/>
          <w:marTop w:val="0"/>
          <w:marBottom w:val="0"/>
          <w:divBdr>
            <w:top w:val="none" w:sz="0" w:space="0" w:color="auto"/>
            <w:left w:val="none" w:sz="0" w:space="0" w:color="auto"/>
            <w:bottom w:val="none" w:sz="0" w:space="0" w:color="auto"/>
            <w:right w:val="none" w:sz="0" w:space="0" w:color="auto"/>
          </w:divBdr>
          <w:divsChild>
            <w:div w:id="199510600">
              <w:marLeft w:val="0"/>
              <w:marRight w:val="0"/>
              <w:marTop w:val="0"/>
              <w:marBottom w:val="0"/>
              <w:divBdr>
                <w:top w:val="none" w:sz="0" w:space="0" w:color="auto"/>
                <w:left w:val="none" w:sz="0" w:space="0" w:color="auto"/>
                <w:bottom w:val="none" w:sz="0" w:space="0" w:color="auto"/>
                <w:right w:val="none" w:sz="0" w:space="0" w:color="auto"/>
              </w:divBdr>
              <w:divsChild>
                <w:div w:id="1445071866">
                  <w:marLeft w:val="-300"/>
                  <w:marRight w:val="-300"/>
                  <w:marTop w:val="0"/>
                  <w:marBottom w:val="0"/>
                  <w:divBdr>
                    <w:top w:val="none" w:sz="0" w:space="0" w:color="auto"/>
                    <w:left w:val="none" w:sz="0" w:space="0" w:color="auto"/>
                    <w:bottom w:val="none" w:sz="0" w:space="0" w:color="auto"/>
                    <w:right w:val="none" w:sz="0" w:space="0" w:color="auto"/>
                  </w:divBdr>
                  <w:divsChild>
                    <w:div w:id="933587854">
                      <w:marLeft w:val="0"/>
                      <w:marRight w:val="0"/>
                      <w:marTop w:val="0"/>
                      <w:marBottom w:val="0"/>
                      <w:divBdr>
                        <w:top w:val="none" w:sz="0" w:space="0" w:color="auto"/>
                        <w:left w:val="none" w:sz="0" w:space="0" w:color="auto"/>
                        <w:bottom w:val="none" w:sz="0" w:space="0" w:color="auto"/>
                        <w:right w:val="none" w:sz="0" w:space="0" w:color="auto"/>
                      </w:divBdr>
                      <w:divsChild>
                        <w:div w:id="1725367227">
                          <w:marLeft w:val="0"/>
                          <w:marRight w:val="0"/>
                          <w:marTop w:val="3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2015-12-09T11:54:00Z</dcterms:created>
  <dcterms:modified xsi:type="dcterms:W3CDTF">2017-02-03T14:15:00Z</dcterms:modified>
</cp:coreProperties>
</file>