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FF8E0" w14:textId="77777777" w:rsidR="00486A06" w:rsidRDefault="00486A06" w:rsidP="00486A06">
      <w:pPr>
        <w:pStyle w:val="Heading1"/>
        <w:shd w:val="clear" w:color="auto" w:fill="FFFFFF"/>
        <w:spacing w:before="0" w:beforeAutospacing="0" w:after="360" w:afterAutospacing="0"/>
        <w:rPr>
          <w:rFonts w:ascii="Lora" w:hAnsi="Lora"/>
          <w:b w:val="0"/>
          <w:bCs w:val="0"/>
          <w:color w:val="333333"/>
        </w:rPr>
      </w:pPr>
      <w:r>
        <w:rPr>
          <w:rFonts w:ascii="Lora" w:hAnsi="Lora"/>
          <w:b w:val="0"/>
          <w:bCs w:val="0"/>
          <w:color w:val="333333"/>
        </w:rPr>
        <w:t>Dietary magnesium found to be associated with reduced risk of heart disease, stroke and type-2 diabetes</w:t>
      </w:r>
    </w:p>
    <w:p w14:paraId="42B23F45" w14:textId="4B322464" w:rsidR="001B5341" w:rsidRDefault="001B5341" w:rsidP="00486A06">
      <w:pPr>
        <w:pStyle w:val="Heading1"/>
        <w:shd w:val="clear" w:color="auto" w:fill="FFFFFF"/>
        <w:spacing w:before="0" w:beforeAutospacing="0" w:after="360" w:afterAutospacing="0"/>
        <w:rPr>
          <w:rFonts w:ascii="Lora" w:hAnsi="Lora"/>
          <w:b w:val="0"/>
          <w:bCs w:val="0"/>
          <w:color w:val="333333"/>
        </w:rPr>
      </w:pPr>
      <w:r>
        <w:rPr>
          <w:rFonts w:ascii="Lora" w:hAnsi="Lora"/>
          <w:b w:val="0"/>
          <w:bCs w:val="0"/>
          <w:color w:val="333333"/>
        </w:rPr>
        <w:t>09/12/2016</w:t>
      </w:r>
    </w:p>
    <w:p w14:paraId="265B7907"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bookmarkStart w:id="0" w:name="_GoBack"/>
      <w:r w:rsidRPr="001B5341">
        <w:rPr>
          <w:rFonts w:ascii="Open Sans" w:hAnsi="Open Sans"/>
          <w:color w:val="333333"/>
          <w:sz w:val="27"/>
          <w:szCs w:val="27"/>
          <w:highlight w:val="yellow"/>
        </w:rPr>
        <w:t>A diet rich in magnesium may reduce the risk of diseases including coronary heart disease, stroke and type-2 diabetes</w:t>
      </w:r>
      <w:r>
        <w:rPr>
          <w:rFonts w:ascii="Open Sans" w:hAnsi="Open Sans"/>
          <w:color w:val="333333"/>
          <w:sz w:val="27"/>
          <w:szCs w:val="27"/>
        </w:rPr>
        <w:t xml:space="preserve"> according to a new meta-analysis published in the open access journal</w:t>
      </w:r>
      <w:r>
        <w:rPr>
          <w:rStyle w:val="apple-converted-space"/>
          <w:rFonts w:ascii="Open Sans" w:hAnsi="Open Sans"/>
          <w:color w:val="333333"/>
          <w:sz w:val="27"/>
          <w:szCs w:val="27"/>
        </w:rPr>
        <w:t> </w:t>
      </w:r>
      <w:bookmarkEnd w:id="0"/>
      <w:r w:rsidRPr="001B5341">
        <w:rPr>
          <w:rStyle w:val="Emphasis"/>
          <w:rFonts w:ascii="Open Sans" w:hAnsi="Open Sans"/>
          <w:color w:val="333333"/>
          <w:sz w:val="27"/>
          <w:szCs w:val="27"/>
          <w:highlight w:val="magenta"/>
        </w:rPr>
        <w:t>BMC Medicine</w:t>
      </w:r>
      <w:r>
        <w:rPr>
          <w:rFonts w:ascii="Open Sans" w:hAnsi="Open Sans"/>
          <w:color w:val="333333"/>
          <w:sz w:val="27"/>
          <w:szCs w:val="27"/>
        </w:rPr>
        <w:t>. This analysis of the evidence on dietary magnesium and health outcomes is the largest to date, involving data from more than one million people across nine countries.</w:t>
      </w:r>
    </w:p>
    <w:p w14:paraId="1E3EB83E"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The researchers, from Zhejiang University and Zhengzhou University in China, found that people in the highest category of dietary magnesium consumption had a 10% lower risk of coronary heart disease, 12% lower risk of stroke and a 26% lower risk of type-2 diabetes compared to those in the lowest category. Their results also indicate that an extra 100mg per day of dietary magnesium could also reduce risk of stroke by 7% and type-2 diabetes by 19%.</w:t>
      </w:r>
      <w:r>
        <w:rPr>
          <w:rFonts w:ascii="Open Sans" w:hAnsi="Open Sans"/>
          <w:color w:val="333333"/>
          <w:sz w:val="27"/>
          <w:szCs w:val="27"/>
        </w:rPr>
        <w:br/>
      </w:r>
      <w:r>
        <w:rPr>
          <w:rFonts w:ascii="Open Sans" w:hAnsi="Open Sans"/>
          <w:color w:val="333333"/>
          <w:sz w:val="27"/>
          <w:szCs w:val="27"/>
        </w:rPr>
        <w:br/>
        <w:t>Dr Fudi Wang, lead author from the School of Public Health at Zhejiang University, said: “Low levels of magnesium in the body have been associated with a range of diseases but no conclusive evidence has been put forward on the link between dietary magnesium and health risks. Our meta-analysis provides the most up-to-date evidence supporting a link between the role of magnesium in food and reducing the risk of disease.”</w:t>
      </w:r>
    </w:p>
    <w:p w14:paraId="672EECED"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Dr Wang added: “The current health guidelines recommend a magnesium intake of around 300mg per day for men and 270mg per day for women. Despite this, magnesium deficiency is relatively common, affecting between 2.5% and 15% of the general population. Our findings will be important for informing the public and policy makers on dietary guidelines to reduce magnesium deficiency related health risks.”</w:t>
      </w:r>
    </w:p>
    <w:p w14:paraId="0E44281A"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Magnesium is vital for human health and normal biological functions including glucose metabolism, protein production and synthesis of nucleic acids such as DNA. Diet is the main source of magnesium as the element can be found in foods such as spices, nuts, beans, cocoa, whole grains and green leafy vegetables.</w:t>
      </w:r>
    </w:p>
    <w:p w14:paraId="67C3256A"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 xml:space="preserve">In this analysis, data from 40 epidemiological studies covering a period from 1999 to 2016 were used to investigate associations between dietary magnesium and </w:t>
      </w:r>
      <w:r>
        <w:rPr>
          <w:rFonts w:ascii="Open Sans" w:hAnsi="Open Sans"/>
          <w:color w:val="333333"/>
          <w:sz w:val="27"/>
          <w:szCs w:val="27"/>
        </w:rPr>
        <w:lastRenderedPageBreak/>
        <w:t>various diseases. In all the studies, levels of dietary magnesium were determined using a self-reported food frequency questionnaire or a 24-hour dietary recall. As the levels of magnesium used to define categories varied widely between the studies, the researchers performed a dose-response analysis for the effect of each 100mg per day increase of dietary magnesium.</w:t>
      </w:r>
    </w:p>
    <w:p w14:paraId="447F47A6"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sidRPr="001B5341">
        <w:rPr>
          <w:rFonts w:ascii="Open Sans" w:hAnsi="Open Sans"/>
          <w:color w:val="333333"/>
          <w:sz w:val="27"/>
          <w:szCs w:val="27"/>
          <w:highlight w:val="magenta"/>
        </w:rPr>
        <w:t>This meta-analysis involves observational studies meaning that it is not possible to rule out the effect of other biological or lifestyle factors influencing the results</w:t>
      </w:r>
      <w:r>
        <w:rPr>
          <w:rFonts w:ascii="Open Sans" w:hAnsi="Open Sans"/>
          <w:color w:val="333333"/>
          <w:sz w:val="27"/>
          <w:szCs w:val="27"/>
        </w:rPr>
        <w:t>. It is also not possible to determine if magnesium is directly responsible for reducing disease risk. However, the large size of this analysis provides robust data that were stable when adjusting for gender and study location. The authors state that their findings reinforce the notion that increased consumption of magnesium rich foods could be beneficial for overall health.</w:t>
      </w:r>
    </w:p>
    <w:p w14:paraId="61EC739C"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Style w:val="Strong"/>
          <w:rFonts w:ascii="Open Sans" w:hAnsi="Open Sans"/>
          <w:color w:val="333333"/>
          <w:sz w:val="27"/>
          <w:szCs w:val="27"/>
        </w:rPr>
        <w:t>-ENDS-</w:t>
      </w:r>
    </w:p>
    <w:p w14:paraId="471C0C60"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Media Contact</w:t>
      </w:r>
      <w:r>
        <w:rPr>
          <w:rFonts w:ascii="Open Sans" w:hAnsi="Open Sans"/>
          <w:color w:val="333333"/>
          <w:sz w:val="27"/>
          <w:szCs w:val="27"/>
        </w:rPr>
        <w:br/>
        <w:t>Matthew Lam</w:t>
      </w:r>
      <w:r>
        <w:rPr>
          <w:rFonts w:ascii="Open Sans" w:hAnsi="Open Sans"/>
          <w:color w:val="333333"/>
          <w:sz w:val="27"/>
          <w:szCs w:val="27"/>
        </w:rPr>
        <w:br/>
        <w:t>Press Manger</w:t>
      </w:r>
      <w:r>
        <w:rPr>
          <w:rFonts w:ascii="Open Sans" w:hAnsi="Open Sans"/>
          <w:color w:val="333333"/>
          <w:sz w:val="27"/>
          <w:szCs w:val="27"/>
        </w:rPr>
        <w:br/>
        <w:t>BioMed Central</w:t>
      </w:r>
      <w:r>
        <w:rPr>
          <w:rFonts w:ascii="Open Sans" w:hAnsi="Open Sans"/>
          <w:color w:val="333333"/>
          <w:sz w:val="27"/>
          <w:szCs w:val="27"/>
        </w:rPr>
        <w:br/>
        <w:t>T: +44 (0)20 3192 2722</w:t>
      </w:r>
      <w:r>
        <w:rPr>
          <w:rFonts w:ascii="Open Sans" w:hAnsi="Open Sans"/>
          <w:color w:val="333333"/>
          <w:sz w:val="27"/>
          <w:szCs w:val="27"/>
        </w:rPr>
        <w:br/>
        <w:t>M: +44 (0)75 4079 9187</w:t>
      </w:r>
      <w:r>
        <w:rPr>
          <w:rFonts w:ascii="Open Sans" w:hAnsi="Open Sans"/>
          <w:color w:val="333333"/>
          <w:sz w:val="27"/>
          <w:szCs w:val="27"/>
        </w:rPr>
        <w:br/>
        <w:t>E: matthew.lam@biomedcentral.com</w:t>
      </w:r>
    </w:p>
    <w:p w14:paraId="1A139D83"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Notes to editor:</w:t>
      </w:r>
    </w:p>
    <w:p w14:paraId="7D8E6DDF"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1. Research article:</w:t>
      </w:r>
      <w:r>
        <w:rPr>
          <w:rFonts w:ascii="Open Sans" w:hAnsi="Open Sans"/>
          <w:color w:val="333333"/>
          <w:sz w:val="27"/>
          <w:szCs w:val="27"/>
        </w:rPr>
        <w:br/>
        <w:t>Dietary magnesium intake and risk of cardiovascular disease, type 2 diabetes, and allcause mortality: A dose-response meta-analysis of prospective cohort studies</w:t>
      </w:r>
      <w:r>
        <w:rPr>
          <w:rFonts w:ascii="Open Sans" w:hAnsi="Open Sans"/>
          <w:color w:val="333333"/>
          <w:sz w:val="27"/>
          <w:szCs w:val="27"/>
        </w:rPr>
        <w:br/>
        <w:t>Fudi Wang et al.</w:t>
      </w:r>
      <w:r>
        <w:rPr>
          <w:rFonts w:ascii="Open Sans" w:hAnsi="Open Sans"/>
          <w:color w:val="333333"/>
          <w:sz w:val="27"/>
          <w:szCs w:val="27"/>
        </w:rPr>
        <w:br/>
      </w:r>
      <w:r>
        <w:rPr>
          <w:rStyle w:val="Emphasis"/>
          <w:rFonts w:ascii="Open Sans" w:hAnsi="Open Sans"/>
          <w:color w:val="333333"/>
          <w:sz w:val="27"/>
          <w:szCs w:val="27"/>
        </w:rPr>
        <w:t>BMC Medicine</w:t>
      </w:r>
      <w:r>
        <w:rPr>
          <w:rStyle w:val="apple-converted-space"/>
          <w:rFonts w:ascii="Open Sans" w:hAnsi="Open Sans"/>
          <w:color w:val="333333"/>
          <w:sz w:val="27"/>
          <w:szCs w:val="27"/>
        </w:rPr>
        <w:t> </w:t>
      </w:r>
      <w:r>
        <w:rPr>
          <w:rFonts w:ascii="Open Sans" w:hAnsi="Open Sans"/>
          <w:color w:val="333333"/>
          <w:sz w:val="27"/>
          <w:szCs w:val="27"/>
        </w:rPr>
        <w:t>2016</w:t>
      </w:r>
    </w:p>
    <w:p w14:paraId="5C1A088F"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DOI: 10.1186/s12916-016-0742-z</w:t>
      </w:r>
    </w:p>
    <w:p w14:paraId="6DC73C39"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Article available at the journal</w:t>
      </w:r>
      <w:r>
        <w:rPr>
          <w:rStyle w:val="apple-converted-space"/>
          <w:rFonts w:ascii="Open Sans" w:hAnsi="Open Sans"/>
          <w:color w:val="333333"/>
          <w:sz w:val="27"/>
          <w:szCs w:val="27"/>
        </w:rPr>
        <w:t> </w:t>
      </w:r>
      <w:hyperlink r:id="rId8" w:tgtFrame="_blank" w:history="1">
        <w:r>
          <w:rPr>
            <w:rStyle w:val="Hyperlink"/>
            <w:rFonts w:ascii="Open Sans" w:hAnsi="Open Sans"/>
            <w:color w:val="0070BB"/>
            <w:sz w:val="27"/>
            <w:szCs w:val="27"/>
          </w:rPr>
          <w:t>website</w:t>
        </w:r>
      </w:hyperlink>
      <w:r>
        <w:rPr>
          <w:rFonts w:ascii="Open Sans" w:hAnsi="Open Sans"/>
          <w:color w:val="333333"/>
          <w:sz w:val="27"/>
          <w:szCs w:val="27"/>
        </w:rPr>
        <w:t> </w:t>
      </w:r>
    </w:p>
    <w:p w14:paraId="0F5E5497"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Please name the journal in any story you write. If you are writing for the web, please link to the article. All articles are available free of charge, according to BioMed Central's open access policy.</w:t>
      </w:r>
    </w:p>
    <w:p w14:paraId="30DFDE54"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2. With an ethos of transparency and accessibility,</w:t>
      </w:r>
      <w:r>
        <w:rPr>
          <w:rStyle w:val="apple-converted-space"/>
          <w:rFonts w:ascii="Open Sans" w:hAnsi="Open Sans"/>
          <w:color w:val="333333"/>
          <w:sz w:val="27"/>
          <w:szCs w:val="27"/>
        </w:rPr>
        <w:t> </w:t>
      </w:r>
      <w:r>
        <w:rPr>
          <w:rStyle w:val="Emphasis"/>
          <w:rFonts w:ascii="Open Sans" w:hAnsi="Open Sans"/>
          <w:color w:val="333333"/>
          <w:sz w:val="27"/>
          <w:szCs w:val="27"/>
        </w:rPr>
        <w:t>BMC Medicine</w:t>
      </w:r>
      <w:r>
        <w:rPr>
          <w:rStyle w:val="apple-converted-space"/>
          <w:rFonts w:ascii="Open Sans" w:hAnsi="Open Sans"/>
          <w:i/>
          <w:iCs/>
          <w:color w:val="333333"/>
          <w:sz w:val="27"/>
          <w:szCs w:val="27"/>
        </w:rPr>
        <w:t> </w:t>
      </w:r>
      <w:r>
        <w:rPr>
          <w:rFonts w:ascii="Open Sans" w:hAnsi="Open Sans"/>
          <w:color w:val="333333"/>
          <w:sz w:val="27"/>
          <w:szCs w:val="27"/>
        </w:rPr>
        <w:t xml:space="preserve">is an open access, open peer-reviewed general medical journal publishing outstanding and influential research in all areas of clinical practice, translational medicine, public </w:t>
      </w:r>
      <w:r>
        <w:rPr>
          <w:rFonts w:ascii="Open Sans" w:hAnsi="Open Sans"/>
          <w:color w:val="333333"/>
          <w:sz w:val="27"/>
          <w:szCs w:val="27"/>
        </w:rPr>
        <w:lastRenderedPageBreak/>
        <w:t>health, policy, and general topics of interest to the biomedical research community. As the flagship medical journal of the BMC series, we also publish stimulating debates and reviews as well as unique forum articles and concise tutorials.</w:t>
      </w:r>
    </w:p>
    <w:p w14:paraId="1760FC35" w14:textId="77777777" w:rsidR="00486A06" w:rsidRDefault="00486A06" w:rsidP="00486A06">
      <w:pPr>
        <w:pStyle w:val="NormalWeb"/>
        <w:shd w:val="clear" w:color="auto" w:fill="FFFFFF"/>
        <w:spacing w:before="0" w:beforeAutospacing="0" w:after="360" w:afterAutospacing="0"/>
        <w:rPr>
          <w:rFonts w:ascii="Open Sans" w:hAnsi="Open Sans"/>
          <w:color w:val="333333"/>
          <w:sz w:val="27"/>
          <w:szCs w:val="27"/>
        </w:rPr>
      </w:pPr>
      <w:r>
        <w:rPr>
          <w:rFonts w:ascii="Open Sans" w:hAnsi="Open Sans"/>
          <w:color w:val="333333"/>
          <w:sz w:val="27"/>
          <w:szCs w:val="27"/>
        </w:rPr>
        <w:t>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Science+Business Media. </w:t>
      </w:r>
    </w:p>
    <w:p w14:paraId="15DFE9F5" w14:textId="77777777" w:rsidR="00F75355" w:rsidRPr="00486A06" w:rsidRDefault="00F75355" w:rsidP="00486A06"/>
    <w:sectPr w:rsidR="00F75355" w:rsidRPr="00486A06" w:rsidSect="00686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AFB04" w14:textId="77777777" w:rsidR="003A0648" w:rsidRDefault="003A0648" w:rsidP="006949CF">
      <w:pPr>
        <w:spacing w:after="0" w:line="240" w:lineRule="auto"/>
      </w:pPr>
      <w:r>
        <w:separator/>
      </w:r>
    </w:p>
  </w:endnote>
  <w:endnote w:type="continuationSeparator" w:id="0">
    <w:p w14:paraId="293A3AF4" w14:textId="77777777" w:rsidR="003A0648" w:rsidRDefault="003A0648" w:rsidP="00694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E1055" w14:textId="77777777" w:rsidR="003A0648" w:rsidRDefault="003A0648" w:rsidP="006949CF">
      <w:pPr>
        <w:spacing w:after="0" w:line="240" w:lineRule="auto"/>
      </w:pPr>
      <w:r>
        <w:separator/>
      </w:r>
    </w:p>
  </w:footnote>
  <w:footnote w:type="continuationSeparator" w:id="0">
    <w:p w14:paraId="35E29E07" w14:textId="77777777" w:rsidR="003A0648" w:rsidRDefault="003A0648" w:rsidP="00694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577D1"/>
    <w:multiLevelType w:val="hybridMultilevel"/>
    <w:tmpl w:val="2EB8B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6D4B13"/>
    <w:multiLevelType w:val="hybridMultilevel"/>
    <w:tmpl w:val="A198D170"/>
    <w:lvl w:ilvl="0" w:tplc="4918A586">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DAA1909"/>
    <w:multiLevelType w:val="hybridMultilevel"/>
    <w:tmpl w:val="61488E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1554D50"/>
    <w:multiLevelType w:val="hybridMultilevel"/>
    <w:tmpl w:val="E2103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A52BD1"/>
    <w:multiLevelType w:val="hybridMultilevel"/>
    <w:tmpl w:val="5CE054AA"/>
    <w:lvl w:ilvl="0" w:tplc="64C091D0">
      <w:start w:val="1"/>
      <w:numFmt w:val="decimal"/>
      <w:lvlText w:val="%1."/>
      <w:lvlJc w:val="left"/>
      <w:pPr>
        <w:ind w:left="360" w:hanging="360"/>
      </w:pPr>
      <w:rPr>
        <w:rFonts w:hint="default"/>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AF5F4E"/>
    <w:multiLevelType w:val="hybridMultilevel"/>
    <w:tmpl w:val="A72E2CF4"/>
    <w:lvl w:ilvl="0" w:tplc="1310B9D2">
      <w:start w:val="1"/>
      <w:numFmt w:val="decimal"/>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B6"/>
    <w:rsid w:val="0000395A"/>
    <w:rsid w:val="0000680E"/>
    <w:rsid w:val="000149C1"/>
    <w:rsid w:val="0002296C"/>
    <w:rsid w:val="000237A4"/>
    <w:rsid w:val="00031E92"/>
    <w:rsid w:val="00034997"/>
    <w:rsid w:val="00082334"/>
    <w:rsid w:val="000A2A3C"/>
    <w:rsid w:val="000A5028"/>
    <w:rsid w:val="000B68F2"/>
    <w:rsid w:val="000D0924"/>
    <w:rsid w:val="000D1387"/>
    <w:rsid w:val="000D7C3B"/>
    <w:rsid w:val="00113591"/>
    <w:rsid w:val="00125A61"/>
    <w:rsid w:val="001272A8"/>
    <w:rsid w:val="00145F30"/>
    <w:rsid w:val="00147C91"/>
    <w:rsid w:val="0015325A"/>
    <w:rsid w:val="00154FC1"/>
    <w:rsid w:val="00160EC4"/>
    <w:rsid w:val="001622E8"/>
    <w:rsid w:val="00166A4F"/>
    <w:rsid w:val="00187AF7"/>
    <w:rsid w:val="00195525"/>
    <w:rsid w:val="001A27B3"/>
    <w:rsid w:val="001A62B6"/>
    <w:rsid w:val="001B1ABB"/>
    <w:rsid w:val="001B5341"/>
    <w:rsid w:val="001C752D"/>
    <w:rsid w:val="001C7963"/>
    <w:rsid w:val="001E22B9"/>
    <w:rsid w:val="001E2682"/>
    <w:rsid w:val="001F0085"/>
    <w:rsid w:val="001F41F4"/>
    <w:rsid w:val="002072BA"/>
    <w:rsid w:val="00213408"/>
    <w:rsid w:val="00241F45"/>
    <w:rsid w:val="002555A3"/>
    <w:rsid w:val="00262B14"/>
    <w:rsid w:val="00276438"/>
    <w:rsid w:val="0028067B"/>
    <w:rsid w:val="00287292"/>
    <w:rsid w:val="0029114B"/>
    <w:rsid w:val="0029453C"/>
    <w:rsid w:val="002A58C6"/>
    <w:rsid w:val="002B323B"/>
    <w:rsid w:val="002E50D2"/>
    <w:rsid w:val="0030316E"/>
    <w:rsid w:val="00316F89"/>
    <w:rsid w:val="00336D7B"/>
    <w:rsid w:val="0034435B"/>
    <w:rsid w:val="00347409"/>
    <w:rsid w:val="003507B6"/>
    <w:rsid w:val="00363882"/>
    <w:rsid w:val="00364B4C"/>
    <w:rsid w:val="00385292"/>
    <w:rsid w:val="003A0648"/>
    <w:rsid w:val="003B0633"/>
    <w:rsid w:val="003B15D0"/>
    <w:rsid w:val="003C1ADC"/>
    <w:rsid w:val="003D0D62"/>
    <w:rsid w:val="003D3AFD"/>
    <w:rsid w:val="003E2BA1"/>
    <w:rsid w:val="003E574E"/>
    <w:rsid w:val="003E7A19"/>
    <w:rsid w:val="00402596"/>
    <w:rsid w:val="00410887"/>
    <w:rsid w:val="00426076"/>
    <w:rsid w:val="004363C9"/>
    <w:rsid w:val="004443F4"/>
    <w:rsid w:val="00461880"/>
    <w:rsid w:val="0048349B"/>
    <w:rsid w:val="004869FB"/>
    <w:rsid w:val="00486A06"/>
    <w:rsid w:val="00497F3F"/>
    <w:rsid w:val="004A58C5"/>
    <w:rsid w:val="004A701D"/>
    <w:rsid w:val="004C5D2E"/>
    <w:rsid w:val="004D11A2"/>
    <w:rsid w:val="004D33F1"/>
    <w:rsid w:val="004E3B08"/>
    <w:rsid w:val="004E5E32"/>
    <w:rsid w:val="004F0A37"/>
    <w:rsid w:val="004F3DA6"/>
    <w:rsid w:val="004F4CF1"/>
    <w:rsid w:val="004F634F"/>
    <w:rsid w:val="00516D9C"/>
    <w:rsid w:val="00551BEE"/>
    <w:rsid w:val="00555226"/>
    <w:rsid w:val="00566AC6"/>
    <w:rsid w:val="00566F75"/>
    <w:rsid w:val="0057352E"/>
    <w:rsid w:val="00577318"/>
    <w:rsid w:val="00586E14"/>
    <w:rsid w:val="00587000"/>
    <w:rsid w:val="005A4ED9"/>
    <w:rsid w:val="005A591D"/>
    <w:rsid w:val="005B56F5"/>
    <w:rsid w:val="005B71E2"/>
    <w:rsid w:val="005F2EC2"/>
    <w:rsid w:val="00601075"/>
    <w:rsid w:val="006012EE"/>
    <w:rsid w:val="00611DB2"/>
    <w:rsid w:val="00612E5F"/>
    <w:rsid w:val="006168D7"/>
    <w:rsid w:val="006403B6"/>
    <w:rsid w:val="0064447C"/>
    <w:rsid w:val="00656860"/>
    <w:rsid w:val="00657A02"/>
    <w:rsid w:val="00667D12"/>
    <w:rsid w:val="00680ACC"/>
    <w:rsid w:val="00685436"/>
    <w:rsid w:val="0068662D"/>
    <w:rsid w:val="006949CF"/>
    <w:rsid w:val="006A685B"/>
    <w:rsid w:val="006B384D"/>
    <w:rsid w:val="006C2F11"/>
    <w:rsid w:val="006D18BD"/>
    <w:rsid w:val="006D3818"/>
    <w:rsid w:val="006D4850"/>
    <w:rsid w:val="006D6ED7"/>
    <w:rsid w:val="006D7EE2"/>
    <w:rsid w:val="006E694D"/>
    <w:rsid w:val="006F0E77"/>
    <w:rsid w:val="007049B8"/>
    <w:rsid w:val="00713EE3"/>
    <w:rsid w:val="00732E6A"/>
    <w:rsid w:val="007810C9"/>
    <w:rsid w:val="00784245"/>
    <w:rsid w:val="007B6706"/>
    <w:rsid w:val="007C0F08"/>
    <w:rsid w:val="007E3A97"/>
    <w:rsid w:val="007E493E"/>
    <w:rsid w:val="00803274"/>
    <w:rsid w:val="00811634"/>
    <w:rsid w:val="008143BC"/>
    <w:rsid w:val="00832BB6"/>
    <w:rsid w:val="00841D33"/>
    <w:rsid w:val="008626F9"/>
    <w:rsid w:val="008707AF"/>
    <w:rsid w:val="0087272A"/>
    <w:rsid w:val="008742C8"/>
    <w:rsid w:val="00883DC7"/>
    <w:rsid w:val="00885663"/>
    <w:rsid w:val="00894E00"/>
    <w:rsid w:val="008A4BC5"/>
    <w:rsid w:val="008A628E"/>
    <w:rsid w:val="008C2DCA"/>
    <w:rsid w:val="008C4CE8"/>
    <w:rsid w:val="008E01BC"/>
    <w:rsid w:val="008E0FF3"/>
    <w:rsid w:val="008E77F6"/>
    <w:rsid w:val="008F1AB4"/>
    <w:rsid w:val="0090504F"/>
    <w:rsid w:val="00912A2D"/>
    <w:rsid w:val="0092165A"/>
    <w:rsid w:val="0094140F"/>
    <w:rsid w:val="00954F3B"/>
    <w:rsid w:val="00965A25"/>
    <w:rsid w:val="00980E97"/>
    <w:rsid w:val="00986C2C"/>
    <w:rsid w:val="009B1B58"/>
    <w:rsid w:val="009B314B"/>
    <w:rsid w:val="009B3850"/>
    <w:rsid w:val="009B7CF1"/>
    <w:rsid w:val="009D0DC5"/>
    <w:rsid w:val="00A11325"/>
    <w:rsid w:val="00A12FDF"/>
    <w:rsid w:val="00A23421"/>
    <w:rsid w:val="00A24220"/>
    <w:rsid w:val="00A267FB"/>
    <w:rsid w:val="00A327F7"/>
    <w:rsid w:val="00A47CA4"/>
    <w:rsid w:val="00A52A8A"/>
    <w:rsid w:val="00A63A89"/>
    <w:rsid w:val="00A710D5"/>
    <w:rsid w:val="00A81832"/>
    <w:rsid w:val="00A83EDB"/>
    <w:rsid w:val="00AA19CB"/>
    <w:rsid w:val="00AA3745"/>
    <w:rsid w:val="00AB6C14"/>
    <w:rsid w:val="00AD2DE3"/>
    <w:rsid w:val="00AF7EDA"/>
    <w:rsid w:val="00B26350"/>
    <w:rsid w:val="00B47C90"/>
    <w:rsid w:val="00B66223"/>
    <w:rsid w:val="00B73555"/>
    <w:rsid w:val="00B83D1E"/>
    <w:rsid w:val="00B92C2E"/>
    <w:rsid w:val="00B94B46"/>
    <w:rsid w:val="00B973DB"/>
    <w:rsid w:val="00BA332F"/>
    <w:rsid w:val="00BA465A"/>
    <w:rsid w:val="00BA5517"/>
    <w:rsid w:val="00BB1185"/>
    <w:rsid w:val="00BB470D"/>
    <w:rsid w:val="00BE44AA"/>
    <w:rsid w:val="00BE4F03"/>
    <w:rsid w:val="00BF3C8B"/>
    <w:rsid w:val="00BF4EA5"/>
    <w:rsid w:val="00BF5D98"/>
    <w:rsid w:val="00BF6451"/>
    <w:rsid w:val="00C27D8A"/>
    <w:rsid w:val="00C30CE8"/>
    <w:rsid w:val="00C460A0"/>
    <w:rsid w:val="00C6385C"/>
    <w:rsid w:val="00C7024C"/>
    <w:rsid w:val="00C97ECC"/>
    <w:rsid w:val="00CC3EF4"/>
    <w:rsid w:val="00CC5465"/>
    <w:rsid w:val="00CE1195"/>
    <w:rsid w:val="00CE157B"/>
    <w:rsid w:val="00CF70F6"/>
    <w:rsid w:val="00D05227"/>
    <w:rsid w:val="00D17CBB"/>
    <w:rsid w:val="00D23232"/>
    <w:rsid w:val="00D34FFD"/>
    <w:rsid w:val="00D35159"/>
    <w:rsid w:val="00D42EFE"/>
    <w:rsid w:val="00D67B7F"/>
    <w:rsid w:val="00D70B56"/>
    <w:rsid w:val="00D9329F"/>
    <w:rsid w:val="00D943A7"/>
    <w:rsid w:val="00D94EDB"/>
    <w:rsid w:val="00DA4E6B"/>
    <w:rsid w:val="00DB42B6"/>
    <w:rsid w:val="00DD697B"/>
    <w:rsid w:val="00DE78F5"/>
    <w:rsid w:val="00DF14ED"/>
    <w:rsid w:val="00E20EDB"/>
    <w:rsid w:val="00E35949"/>
    <w:rsid w:val="00E372E2"/>
    <w:rsid w:val="00E531B8"/>
    <w:rsid w:val="00E67073"/>
    <w:rsid w:val="00EB6094"/>
    <w:rsid w:val="00EF4003"/>
    <w:rsid w:val="00EF7579"/>
    <w:rsid w:val="00F00EF1"/>
    <w:rsid w:val="00F31BBD"/>
    <w:rsid w:val="00F3484F"/>
    <w:rsid w:val="00F46C8B"/>
    <w:rsid w:val="00F507C5"/>
    <w:rsid w:val="00F54E9A"/>
    <w:rsid w:val="00F61921"/>
    <w:rsid w:val="00F66DAF"/>
    <w:rsid w:val="00F70BF1"/>
    <w:rsid w:val="00F75355"/>
    <w:rsid w:val="00F84938"/>
    <w:rsid w:val="00F97EA3"/>
    <w:rsid w:val="00FA622C"/>
    <w:rsid w:val="00FC752F"/>
    <w:rsid w:val="00FF2238"/>
    <w:rsid w:val="00FF50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53A64"/>
  <w15:docId w15:val="{A8087700-3A13-4A08-8BDA-34DF42F9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A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49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49CF"/>
  </w:style>
  <w:style w:type="paragraph" w:styleId="Footer">
    <w:name w:val="footer"/>
    <w:basedOn w:val="Normal"/>
    <w:link w:val="FooterChar"/>
    <w:uiPriority w:val="99"/>
    <w:semiHidden/>
    <w:unhideWhenUsed/>
    <w:rsid w:val="006949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949CF"/>
  </w:style>
  <w:style w:type="character" w:styleId="Hyperlink">
    <w:name w:val="Hyperlink"/>
    <w:uiPriority w:val="99"/>
    <w:rsid w:val="00402596"/>
    <w:rPr>
      <w:color w:val="0000FF"/>
      <w:u w:val="single"/>
    </w:rPr>
  </w:style>
  <w:style w:type="character" w:styleId="CommentReference">
    <w:name w:val="annotation reference"/>
    <w:basedOn w:val="DefaultParagraphFont"/>
    <w:uiPriority w:val="99"/>
    <w:semiHidden/>
    <w:unhideWhenUsed/>
    <w:rsid w:val="00402596"/>
    <w:rPr>
      <w:sz w:val="16"/>
      <w:szCs w:val="16"/>
    </w:rPr>
  </w:style>
  <w:style w:type="paragraph" w:styleId="CommentText">
    <w:name w:val="annotation text"/>
    <w:basedOn w:val="Normal"/>
    <w:link w:val="CommentTextChar"/>
    <w:uiPriority w:val="99"/>
    <w:unhideWhenUsed/>
    <w:rsid w:val="00402596"/>
    <w:pPr>
      <w:spacing w:line="240" w:lineRule="auto"/>
    </w:pPr>
    <w:rPr>
      <w:sz w:val="20"/>
      <w:szCs w:val="20"/>
    </w:rPr>
  </w:style>
  <w:style w:type="character" w:customStyle="1" w:styleId="CommentTextChar">
    <w:name w:val="Comment Text Char"/>
    <w:basedOn w:val="DefaultParagraphFont"/>
    <w:link w:val="CommentText"/>
    <w:uiPriority w:val="99"/>
    <w:rsid w:val="00402596"/>
    <w:rPr>
      <w:sz w:val="20"/>
      <w:szCs w:val="20"/>
    </w:rPr>
  </w:style>
  <w:style w:type="paragraph" w:styleId="CommentSubject">
    <w:name w:val="annotation subject"/>
    <w:basedOn w:val="CommentText"/>
    <w:next w:val="CommentText"/>
    <w:link w:val="CommentSubjectChar"/>
    <w:uiPriority w:val="99"/>
    <w:semiHidden/>
    <w:unhideWhenUsed/>
    <w:rsid w:val="00402596"/>
    <w:rPr>
      <w:b/>
      <w:bCs/>
    </w:rPr>
  </w:style>
  <w:style w:type="character" w:customStyle="1" w:styleId="CommentSubjectChar">
    <w:name w:val="Comment Subject Char"/>
    <w:basedOn w:val="CommentTextChar"/>
    <w:link w:val="CommentSubject"/>
    <w:uiPriority w:val="99"/>
    <w:semiHidden/>
    <w:rsid w:val="00402596"/>
    <w:rPr>
      <w:b/>
      <w:bCs/>
      <w:sz w:val="20"/>
      <w:szCs w:val="20"/>
    </w:rPr>
  </w:style>
  <w:style w:type="paragraph" w:styleId="BalloonText">
    <w:name w:val="Balloon Text"/>
    <w:basedOn w:val="Normal"/>
    <w:link w:val="BalloonTextChar"/>
    <w:uiPriority w:val="99"/>
    <w:semiHidden/>
    <w:unhideWhenUsed/>
    <w:rsid w:val="00402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96"/>
    <w:rPr>
      <w:rFonts w:ascii="Tahoma" w:hAnsi="Tahoma" w:cs="Tahoma"/>
      <w:sz w:val="16"/>
      <w:szCs w:val="16"/>
    </w:rPr>
  </w:style>
  <w:style w:type="paragraph" w:styleId="ListParagraph">
    <w:name w:val="List Paragraph"/>
    <w:basedOn w:val="Normal"/>
    <w:uiPriority w:val="34"/>
    <w:qFormat/>
    <w:rsid w:val="002A58C6"/>
    <w:pPr>
      <w:ind w:left="720"/>
      <w:contextualSpacing/>
    </w:pPr>
  </w:style>
  <w:style w:type="character" w:styleId="FollowedHyperlink">
    <w:name w:val="FollowedHyperlink"/>
    <w:basedOn w:val="DefaultParagraphFont"/>
    <w:uiPriority w:val="99"/>
    <w:semiHidden/>
    <w:unhideWhenUsed/>
    <w:rsid w:val="0028067B"/>
    <w:rPr>
      <w:color w:val="800080" w:themeColor="followedHyperlink"/>
      <w:u w:val="single"/>
    </w:rPr>
  </w:style>
  <w:style w:type="paragraph" w:styleId="Revision">
    <w:name w:val="Revision"/>
    <w:hidden/>
    <w:uiPriority w:val="99"/>
    <w:semiHidden/>
    <w:rsid w:val="001272A8"/>
    <w:pPr>
      <w:spacing w:after="0" w:line="240" w:lineRule="auto"/>
    </w:pPr>
  </w:style>
  <w:style w:type="character" w:customStyle="1" w:styleId="Heading1Char">
    <w:name w:val="Heading 1 Char"/>
    <w:basedOn w:val="DefaultParagraphFont"/>
    <w:link w:val="Heading1"/>
    <w:uiPriority w:val="9"/>
    <w:rsid w:val="00486A06"/>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486A0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486A06"/>
  </w:style>
  <w:style w:type="character" w:styleId="Emphasis">
    <w:name w:val="Emphasis"/>
    <w:basedOn w:val="DefaultParagraphFont"/>
    <w:uiPriority w:val="20"/>
    <w:qFormat/>
    <w:rsid w:val="00486A06"/>
    <w:rPr>
      <w:i/>
      <w:iCs/>
    </w:rPr>
  </w:style>
  <w:style w:type="character" w:styleId="Strong">
    <w:name w:val="Strong"/>
    <w:basedOn w:val="DefaultParagraphFont"/>
    <w:uiPriority w:val="22"/>
    <w:qFormat/>
    <w:rsid w:val="00486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0117">
      <w:bodyDiv w:val="1"/>
      <w:marLeft w:val="0"/>
      <w:marRight w:val="0"/>
      <w:marTop w:val="0"/>
      <w:marBottom w:val="0"/>
      <w:divBdr>
        <w:top w:val="none" w:sz="0" w:space="0" w:color="auto"/>
        <w:left w:val="none" w:sz="0" w:space="0" w:color="auto"/>
        <w:bottom w:val="none" w:sz="0" w:space="0" w:color="auto"/>
        <w:right w:val="none" w:sz="0" w:space="0" w:color="auto"/>
      </w:divBdr>
    </w:div>
    <w:div w:id="171914473">
      <w:bodyDiv w:val="1"/>
      <w:marLeft w:val="0"/>
      <w:marRight w:val="0"/>
      <w:marTop w:val="0"/>
      <w:marBottom w:val="0"/>
      <w:divBdr>
        <w:top w:val="none" w:sz="0" w:space="0" w:color="auto"/>
        <w:left w:val="none" w:sz="0" w:space="0" w:color="auto"/>
        <w:bottom w:val="none" w:sz="0" w:space="0" w:color="auto"/>
        <w:right w:val="none" w:sz="0" w:space="0" w:color="auto"/>
      </w:divBdr>
      <w:divsChild>
        <w:div w:id="346563703">
          <w:marLeft w:val="0"/>
          <w:marRight w:val="0"/>
          <w:marTop w:val="0"/>
          <w:marBottom w:val="0"/>
          <w:divBdr>
            <w:top w:val="none" w:sz="0" w:space="0" w:color="auto"/>
            <w:left w:val="none" w:sz="0" w:space="0" w:color="auto"/>
            <w:bottom w:val="none" w:sz="0" w:space="0" w:color="auto"/>
            <w:right w:val="none" w:sz="0" w:space="0" w:color="auto"/>
          </w:divBdr>
          <w:divsChild>
            <w:div w:id="43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918">
      <w:bodyDiv w:val="1"/>
      <w:marLeft w:val="0"/>
      <w:marRight w:val="0"/>
      <w:marTop w:val="0"/>
      <w:marBottom w:val="0"/>
      <w:divBdr>
        <w:top w:val="none" w:sz="0" w:space="0" w:color="auto"/>
        <w:left w:val="none" w:sz="0" w:space="0" w:color="auto"/>
        <w:bottom w:val="none" w:sz="0" w:space="0" w:color="auto"/>
        <w:right w:val="none" w:sz="0" w:space="0" w:color="auto"/>
      </w:divBdr>
    </w:div>
    <w:div w:id="928925418">
      <w:bodyDiv w:val="1"/>
      <w:marLeft w:val="0"/>
      <w:marRight w:val="0"/>
      <w:marTop w:val="0"/>
      <w:marBottom w:val="0"/>
      <w:divBdr>
        <w:top w:val="none" w:sz="0" w:space="0" w:color="auto"/>
        <w:left w:val="none" w:sz="0" w:space="0" w:color="auto"/>
        <w:bottom w:val="none" w:sz="0" w:space="0" w:color="auto"/>
        <w:right w:val="none" w:sz="0" w:space="0" w:color="auto"/>
      </w:divBdr>
    </w:div>
    <w:div w:id="1289776234">
      <w:bodyDiv w:val="1"/>
      <w:marLeft w:val="0"/>
      <w:marRight w:val="0"/>
      <w:marTop w:val="0"/>
      <w:marBottom w:val="0"/>
      <w:divBdr>
        <w:top w:val="none" w:sz="0" w:space="0" w:color="auto"/>
        <w:left w:val="none" w:sz="0" w:space="0" w:color="auto"/>
        <w:bottom w:val="none" w:sz="0" w:space="0" w:color="auto"/>
        <w:right w:val="none" w:sz="0" w:space="0" w:color="auto"/>
      </w:divBdr>
    </w:div>
    <w:div w:id="12917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mcmedicine.biomedcentral.com/articles/10.1186/s12916-016-0742-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27398-EE0A-4791-9EFC-0E12D8F1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Winston</dc:creator>
  <cp:lastModifiedBy>Aimée</cp:lastModifiedBy>
  <cp:revision>4</cp:revision>
  <cp:lastPrinted>2014-11-11T17:31:00Z</cp:lastPrinted>
  <dcterms:created xsi:type="dcterms:W3CDTF">2016-12-19T10:16:00Z</dcterms:created>
  <dcterms:modified xsi:type="dcterms:W3CDTF">2016-12-20T12:32:00Z</dcterms:modified>
</cp:coreProperties>
</file>