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PREVENTING SECONDARY CATARACT</w:t>
      </w:r>
    </w:p>
    <w:p w:rsidR="00894797" w:rsidRDefault="00894797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894797" w:rsidRPr="00C60735" w:rsidRDefault="00894797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28/4/16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  <w:t>A new focus for AMD drug target could reduce the need for millions of follow-up eye operations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  <w:t>Scientists may have found a way to prevent complications from surgery to treat cataract, the world’s leading cause of blindness</w:t>
      </w: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The study was part-funded by eye research charity </w:t>
      </w:r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magenta"/>
          <w:lang w:eastAsia="en-GB"/>
        </w:rPr>
        <w:t>Fight for Sight</w:t>
      </w: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is published by a research team at the University </w:t>
      </w:r>
      <w:proofErr w:type="gramStart"/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</w:t>
      </w:r>
      <w:proofErr w:type="gramEnd"/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East Anglia (UEA) in the open access journal Scientific Reports.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  <w:t>It’s estimated that by the year 2020, 32 million people will need cataract surgery. Cataracts develop as we age, such that the eye’s lens turns from clear to cloudy.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  <w:t>Surgery works well to restore vision. Natural lens cells are removed from the inside of the lens, which leaves an outer casing called the ‘capsular bag’ that can house a clear, artificial lens. The capsular bag effectively ‘shrink-wraps’ the new lens and holds it in place.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  <w:t>However, a few natural lens cells always remain after surgery. In time the eye’s wound-healing response leads the cells to spread across the underside of the artificial lens. This interferes with vision, causing what’s known as ‘posterior capsule opacification’ or secondary cataract.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  <w:t xml:space="preserve">“Secondary visual loss responds well to treatment with laser surgery,” says Dr Michael </w:t>
      </w:r>
      <w:proofErr w:type="spellStart"/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  <w:t>Wormstone</w:t>
      </w:r>
      <w:proofErr w:type="spellEnd"/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  <w:t>, from UEA’s School of Biological Sciences, who led the study. “But as life-expectancy increases, the problems of cataract and posterior capsule opacification will become even greater in terms of both patient well-being and economic burden. It’s essential that we find better ways to manage the condition in future.”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en-GB"/>
        </w:rPr>
        <w:t>Newer artificial lenses are being designed to be placed into a capsular bag that stays open, instead of shrink-wrapping closed. The thinking is that if fluid in the eye (aqueous humour) can flow around the artificial lens, it will dilute and wash away the cell-signalling molecules that encourage re-growth.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 this study, the researchers took a 2-pronged approach, </w:t>
      </w:r>
      <w:r w:rsidRPr="00C6073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en-GB"/>
        </w:rPr>
        <w:t>using human cells and tissue. They first tested the idea that diluting growth factor can prevent cells invading the posterior capsule</w:t>
      </w: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They also aimed to understand more about which growth factors drive the process with a view to developing a future drug treatment.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“Our results show that reducing the amount of growth factor that’s available around the intraocular lens significantly </w:t>
      </w:r>
      <w:r w:rsidRPr="00C60735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n-GB"/>
        </w:rPr>
        <w:t>impedes</w:t>
      </w: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cell invasion and adds to the evidence in favour of open-bag cataract surgery,” continues Dr </w:t>
      </w:r>
      <w:proofErr w:type="spellStart"/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Wormstone</w:t>
      </w:r>
      <w:proofErr w:type="spellEnd"/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“Moreover, we found that vascular endothelial growth factor (VEGF) plays an important role in cell growth and survival. Therefore we believe that anti-VEGF treatment is a logical target for new drug treatments that could help enhance the effect of better lens design and placement, to prevent secondary cataract.” 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“These are encouraging results, with research to develop new intraocular lenses that incorporate anti-VEGF treatment into their design as a potential next step,” says Dr Dolores M Conroy, Fight for Sight’s Director of Research. “Whether this will work depends on many factors including the safety of anti-VEGF treatment in this part of the eye. However its current use as a treatment to block new blood vessel growth in the wet form of age-</w:t>
      </w: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related macular degeneration means there is already a body of research from which we can perhaps draw useful insights. 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“Reducing the need for secondary cataract surgery is a highly important goal and indeed, preventing PCO was identified as a high priority by patients in the Sight Loss and Vision Priority Setting Partnership – a consultation to set priorities for eye research.”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Follow-up work from the group will be presented at the Association for Research in Vision and Ophthalmology annual meeting (ARVO 2016) which takes place in Seattle from 1-5 May.</w:t>
      </w: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60735" w:rsidRPr="00C60735" w:rsidRDefault="00C60735" w:rsidP="00C60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6073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*Ends*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35"/>
    <w:rsid w:val="0015174B"/>
    <w:rsid w:val="00664969"/>
    <w:rsid w:val="00894797"/>
    <w:rsid w:val="00A132A5"/>
    <w:rsid w:val="00C6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E1D88-3BE8-4920-900E-26C33C49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7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5</cp:revision>
  <dcterms:created xsi:type="dcterms:W3CDTF">2016-06-01T10:20:00Z</dcterms:created>
  <dcterms:modified xsi:type="dcterms:W3CDTF">2017-01-28T15:44:00Z</dcterms:modified>
</cp:coreProperties>
</file>