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60"/>
        <w:jc w:val="center"/>
      </w:pPr>
      <w:r>
        <w:rPr>
          <w:rFonts w:ascii="Arial" w:cs="Arial" w:eastAsia="Arial" w:hAnsi="Arial"/>
          <w:b/>
          <w:bCs/>
          <w:color w:val="7B1E1E"/>
          <w:sz w:val="48"/>
          <w:szCs w:val="48"/>
        </w:rPr>
        <w:t xml:space="preserve">EVALUATION RULES SHEET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A0522D"/>
          <w:sz w:val="24"/>
          <w:szCs w:val="24"/>
        </w:rPr>
        <w:t xml:space="preserve">RFP-2026-AIDMS-001  |  AI-Powered Document Management System</w:t>
      </w:r>
    </w:p>
    <w:p>
      <w:pPr>
        <w:spacing w:after="240" w:before="6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INTERNAL USE ONLY — DO NOT DISTRIBUTE TO VENDORS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</w:tbl>
    <w:p>
      <w:pPr>
        <w:pBdr>
          <w:bottom w:val="single" w:color="7B1E1E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B1E1E"/>
          <w:sz w:val="28"/>
          <w:szCs w:val="28"/>
        </w:rPr>
        <w:t xml:space="preserve">A. Mandatory (Go/No-Go) Rules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The following are non-negotiable requirements. A score of 0 on ANY mandatory rule results in automatic disqualification of the bid, regardless of overall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000"/>
        <w:gridCol w:w="1500"/>
        <w:gridCol w:w="29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/ 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Threshold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Evaluator Notes / Guidance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M-01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Vendor must submit a legally signed bid document on company letterhead with authorized signatory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Signed document present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Check signature, name, designation, and company stamp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M-02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Bid must be submitted before the deadline (July 25, 2026, 5:00 PM IST)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Timestamp before deadline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Check email/portal timestamp; late submissions = 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M-03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Vendor must provide minimum 3 client references for DMS or AI projects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references with contact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Each reference must include client name, contact, project scope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M-04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Proposed solution must support document classification accuracy ≥ 90%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90% accuracy claimed with evidence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Accept test results, benchmarks, or pilot evidence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M-05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Vendor must be ISO 27001 or SOC 2 certified (not just compliant)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 certificate attached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Certificate must be current (not expired); self-declaration not accepted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M-06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Proposed architecture must support at least 5 million 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Mandatory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Architecture doc confirms capacity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Check architecture diagram or written statement with technical basis</w:t>
            </w:r>
          </w:p>
        </w:tc>
      </w:tr>
    </w:tbl>
    <w:p>
      <w:pPr>
        <w:pBdr>
          <w:bottom w:val="single" w:color="7B1E1E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B1E1E"/>
          <w:sz w:val="28"/>
          <w:szCs w:val="28"/>
        </w:rPr>
        <w:t xml:space="preserve">B. Technical Evaluation Rules (30% weight)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Score each rule 0–10. Multiply by the stated sub-weight to get the weighted score for that rule. Total this section to 30 points maximum.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000"/>
        <w:gridCol w:w="1500"/>
        <w:gridCol w:w="29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/ 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Threshold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Evaluator Notes / Guidance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T-01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model accuracy — classification accuracy on test corpus stated and evidenced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90% with benchmark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Score: &lt;90%=0, 90–92%=5, 93–95%=7, &gt;95%=8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T-02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Semantic / NLP search quality — not keyword-only; natural language support demonstrated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NL query examples provided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Demo or sample output required; keyword-only search = 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T-03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Named Entity Recognition — parties, dates, amounts, clauses extracted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4 entity types addressed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Partial credit: 1 pt per entity type covered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T-04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Automated summarization of long documents (≥ 20 pages)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Approach described with example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Score based on quality of example output if provided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T-05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Duplicate/near-duplicate detection with configurable threshold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Approach and threshold stated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Must specify algorithm (e.g., MinHash, cosine sim) and threshold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T-06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 model retraining pipeline — automated with feedback loop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Pipeline described or diagrammed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Frequency, triggers, labeling method must all be stated</w:t>
            </w:r>
          </w:p>
        </w:tc>
      </w:tr>
    </w:tbl>
    <w:p>
      <w:pPr>
        <w:pBdr>
          <w:bottom w:val="single" w:color="7B1E1E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B1E1E"/>
          <w:sz w:val="28"/>
          <w:szCs w:val="28"/>
        </w:rPr>
        <w:t xml:space="preserve">C. Functional Coverage Rules (20% weight)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000"/>
        <w:gridCol w:w="1500"/>
        <w:gridCol w:w="29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/ 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Threshold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Evaluator Notes / Guidance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F-01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ingestion supports all required formats: PDF, DOCX, XLSX, PPTX, images, scanned docs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6 formats confirmed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Score: 1 pt per format supported; 0 if fewer than 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F-02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Configurable taxonomy for document classification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Taxonomy config described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Hardcoded taxonomy = 0; GUI-configurable = 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F-03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Role-based access control with Active Directory / SSO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RBAC + SSO described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SAML 2.0 or OAuth 2.0 required; no SSO = 0 for SSO sub-point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F-04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Workflow automation: approvals, reviews, escalations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Workflow engine described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Must support conditional routing; simple notification-only =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F-05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 and/or GraphQL APIs for enterprise system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type confirmed with documentation reference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OpenAPI 3.0 docs = full score; no docs = 1 pt deduction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F-06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Multi-language support: English and Hindi (minimum)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Both languages confirmed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 pt per language; must be NLP-level, not just UI translation</w:t>
            </w:r>
          </w:p>
        </w:tc>
      </w:tr>
    </w:tbl>
    <w:p>
      <w:pPr>
        <w:pBdr>
          <w:bottom w:val="single" w:color="7B1E1E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B1E1E"/>
          <w:sz w:val="28"/>
          <w:szCs w:val="28"/>
        </w:rPr>
        <w:t xml:space="preserve">D. Implementation Approach Rules (15% weight)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000"/>
        <w:gridCol w:w="1500"/>
        <w:gridCol w:w="29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/ 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Threshold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Evaluator Notes / Guidance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I-01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Implementation plan covers all 6 phases defined in RFP Section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phases present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 pt deduction per missing phase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I-02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Timeline aligns with or improves upon RFP's 32-week schedule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weeks ≤ 32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Longer than 32 weeks with no justification = 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I-03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 register or risk mitigation section present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5 risks identified with mitigation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Fewer than 5 risks = 1; mitigation missing = 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I-04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 personnel CVs or profiles provided for PM, Architect, and AI Lead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3 profiles present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 pt per profile; incomplete profiles = 0.5 each</w:t>
            </w:r>
          </w:p>
        </w:tc>
      </w:tr>
    </w:tbl>
    <w:p>
      <w:pPr>
        <w:pBdr>
          <w:bottom w:val="single" w:color="7B1E1E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B1E1E"/>
          <w:sz w:val="28"/>
          <w:szCs w:val="28"/>
        </w:rPr>
        <w:t xml:space="preserve">E. Vendor Experience Rules (15% weight)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000"/>
        <w:gridCol w:w="1500"/>
        <w:gridCol w:w="29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/ 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Threshold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Evaluator Notes / Guidance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V-01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Years of experience in AI/ML-related enterprise solutions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5 years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5–7 yrs = 2, 7–10 yrs = 3, &gt;10 yrs = 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V-02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completed DMS deployments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10 deployments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5–9 = 2, 10–20 = 3, &gt;20 = 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V-03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Relevance of reference projects to DMS / AI document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3 references are DMS/AI relevant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General IT references = 1; partially relevant = 2; fully relevant = 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V-04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 certifications (AWS, Azure, PMP, AI certifications)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3 relevant certifications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Score: 1 pt per certification up to 3</w:t>
            </w:r>
          </w:p>
        </w:tc>
      </w:tr>
    </w:tbl>
    <w:p>
      <w:pPr>
        <w:pBdr>
          <w:bottom w:val="single" w:color="7B1E1E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B1E1E"/>
          <w:sz w:val="28"/>
          <w:szCs w:val="28"/>
        </w:rPr>
        <w:t xml:space="preserve">F. Security &amp; Compliance Rules (10% weight)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000"/>
        <w:gridCol w:w="1500"/>
        <w:gridCol w:w="29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/ 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Threshold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Evaluator Notes / Guidance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S-01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encryption: AES-256 at rest AND TLS 1.2+ in 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Both confirmed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Partial: 1 pt each; missing either = score accordingly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S-02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Recovery capability: RPO ≤ 4 hours AND RTO ≤ 2 hours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Both values ≤ RFP thresholds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Exceeds threshold on either = 0 for that sub-point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S-03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trail completeness and tamper-evidence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Audit trail described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Tamper-evident logging (e.g., AWS CloudTrail, hash chain) = 2; basic logging =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S-04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Penetration testing policy described with frequency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Annual minimum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Quarterly pen testing by empanelled agency = 2; annual = 1; none = 0</w:t>
            </w:r>
          </w:p>
        </w:tc>
      </w:tr>
    </w:tbl>
    <w:p>
      <w:pPr>
        <w:pBdr>
          <w:bottom w:val="single" w:color="7B1E1E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B1E1E"/>
          <w:sz w:val="28"/>
          <w:szCs w:val="28"/>
        </w:rPr>
        <w:t xml:space="preserve">G. Pricing Rules (10% weight)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000"/>
        <w:gridCol w:w="1500"/>
        <w:gridCol w:w="29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/ 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Threshold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Evaluator Notes / Guidance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P-01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Pricing provided in INR with full itemized breakdown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line items in INR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Score 0 if non-INR currency; partial breakdown =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P-02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3-year TCO breakdown is included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Year 1, Year 2, Year 3 or total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Lump sum only = 1; full 3-yr breakdown = 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P-03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 terms are clearly defined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Milestones and % stated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Milestones tied to deliverables = 2; vague terms =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P-04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Competitiveness relative to other bids received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Committee discretion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Compare across all bids; rank-order and assign 0–2 relative to median</w:t>
            </w:r>
          </w:p>
        </w:tc>
      </w:tr>
    </w:tbl>
    <w:p>
      <w:pPr>
        <w:pBdr>
          <w:bottom w:val="single" w:color="7B1E1E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B1E1E"/>
          <w:sz w:val="28"/>
          <w:szCs w:val="28"/>
        </w:rPr>
        <w:t xml:space="preserve">Scoring Summary Template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this table to tally final scores for each vendor bid: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Score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Evaluator Remarks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B. Technical Solution &amp; AI (30%)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C. Functional Coverage (20%)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 Implementation Approach (15%)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 Vendor Experience (15%)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F. Security &amp; Compliance (10%)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G. Pricing / TCO (10%)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E1E"/>
                <w:sz w:val="24"/>
                <w:szCs w:val="24"/>
              </w:rPr>
              <w:t xml:space="preserve">TOTAL (Pass = ≥ 70)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 / Fail / Shortlist</w:t>
            </w:r>
          </w:p>
        </w:tc>
      </w:tr>
    </w:tbl>
    <w:p>
      <w:pPr>
        <w:pBdr>
          <w:bottom w:val="single" w:color="7B1E1E" w:sz="6" w:space="1"/>
        </w:pBdr>
        <w:spacing w:after="120" w:before="120"/>
      </w:pP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777777"/>
          <w:sz w:val="22"/>
          <w:szCs w:val="22"/>
        </w:rPr>
        <w:t xml:space="preserve">— END OF EVALUATION RULES SHEET —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INTERNAL &amp; CONFIDENTIAL  |  GlobalLogic Procurement  | 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1E1E" w:sz="4" w:space="4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INTERNAL &amp; CONFIDENTIAL  |  GlobalLogic Procurement  |  Page </w:t>
    </w:r>
    <w:r>
      <w:rPr>
        <w:rFonts w:ascii="Arial" w:cs="Arial" w:eastAsia="Arial" w:hAnsi="Arial"/>
        <w:color w:val="777777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E1E" w:sz="6" w:space="4"/>
      </w:pBdr>
      <w:jc w:val="right"/>
    </w:pP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EVALUATION RULES SHEET  |  RFP-2026-AIDMS-001  | 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7B1E1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A052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2026-06-11T10:09:12.808Z</dcterms:created>
  <dcterms:modified xsi:type="dcterms:W3CDTF">2026-06-11T10:09:12.809Z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